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9BBA6">
      <w:pPr>
        <w:rPr>
          <w:rFonts w:hint="eastAsia" w:eastAsia="仿宋_GB2312"/>
          <w:color w:val="auto"/>
          <w:sz w:val="44"/>
          <w:szCs w:val="44"/>
        </w:rPr>
      </w:pPr>
      <w:r>
        <w:rPr>
          <w:color w:val="auto"/>
        </w:rPr>
        <w:drawing>
          <wp:anchor distT="0" distB="0" distL="114300" distR="114300" simplePos="0" relativeHeight="251668480" behindDoc="0" locked="0" layoutInCell="1" allowOverlap="1">
            <wp:simplePos x="0" y="0"/>
            <wp:positionH relativeFrom="column">
              <wp:posOffset>-829945</wp:posOffset>
            </wp:positionH>
            <wp:positionV relativeFrom="paragraph">
              <wp:posOffset>-848360</wp:posOffset>
            </wp:positionV>
            <wp:extent cx="6923405" cy="9900920"/>
            <wp:effectExtent l="0" t="0" r="10795" b="5080"/>
            <wp:wrapNone/>
            <wp:docPr id="2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3"/>
                    <pic:cNvPicPr>
                      <a:picLocks noChangeAspect="1"/>
                    </pic:cNvPicPr>
                  </pic:nvPicPr>
                  <pic:blipFill>
                    <a:blip r:embed="rId8"/>
                    <a:srcRect l="2171" t="1479" r="4181" b="1337"/>
                    <a:stretch>
                      <a:fillRect/>
                    </a:stretch>
                  </pic:blipFill>
                  <pic:spPr>
                    <a:xfrm>
                      <a:off x="0" y="0"/>
                      <a:ext cx="6923405" cy="9900920"/>
                    </a:xfrm>
                    <a:prstGeom prst="rect">
                      <a:avLst/>
                    </a:prstGeom>
                    <a:noFill/>
                    <a:ln>
                      <a:noFill/>
                    </a:ln>
                  </pic:spPr>
                </pic:pic>
              </a:graphicData>
            </a:graphic>
          </wp:anchor>
        </w:drawing>
      </w:r>
      <w:r>
        <w:rPr>
          <w:color w:val="auto"/>
          <w:sz w:val="44"/>
          <w:szCs w:val="44"/>
        </w:rPr>
        <w:drawing>
          <wp:anchor distT="0" distB="0" distL="114300" distR="114300" simplePos="0" relativeHeight="251659264" behindDoc="0" locked="0" layoutInCell="1" allowOverlap="1">
            <wp:simplePos x="0" y="0"/>
            <wp:positionH relativeFrom="column">
              <wp:posOffset>-3980180</wp:posOffset>
            </wp:positionH>
            <wp:positionV relativeFrom="paragraph">
              <wp:posOffset>-157894655</wp:posOffset>
            </wp:positionV>
            <wp:extent cx="635" cy="0"/>
            <wp:effectExtent l="0" t="0" r="0" b="0"/>
            <wp:wrapNone/>
            <wp:docPr id="77" name="图片 3309" descr="闽侯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09" descr="闽侯风玫瑰图"/>
                    <pic:cNvPicPr>
                      <a:picLocks noChangeAspect="1"/>
                    </pic:cNvPicPr>
                  </pic:nvPicPr>
                  <pic:blipFill>
                    <a:blip r:embed="rId9"/>
                    <a:stretch>
                      <a:fillRect/>
                    </a:stretch>
                  </pic:blipFill>
                  <pic:spPr>
                    <a:xfrm>
                      <a:off x="0" y="0"/>
                      <a:ext cx="635" cy="0"/>
                    </a:xfrm>
                    <a:prstGeom prst="rect">
                      <a:avLst/>
                    </a:prstGeom>
                    <a:noFill/>
                    <a:ln>
                      <a:noFill/>
                    </a:ln>
                  </pic:spPr>
                </pic:pic>
              </a:graphicData>
            </a:graphic>
          </wp:anchor>
        </w:drawing>
      </w:r>
    </w:p>
    <w:p w14:paraId="571A8DD2">
      <w:pPr>
        <w:adjustRightInd w:val="0"/>
        <w:snapToGrid w:val="0"/>
        <w:jc w:val="center"/>
        <w:rPr>
          <w:rFonts w:eastAsia="方正小标宋_GBK"/>
          <w:bCs/>
          <w:color w:val="auto"/>
          <w:sz w:val="44"/>
          <w:szCs w:val="44"/>
        </w:rPr>
      </w:pPr>
    </w:p>
    <w:p w14:paraId="75975866">
      <w:pPr>
        <w:adjustRightInd w:val="0"/>
        <w:snapToGrid w:val="0"/>
        <w:jc w:val="center"/>
        <w:rPr>
          <w:rFonts w:eastAsia="方正小标宋_GBK"/>
          <w:bCs/>
          <w:color w:val="auto"/>
          <w:sz w:val="44"/>
          <w:szCs w:val="44"/>
        </w:rPr>
      </w:pPr>
    </w:p>
    <w:p w14:paraId="37FF4FFA">
      <w:pPr>
        <w:adjustRightInd w:val="0"/>
        <w:snapToGrid w:val="0"/>
        <w:jc w:val="center"/>
        <w:rPr>
          <w:rFonts w:eastAsia="方正小标宋_GBK"/>
          <w:bCs/>
          <w:color w:val="auto"/>
          <w:sz w:val="72"/>
          <w:szCs w:val="72"/>
        </w:rPr>
      </w:pPr>
      <w:r>
        <w:rPr>
          <w:rFonts w:eastAsia="方正小标宋_GBK"/>
          <w:bCs/>
          <w:color w:val="auto"/>
          <w:sz w:val="72"/>
          <w:szCs w:val="72"/>
        </w:rPr>
        <w:t>建设项目环境影响报告表</w:t>
      </w:r>
    </w:p>
    <w:p w14:paraId="33E0EB26">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06775D22">
      <w:pPr>
        <w:adjustRightInd w:val="0"/>
        <w:snapToGrid w:val="0"/>
        <w:spacing w:line="288" w:lineRule="auto"/>
        <w:jc w:val="center"/>
        <w:outlineLvl w:val="0"/>
        <w:rPr>
          <w:rFonts w:eastAsia="华文仿宋"/>
          <w:color w:val="auto"/>
          <w:kern w:val="44"/>
          <w:sz w:val="44"/>
          <w:szCs w:val="44"/>
        </w:rPr>
      </w:pPr>
    </w:p>
    <w:p w14:paraId="621EE474">
      <w:pPr>
        <w:jc w:val="center"/>
        <w:rPr>
          <w:rFonts w:eastAsia="仿宋"/>
          <w:color w:val="auto"/>
          <w:sz w:val="44"/>
          <w:szCs w:val="44"/>
        </w:rPr>
      </w:pPr>
    </w:p>
    <w:p w14:paraId="2C8060F7">
      <w:pPr>
        <w:ind w:firstLine="1040"/>
        <w:rPr>
          <w:rFonts w:eastAsia="仿宋"/>
          <w:color w:val="auto"/>
          <w:sz w:val="44"/>
          <w:szCs w:val="44"/>
        </w:rPr>
      </w:pPr>
    </w:p>
    <w:p w14:paraId="4086D490">
      <w:pPr>
        <w:ind w:firstLine="1040"/>
        <w:rPr>
          <w:rFonts w:eastAsia="仿宋"/>
          <w:color w:val="auto"/>
          <w:sz w:val="44"/>
          <w:szCs w:val="44"/>
        </w:rPr>
      </w:pPr>
    </w:p>
    <w:p w14:paraId="72FBCBB4">
      <w:pPr>
        <w:ind w:firstLine="1040"/>
        <w:rPr>
          <w:rFonts w:eastAsia="仿宋"/>
          <w:color w:val="auto"/>
          <w:sz w:val="44"/>
          <w:szCs w:val="44"/>
        </w:rPr>
      </w:pPr>
    </w:p>
    <w:p w14:paraId="147171FD">
      <w:pPr>
        <w:ind w:firstLine="1040"/>
        <w:rPr>
          <w:rFonts w:eastAsia="仿宋"/>
          <w:color w:val="auto"/>
          <w:sz w:val="44"/>
          <w:szCs w:val="4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091"/>
        <w:gridCol w:w="4986"/>
      </w:tblGrid>
      <w:tr w14:paraId="4A40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61" w:type="dxa"/>
            <w:tcBorders>
              <w:top w:val="nil"/>
              <w:left w:val="nil"/>
              <w:bottom w:val="nil"/>
              <w:right w:val="nil"/>
            </w:tcBorders>
            <w:vAlign w:val="bottom"/>
          </w:tcPr>
          <w:p w14:paraId="6B7E0DBC">
            <w:pPr>
              <w:jc w:val="center"/>
              <w:rPr>
                <w:rFonts w:eastAsia="仿宋"/>
                <w:color w:val="auto"/>
                <w:sz w:val="30"/>
                <w:szCs w:val="30"/>
                <w:vertAlign w:val="baseline"/>
              </w:rPr>
            </w:pPr>
            <w:r>
              <w:rPr>
                <w:rFonts w:eastAsia="仿宋_GB2312"/>
                <w:color w:val="auto"/>
                <w:sz w:val="30"/>
                <w:szCs w:val="30"/>
              </w:rPr>
              <w:t>项目名称：</w:t>
            </w:r>
          </w:p>
        </w:tc>
        <w:tc>
          <w:tcPr>
            <w:tcW w:w="6077" w:type="dxa"/>
            <w:gridSpan w:val="2"/>
            <w:tcBorders>
              <w:top w:val="nil"/>
              <w:left w:val="nil"/>
              <w:bottom w:val="single" w:color="auto" w:sz="4" w:space="0"/>
              <w:right w:val="nil"/>
            </w:tcBorders>
            <w:vAlign w:val="bottom"/>
          </w:tcPr>
          <w:p w14:paraId="35E8EB1A">
            <w:pPr>
              <w:jc w:val="center"/>
              <w:rPr>
                <w:rFonts w:hint="eastAsia" w:eastAsia="仿宋_GB2312"/>
                <w:color w:val="auto"/>
                <w:sz w:val="30"/>
                <w:szCs w:val="30"/>
                <w:lang w:eastAsia="zh-CN"/>
              </w:rPr>
            </w:pPr>
            <w:r>
              <w:rPr>
                <w:rFonts w:hint="eastAsia" w:eastAsia="仿宋_GB2312"/>
                <w:color w:val="auto"/>
                <w:sz w:val="30"/>
                <w:szCs w:val="30"/>
                <w:lang w:eastAsia="zh-CN"/>
              </w:rPr>
              <w:t>大田福胜精密铸件生产及机械加工项目</w:t>
            </w:r>
          </w:p>
          <w:p w14:paraId="5BFE60BC">
            <w:pPr>
              <w:jc w:val="center"/>
              <w:rPr>
                <w:rFonts w:eastAsia="仿宋_GB2312"/>
                <w:color w:val="auto"/>
                <w:sz w:val="30"/>
                <w:szCs w:val="30"/>
              </w:rPr>
            </w:pPr>
            <w:r>
              <w:rPr>
                <w:rFonts w:hint="eastAsia" w:eastAsia="仿宋_GB2312"/>
                <w:color w:val="auto"/>
                <w:sz w:val="30"/>
                <w:szCs w:val="30"/>
                <w:lang w:eastAsia="zh-CN"/>
              </w:rPr>
              <w:t>（重新报批）</w:t>
            </w:r>
          </w:p>
        </w:tc>
      </w:tr>
      <w:tr w14:paraId="7474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2" w:type="dxa"/>
            <w:gridSpan w:val="2"/>
            <w:tcBorders>
              <w:top w:val="nil"/>
              <w:left w:val="nil"/>
              <w:bottom w:val="nil"/>
              <w:right w:val="nil"/>
            </w:tcBorders>
            <w:vAlign w:val="bottom"/>
          </w:tcPr>
          <w:p w14:paraId="295B13CA">
            <w:pPr>
              <w:jc w:val="center"/>
              <w:rPr>
                <w:rFonts w:hint="eastAsia" w:eastAsia="仿宋_GB2312"/>
                <w:color w:val="auto"/>
                <w:sz w:val="30"/>
                <w:szCs w:val="30"/>
                <w:lang w:eastAsia="zh-CN"/>
              </w:rPr>
            </w:pPr>
            <w:r>
              <w:rPr>
                <w:rFonts w:eastAsia="仿宋_GB2312"/>
                <w:color w:val="auto"/>
                <w:sz w:val="30"/>
                <w:szCs w:val="30"/>
              </w:rPr>
              <w:t>建设单位（盖章）</w:t>
            </w:r>
            <w:r>
              <w:rPr>
                <w:rFonts w:hint="eastAsia" w:eastAsia="仿宋_GB2312"/>
                <w:color w:val="auto"/>
                <w:sz w:val="30"/>
                <w:szCs w:val="30"/>
                <w:lang w:eastAsia="zh-CN"/>
              </w:rPr>
              <w:t>：</w:t>
            </w:r>
          </w:p>
        </w:tc>
        <w:tc>
          <w:tcPr>
            <w:tcW w:w="4986" w:type="dxa"/>
            <w:tcBorders>
              <w:top w:val="single" w:color="auto" w:sz="4" w:space="0"/>
              <w:left w:val="nil"/>
              <w:bottom w:val="single" w:color="auto" w:sz="4" w:space="0"/>
              <w:right w:val="nil"/>
            </w:tcBorders>
            <w:vAlign w:val="bottom"/>
          </w:tcPr>
          <w:p w14:paraId="75E50FBF">
            <w:pPr>
              <w:jc w:val="center"/>
              <w:rPr>
                <w:rFonts w:eastAsia="仿宋_GB2312"/>
                <w:color w:val="auto"/>
                <w:sz w:val="30"/>
                <w:szCs w:val="30"/>
              </w:rPr>
            </w:pPr>
            <w:r>
              <w:rPr>
                <w:rFonts w:hint="eastAsia" w:eastAsia="仿宋_GB2312"/>
                <w:color w:val="auto"/>
                <w:sz w:val="30"/>
                <w:szCs w:val="30"/>
                <w:lang w:eastAsia="zh-CN"/>
              </w:rPr>
              <w:t>福建省福胜智能制造有限公司</w:t>
            </w:r>
          </w:p>
        </w:tc>
      </w:tr>
      <w:tr w14:paraId="0698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61" w:type="dxa"/>
            <w:tcBorders>
              <w:top w:val="nil"/>
              <w:left w:val="nil"/>
              <w:bottom w:val="nil"/>
              <w:right w:val="nil"/>
            </w:tcBorders>
            <w:vAlign w:val="bottom"/>
          </w:tcPr>
          <w:p w14:paraId="3AC4F53D">
            <w:pPr>
              <w:jc w:val="center"/>
              <w:rPr>
                <w:rFonts w:eastAsia="仿宋"/>
                <w:color w:val="auto"/>
                <w:sz w:val="30"/>
                <w:szCs w:val="30"/>
                <w:vertAlign w:val="baseline"/>
              </w:rPr>
            </w:pPr>
            <w:r>
              <w:rPr>
                <w:rFonts w:eastAsia="仿宋_GB2312"/>
                <w:color w:val="auto"/>
                <w:sz w:val="30"/>
                <w:szCs w:val="30"/>
              </w:rPr>
              <w:t>编制日期：</w:t>
            </w:r>
          </w:p>
        </w:tc>
        <w:tc>
          <w:tcPr>
            <w:tcW w:w="6077" w:type="dxa"/>
            <w:gridSpan w:val="2"/>
            <w:tcBorders>
              <w:top w:val="nil"/>
              <w:left w:val="nil"/>
              <w:right w:val="nil"/>
            </w:tcBorders>
            <w:vAlign w:val="bottom"/>
          </w:tcPr>
          <w:p w14:paraId="0871D0C2">
            <w:pPr>
              <w:jc w:val="center"/>
              <w:rPr>
                <w:rFonts w:eastAsia="仿宋"/>
                <w:color w:val="auto"/>
                <w:sz w:val="30"/>
                <w:szCs w:val="30"/>
                <w:u w:val="none"/>
                <w:vertAlign w:val="baseline"/>
              </w:rPr>
            </w:pPr>
            <w:r>
              <w:rPr>
                <w:rFonts w:eastAsia="仿宋_GB2312"/>
                <w:color w:val="auto"/>
                <w:sz w:val="30"/>
                <w:szCs w:val="30"/>
                <w:u w:val="none"/>
              </w:rPr>
              <w:t>202</w:t>
            </w:r>
            <w:r>
              <w:rPr>
                <w:rFonts w:hint="eastAsia" w:eastAsia="仿宋_GB2312"/>
                <w:color w:val="auto"/>
                <w:sz w:val="30"/>
                <w:szCs w:val="30"/>
                <w:u w:val="none"/>
                <w:lang w:val="en-US" w:eastAsia="zh-CN"/>
              </w:rPr>
              <w:t>5</w:t>
            </w:r>
            <w:r>
              <w:rPr>
                <w:rFonts w:eastAsia="仿宋_GB2312"/>
                <w:color w:val="auto"/>
                <w:sz w:val="30"/>
                <w:szCs w:val="30"/>
                <w:u w:val="none"/>
              </w:rPr>
              <w:t>年</w:t>
            </w:r>
            <w:r>
              <w:rPr>
                <w:rFonts w:hint="eastAsia" w:eastAsia="仿宋_GB2312"/>
                <w:color w:val="auto"/>
                <w:sz w:val="30"/>
                <w:szCs w:val="30"/>
                <w:u w:val="none"/>
                <w:lang w:val="en-US" w:eastAsia="zh-CN"/>
              </w:rPr>
              <w:t>08</w:t>
            </w:r>
            <w:r>
              <w:rPr>
                <w:rFonts w:eastAsia="仿宋_GB2312"/>
                <w:color w:val="auto"/>
                <w:sz w:val="30"/>
                <w:szCs w:val="30"/>
                <w:u w:val="none"/>
              </w:rPr>
              <w:t>月</w:t>
            </w:r>
          </w:p>
        </w:tc>
      </w:tr>
    </w:tbl>
    <w:p w14:paraId="35320856">
      <w:pPr>
        <w:ind w:firstLine="1040"/>
        <w:rPr>
          <w:rFonts w:eastAsia="仿宋"/>
          <w:color w:val="auto"/>
          <w:sz w:val="44"/>
          <w:szCs w:val="44"/>
        </w:rPr>
      </w:pPr>
    </w:p>
    <w:p w14:paraId="5BB4B478">
      <w:pPr>
        <w:adjustRightInd w:val="0"/>
        <w:snapToGrid w:val="0"/>
        <w:spacing w:line="288" w:lineRule="auto"/>
        <w:ind w:firstLine="440" w:firstLineChars="100"/>
        <w:rPr>
          <w:rFonts w:eastAsia="仿宋_GB2312"/>
          <w:color w:val="auto"/>
          <w:sz w:val="44"/>
          <w:szCs w:val="44"/>
          <w:u w:val="none"/>
        </w:rPr>
      </w:pPr>
      <w:r>
        <w:rPr>
          <w:rFonts w:eastAsia="仿宋_GB2312"/>
          <w:color w:val="auto"/>
          <w:sz w:val="44"/>
          <w:szCs w:val="44"/>
          <w:u w:val="none"/>
        </w:rPr>
        <w:t xml:space="preserve"> </w:t>
      </w:r>
    </w:p>
    <w:p w14:paraId="354DE340">
      <w:pPr>
        <w:adjustRightInd w:val="0"/>
        <w:snapToGrid w:val="0"/>
        <w:spacing w:line="288" w:lineRule="auto"/>
        <w:ind w:firstLine="1040"/>
        <w:rPr>
          <w:rFonts w:eastAsia="仿宋_GB2312"/>
          <w:color w:val="auto"/>
          <w:sz w:val="44"/>
          <w:szCs w:val="44"/>
          <w:u w:val="single"/>
        </w:rPr>
      </w:pPr>
      <w:bookmarkStart w:id="0" w:name="_Hlk57884087"/>
    </w:p>
    <w:p w14:paraId="256FFA63">
      <w:pPr>
        <w:adjustRightInd w:val="0"/>
        <w:snapToGrid w:val="0"/>
        <w:spacing w:line="288" w:lineRule="auto"/>
        <w:ind w:firstLine="1040"/>
        <w:rPr>
          <w:rFonts w:eastAsia="仿宋_GB2312"/>
          <w:color w:val="auto"/>
          <w:sz w:val="44"/>
          <w:szCs w:val="44"/>
        </w:rPr>
      </w:pPr>
    </w:p>
    <w:p w14:paraId="7666C27E">
      <w:pPr>
        <w:adjustRightInd w:val="0"/>
        <w:snapToGrid w:val="0"/>
        <w:spacing w:line="288" w:lineRule="auto"/>
        <w:ind w:firstLine="1040"/>
        <w:rPr>
          <w:rFonts w:eastAsia="仿宋_GB2312"/>
          <w:color w:val="auto"/>
          <w:sz w:val="44"/>
          <w:szCs w:val="44"/>
        </w:rPr>
      </w:pPr>
    </w:p>
    <w:bookmarkEnd w:id="0"/>
    <w:p w14:paraId="422A7962">
      <w:pPr>
        <w:adjustRightInd w:val="0"/>
        <w:snapToGrid w:val="0"/>
        <w:spacing w:line="288" w:lineRule="auto"/>
        <w:jc w:val="center"/>
        <w:rPr>
          <w:rFonts w:ascii="楷体_GB2312" w:eastAsia="楷体_GB2312"/>
          <w:color w:val="auto"/>
          <w:sz w:val="44"/>
          <w:szCs w:val="44"/>
        </w:rPr>
      </w:pPr>
      <w:r>
        <w:rPr>
          <w:rFonts w:eastAsia="楷体_GB2312"/>
          <w:color w:val="auto"/>
          <w:sz w:val="36"/>
          <w:szCs w:val="36"/>
        </w:rPr>
        <w:t>中华人民共和国生态环境部制</w:t>
      </w:r>
    </w:p>
    <w:p w14:paraId="7AF0C9A5">
      <w:pPr>
        <w:adjustRightInd w:val="0"/>
        <w:snapToGrid w:val="0"/>
        <w:spacing w:line="288" w:lineRule="auto"/>
        <w:ind w:firstLine="1040"/>
        <w:rPr>
          <w:rFonts w:ascii="仿宋_GB2312" w:eastAsia="仿宋_GB2312"/>
          <w:color w:val="auto"/>
          <w:sz w:val="44"/>
          <w:szCs w:val="44"/>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b/>
          <w:bCs/>
          <w:color w:val="auto"/>
          <w:sz w:val="24"/>
          <w:szCs w:val="24"/>
        </w:rPr>
        <w:id w:val="147478101"/>
        <w:docPartObj>
          <w:docPartGallery w:val="Table of Contents"/>
          <w:docPartUnique/>
        </w:docPartObj>
      </w:sdtPr>
      <w:sdtEndPr>
        <w:rPr>
          <w:rFonts w:hint="eastAsia" w:ascii="Times New Roman" w:hAnsi="Times New Roman"/>
          <w:b/>
          <w:bCs/>
          <w:color w:val="auto"/>
          <w:sz w:val="24"/>
          <w:szCs w:val="24"/>
        </w:rPr>
      </w:sdtEndPr>
      <w:sdtContent>
        <w:p w14:paraId="60A99300">
          <w:pPr>
            <w:pStyle w:val="23"/>
            <w:keepNext w:val="0"/>
            <w:keepLines w:val="0"/>
            <w:pageBreakBefore w:val="0"/>
            <w:widowControl w:val="0"/>
            <w:tabs>
              <w:tab w:val="right" w:leader="dot" w:pos="8844"/>
              <w:tab w:val="clear" w:pos="8834"/>
            </w:tabs>
            <w:kinsoku/>
            <w:wordWrap/>
            <w:overflowPunct/>
            <w:topLinePunct w:val="0"/>
            <w:autoSpaceDE/>
            <w:autoSpaceDN/>
            <w:bidi w:val="0"/>
            <w:adjustRightInd/>
            <w:snapToGrid/>
            <w:spacing w:line="400" w:lineRule="exact"/>
            <w:textAlignment w:val="auto"/>
            <w:rPr>
              <w:rFonts w:hint="eastAsia" w:ascii="黑体" w:hAnsi="黑体" w:eastAsia="黑体" w:cs="Times New Roman"/>
              <w:color w:val="auto"/>
              <w:kern w:val="2"/>
              <w:sz w:val="24"/>
              <w:szCs w:val="24"/>
              <w:lang w:val="en-US" w:eastAsia="zh-CN" w:bidi="ar-SA"/>
            </w:rPr>
          </w:pPr>
          <w:r>
            <w:rPr>
              <w:rFonts w:ascii="宋体" w:hAnsi="宋体"/>
              <w:b/>
              <w:bCs/>
              <w:color w:val="auto"/>
              <w:sz w:val="32"/>
              <w:szCs w:val="32"/>
            </w:rPr>
            <w:t>目</w:t>
          </w:r>
          <w:r>
            <w:rPr>
              <w:rFonts w:hint="eastAsia" w:ascii="宋体" w:hAnsi="宋体"/>
              <w:b/>
              <w:bCs/>
              <w:color w:val="auto"/>
              <w:sz w:val="32"/>
              <w:szCs w:val="32"/>
              <w:lang w:val="en-US" w:eastAsia="zh-CN"/>
            </w:rPr>
            <w:t xml:space="preserve">  </w:t>
          </w:r>
          <w:r>
            <w:rPr>
              <w:rFonts w:ascii="宋体" w:hAnsi="宋体"/>
              <w:b/>
              <w:bCs/>
              <w:color w:val="auto"/>
              <w:sz w:val="32"/>
              <w:szCs w:val="32"/>
            </w:rPr>
            <w:t>录</w:t>
          </w:r>
          <w:r>
            <w:rPr>
              <w:rFonts w:hint="eastAsia"/>
              <w:color w:val="auto"/>
              <w:sz w:val="24"/>
              <w:szCs w:val="24"/>
            </w:rPr>
            <w:fldChar w:fldCharType="begin"/>
          </w:r>
          <w:r>
            <w:rPr>
              <w:rFonts w:hint="eastAsia"/>
              <w:color w:val="auto"/>
              <w:sz w:val="24"/>
              <w:szCs w:val="24"/>
            </w:rPr>
            <w:instrText xml:space="preserve">TOC \o "1-1" \h \u </w:instrText>
          </w:r>
          <w:r>
            <w:rPr>
              <w:rFonts w:hint="eastAsia"/>
              <w:color w:val="auto"/>
              <w:sz w:val="24"/>
              <w:szCs w:val="24"/>
            </w:rPr>
            <w:fldChar w:fldCharType="separate"/>
          </w:r>
        </w:p>
        <w:p w14:paraId="45CF7324">
          <w:pPr>
            <w:pStyle w:val="23"/>
            <w:tabs>
              <w:tab w:val="right" w:leader="dot" w:pos="8844"/>
              <w:tab w:val="clear" w:pos="8834"/>
            </w:tabs>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_Toc15512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一、建设项目基本情况</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_Toc15512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1</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64A9052A">
          <w:pPr>
            <w:pStyle w:val="23"/>
            <w:tabs>
              <w:tab w:val="right" w:leader="dot" w:pos="8844"/>
              <w:tab w:val="clear" w:pos="8834"/>
            </w:tabs>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_Toc10188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二、 建设项目工程分析</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_Toc10188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15</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7446DC3F">
          <w:pPr>
            <w:pStyle w:val="23"/>
            <w:tabs>
              <w:tab w:val="right" w:leader="dot" w:pos="8844"/>
              <w:tab w:val="clear" w:pos="8834"/>
            </w:tabs>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_Toc20197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三、区域环境质量现状、环境保护目标及评价标准</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_Toc20197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30</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5A957AF3">
          <w:pPr>
            <w:pStyle w:val="23"/>
            <w:tabs>
              <w:tab w:val="right" w:leader="dot" w:pos="8844"/>
              <w:tab w:val="clear" w:pos="8834"/>
            </w:tabs>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_Toc2477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四、主要环境影响和保护措施</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_Toc2477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44</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00D771F6">
          <w:pPr>
            <w:pStyle w:val="23"/>
            <w:tabs>
              <w:tab w:val="right" w:leader="dot" w:pos="8844"/>
              <w:tab w:val="clear" w:pos="8834"/>
            </w:tabs>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_Toc19086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rPr>
            <w:t>五、环境保护措施监督检查清单</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_Toc19086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110</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62492F2B">
          <w:pPr>
            <w:pStyle w:val="23"/>
            <w:tabs>
              <w:tab w:val="right" w:leader="dot" w:pos="8844"/>
              <w:tab w:val="clear" w:pos="8834"/>
            </w:tabs>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HYPERLINK \l _Toc28651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snapToGrid w:val="0"/>
              <w:color w:val="auto"/>
              <w:sz w:val="24"/>
              <w:szCs w:val="24"/>
              <w:lang w:val="en-US" w:eastAsia="zh-CN"/>
            </w:rPr>
            <w:t>六、结论</w:t>
          </w:r>
          <w:r>
            <w:rPr>
              <w:rFonts w:hint="default" w:ascii="Times New Roman" w:hAnsi="Times New Roman" w:eastAsia="黑体" w:cs="Times New Roman"/>
              <w:color w:val="auto"/>
              <w:sz w:val="24"/>
              <w:szCs w:val="24"/>
            </w:rPr>
            <w:tab/>
          </w: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 PAGEREF _Toc28651 \h </w:instrText>
          </w:r>
          <w:r>
            <w:rPr>
              <w:rFonts w:hint="default" w:ascii="Times New Roman" w:hAnsi="Times New Roman" w:eastAsia="黑体" w:cs="Times New Roman"/>
              <w:color w:val="auto"/>
              <w:sz w:val="24"/>
              <w:szCs w:val="24"/>
            </w:rPr>
            <w:fldChar w:fldCharType="separate"/>
          </w:r>
          <w:r>
            <w:rPr>
              <w:rFonts w:hint="default" w:ascii="Times New Roman" w:hAnsi="Times New Roman" w:eastAsia="黑体" w:cs="Times New Roman"/>
              <w:color w:val="auto"/>
              <w:sz w:val="24"/>
              <w:szCs w:val="24"/>
            </w:rPr>
            <w:t>119</w:t>
          </w:r>
          <w:r>
            <w:rPr>
              <w:rFonts w:hint="default" w:ascii="Times New Roman" w:hAnsi="Times New Roman" w:eastAsia="黑体" w:cs="Times New Roman"/>
              <w:color w:val="auto"/>
              <w:sz w:val="24"/>
              <w:szCs w:val="24"/>
            </w:rPr>
            <w:fldChar w:fldCharType="end"/>
          </w:r>
          <w:r>
            <w:rPr>
              <w:rFonts w:hint="default" w:ascii="Times New Roman" w:hAnsi="Times New Roman" w:eastAsia="黑体" w:cs="Times New Roman"/>
              <w:color w:val="auto"/>
              <w:sz w:val="24"/>
              <w:szCs w:val="24"/>
            </w:rPr>
            <w:fldChar w:fldCharType="end"/>
          </w:r>
        </w:p>
        <w:p w14:paraId="76AE724C">
          <w:pPr>
            <w:pStyle w:val="23"/>
            <w:tabs>
              <w:tab w:val="right" w:leader="dot" w:pos="8844"/>
              <w:tab w:val="clear" w:pos="8834"/>
            </w:tabs>
            <w:rPr>
              <w:color w:val="auto"/>
            </w:rPr>
          </w:pPr>
        </w:p>
        <w:p w14:paraId="46A01F63">
          <w:pPr>
            <w:keepNext w:val="0"/>
            <w:keepLines w:val="0"/>
            <w:pageBreakBefore w:val="0"/>
            <w:widowControl w:val="0"/>
            <w:tabs>
              <w:tab w:val="right" w:leader="dot" w:pos="8844"/>
            </w:tabs>
            <w:kinsoku/>
            <w:wordWrap/>
            <w:overflowPunct/>
            <w:topLinePunct w:val="0"/>
            <w:autoSpaceDE/>
            <w:autoSpaceDN/>
            <w:bidi w:val="0"/>
            <w:adjustRightInd w:val="0"/>
            <w:snapToGrid w:val="0"/>
            <w:spacing w:line="288" w:lineRule="auto"/>
            <w:jc w:val="center"/>
            <w:textAlignment w:val="auto"/>
            <w:rPr>
              <w:color w:val="auto"/>
              <w:sz w:val="24"/>
              <w:szCs w:val="24"/>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color w:val="auto"/>
              <w:sz w:val="24"/>
              <w:szCs w:val="24"/>
            </w:rPr>
            <w:fldChar w:fldCharType="end"/>
          </w:r>
        </w:p>
      </w:sdtContent>
    </w:sdt>
    <w:p w14:paraId="63232C17">
      <w:pPr>
        <w:pStyle w:val="24"/>
        <w:spacing w:before="0" w:beforeAutospacing="0" w:after="0" w:afterAutospacing="0" w:line="360" w:lineRule="auto"/>
        <w:jc w:val="center"/>
        <w:outlineLvl w:val="0"/>
        <w:rPr>
          <w:rFonts w:hint="eastAsia" w:ascii="黑体" w:hAnsi="黑体" w:eastAsia="黑体"/>
          <w:snapToGrid w:val="0"/>
          <w:color w:val="auto"/>
          <w:sz w:val="24"/>
          <w:szCs w:val="24"/>
        </w:rPr>
      </w:pPr>
      <w:bookmarkStart w:id="1" w:name="_Toc15512"/>
      <w:bookmarkStart w:id="2" w:name="_Toc28629"/>
      <w:bookmarkStart w:id="3" w:name="_Toc21478"/>
      <w:r>
        <w:rPr>
          <w:rFonts w:hint="eastAsia" w:ascii="黑体" w:hAnsi="黑体" w:eastAsia="黑体"/>
          <w:snapToGrid w:val="0"/>
          <w:color w:val="auto"/>
          <w:sz w:val="24"/>
          <w:szCs w:val="24"/>
        </w:rPr>
        <w:t>一、建设项目基本情况</w:t>
      </w:r>
      <w:bookmarkEnd w:id="1"/>
      <w:bookmarkEnd w:id="2"/>
      <w:bookmarkEnd w:id="3"/>
    </w:p>
    <w:tbl>
      <w:tblPr>
        <w:tblStyle w:val="29"/>
        <w:tblW w:w="53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806"/>
        <w:gridCol w:w="747"/>
        <w:gridCol w:w="2766"/>
        <w:gridCol w:w="1499"/>
        <w:gridCol w:w="3709"/>
      </w:tblGrid>
      <w:tr w14:paraId="6DFF4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815" w:type="pct"/>
            <w:gridSpan w:val="2"/>
            <w:tcMar>
              <w:top w:w="16" w:type="dxa"/>
              <w:left w:w="16" w:type="dxa"/>
              <w:right w:w="16" w:type="dxa"/>
            </w:tcMar>
            <w:vAlign w:val="center"/>
          </w:tcPr>
          <w:p w14:paraId="575F48F1">
            <w:pPr>
              <w:adjustRightInd w:val="0"/>
              <w:snapToGrid w:val="0"/>
              <w:jc w:val="center"/>
              <w:rPr>
                <w:color w:val="auto"/>
                <w:sz w:val="24"/>
                <w:szCs w:val="24"/>
              </w:rPr>
            </w:pPr>
            <w:r>
              <w:rPr>
                <w:color w:val="auto"/>
                <w:sz w:val="24"/>
                <w:szCs w:val="24"/>
              </w:rPr>
              <w:t>建设项目名称</w:t>
            </w:r>
          </w:p>
        </w:tc>
        <w:tc>
          <w:tcPr>
            <w:tcW w:w="4184" w:type="pct"/>
            <w:gridSpan w:val="3"/>
            <w:vAlign w:val="center"/>
          </w:tcPr>
          <w:p w14:paraId="7D7E368A">
            <w:pPr>
              <w:adjustRightInd w:val="0"/>
              <w:snapToGrid w:val="0"/>
              <w:jc w:val="center"/>
              <w:rPr>
                <w:rFonts w:hint="default" w:eastAsia="宋体"/>
                <w:color w:val="auto"/>
                <w:sz w:val="24"/>
                <w:szCs w:val="24"/>
                <w:lang w:val="en-US" w:eastAsia="zh-CN"/>
              </w:rPr>
            </w:pPr>
            <w:r>
              <w:rPr>
                <w:rFonts w:hint="eastAsia"/>
                <w:color w:val="auto"/>
                <w:sz w:val="24"/>
                <w:szCs w:val="24"/>
                <w:lang w:eastAsia="zh-CN"/>
              </w:rPr>
              <w:t>大田福胜精密铸件生产及机械加工项目（重新报批）</w:t>
            </w:r>
          </w:p>
        </w:tc>
      </w:tr>
      <w:tr w14:paraId="3FDA6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815" w:type="pct"/>
            <w:gridSpan w:val="2"/>
            <w:tcMar>
              <w:top w:w="16" w:type="dxa"/>
              <w:left w:w="16" w:type="dxa"/>
              <w:right w:w="16" w:type="dxa"/>
            </w:tcMar>
            <w:vAlign w:val="center"/>
          </w:tcPr>
          <w:p w14:paraId="75A1D6AD">
            <w:pPr>
              <w:adjustRightInd w:val="0"/>
              <w:snapToGrid w:val="0"/>
              <w:jc w:val="center"/>
              <w:rPr>
                <w:color w:val="auto"/>
                <w:sz w:val="24"/>
                <w:szCs w:val="24"/>
              </w:rPr>
            </w:pPr>
            <w:r>
              <w:rPr>
                <w:color w:val="auto"/>
                <w:sz w:val="24"/>
                <w:szCs w:val="24"/>
              </w:rPr>
              <w:t>项目代码</w:t>
            </w:r>
          </w:p>
        </w:tc>
        <w:tc>
          <w:tcPr>
            <w:tcW w:w="4184" w:type="pct"/>
            <w:gridSpan w:val="3"/>
            <w:vAlign w:val="center"/>
          </w:tcPr>
          <w:p w14:paraId="5CB5A727">
            <w:pPr>
              <w:adjustRightInd w:val="0"/>
              <w:snapToGrid w:val="0"/>
              <w:jc w:val="center"/>
              <w:rPr>
                <w:color w:val="auto"/>
                <w:sz w:val="24"/>
                <w:szCs w:val="24"/>
              </w:rPr>
            </w:pPr>
            <w:r>
              <w:rPr>
                <w:rFonts w:hint="eastAsia"/>
                <w:color w:val="auto"/>
                <w:sz w:val="24"/>
                <w:szCs w:val="24"/>
              </w:rPr>
              <w:t>2201-350425-04-01-951335</w:t>
            </w:r>
          </w:p>
        </w:tc>
      </w:tr>
      <w:tr w14:paraId="567B8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815" w:type="pct"/>
            <w:gridSpan w:val="2"/>
            <w:tcMar>
              <w:top w:w="16" w:type="dxa"/>
              <w:left w:w="16" w:type="dxa"/>
              <w:right w:w="16" w:type="dxa"/>
            </w:tcMar>
            <w:vAlign w:val="center"/>
          </w:tcPr>
          <w:p w14:paraId="3928D0A3">
            <w:pPr>
              <w:adjustRightInd w:val="0"/>
              <w:snapToGrid w:val="0"/>
              <w:jc w:val="center"/>
              <w:rPr>
                <w:color w:val="auto"/>
                <w:sz w:val="24"/>
                <w:szCs w:val="24"/>
              </w:rPr>
            </w:pPr>
            <w:r>
              <w:rPr>
                <w:color w:val="auto"/>
                <w:sz w:val="24"/>
                <w:szCs w:val="24"/>
              </w:rPr>
              <w:t>建设单位联系人</w:t>
            </w:r>
          </w:p>
        </w:tc>
        <w:tc>
          <w:tcPr>
            <w:tcW w:w="1451" w:type="pct"/>
            <w:vAlign w:val="center"/>
          </w:tcPr>
          <w:p w14:paraId="6DD8DA33">
            <w:pPr>
              <w:adjustRightInd w:val="0"/>
              <w:snapToGrid w:val="0"/>
              <w:jc w:val="center"/>
              <w:rPr>
                <w:rFonts w:hint="default"/>
                <w:color w:val="auto"/>
                <w:sz w:val="24"/>
                <w:szCs w:val="24"/>
                <w:lang w:val="en-US"/>
              </w:rPr>
            </w:pPr>
            <w:r>
              <w:rPr>
                <w:rFonts w:hint="eastAsia"/>
                <w:color w:val="auto"/>
                <w:sz w:val="24"/>
                <w:szCs w:val="24"/>
                <w:lang w:val="en-US" w:eastAsia="zh-CN"/>
              </w:rPr>
              <w:t>***</w:t>
            </w:r>
          </w:p>
        </w:tc>
        <w:tc>
          <w:tcPr>
            <w:tcW w:w="786" w:type="pct"/>
            <w:vAlign w:val="center"/>
          </w:tcPr>
          <w:p w14:paraId="3337C054">
            <w:pPr>
              <w:adjustRightInd w:val="0"/>
              <w:snapToGrid w:val="0"/>
              <w:jc w:val="center"/>
              <w:rPr>
                <w:color w:val="auto"/>
                <w:sz w:val="24"/>
                <w:szCs w:val="24"/>
              </w:rPr>
            </w:pPr>
            <w:r>
              <w:rPr>
                <w:color w:val="auto"/>
                <w:sz w:val="24"/>
                <w:szCs w:val="24"/>
              </w:rPr>
              <w:t>联系方式</w:t>
            </w:r>
          </w:p>
        </w:tc>
        <w:tc>
          <w:tcPr>
            <w:tcW w:w="1946" w:type="pct"/>
            <w:vAlign w:val="center"/>
          </w:tcPr>
          <w:p w14:paraId="7CDA1C45">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r>
      <w:tr w14:paraId="04F5C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815" w:type="pct"/>
            <w:gridSpan w:val="2"/>
            <w:tcMar>
              <w:top w:w="16" w:type="dxa"/>
              <w:left w:w="16" w:type="dxa"/>
              <w:right w:w="16" w:type="dxa"/>
            </w:tcMar>
            <w:vAlign w:val="center"/>
          </w:tcPr>
          <w:p w14:paraId="5C05D8C6">
            <w:pPr>
              <w:adjustRightInd w:val="0"/>
              <w:snapToGrid w:val="0"/>
              <w:jc w:val="center"/>
              <w:rPr>
                <w:color w:val="auto"/>
                <w:sz w:val="24"/>
                <w:szCs w:val="24"/>
              </w:rPr>
            </w:pPr>
            <w:r>
              <w:rPr>
                <w:color w:val="auto"/>
                <w:sz w:val="24"/>
                <w:szCs w:val="24"/>
              </w:rPr>
              <w:t>建设地点</w:t>
            </w:r>
          </w:p>
        </w:tc>
        <w:tc>
          <w:tcPr>
            <w:tcW w:w="4184" w:type="pct"/>
            <w:gridSpan w:val="3"/>
            <w:vAlign w:val="center"/>
          </w:tcPr>
          <w:p w14:paraId="675A0EC6">
            <w:pPr>
              <w:jc w:val="center"/>
              <w:rPr>
                <w:rFonts w:hint="eastAsia" w:eastAsia="宋体"/>
                <w:color w:val="auto"/>
                <w:sz w:val="24"/>
                <w:szCs w:val="24"/>
                <w:lang w:eastAsia="zh-CN"/>
              </w:rPr>
            </w:pPr>
            <w:r>
              <w:rPr>
                <w:rFonts w:hint="eastAsia"/>
                <w:color w:val="auto"/>
                <w:sz w:val="24"/>
                <w:szCs w:val="24"/>
                <w:lang w:eastAsia="zh-CN"/>
              </w:rPr>
              <w:t>福建（大田）机械铸造产业集聚区</w:t>
            </w:r>
            <w:r>
              <w:rPr>
                <w:rFonts w:hint="eastAsia"/>
                <w:color w:val="auto"/>
                <w:kern w:val="0"/>
                <w:sz w:val="24"/>
              </w:rPr>
              <w:t>15号宗地</w:t>
            </w:r>
          </w:p>
        </w:tc>
      </w:tr>
      <w:tr w14:paraId="29A5B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815" w:type="pct"/>
            <w:gridSpan w:val="2"/>
            <w:tcMar>
              <w:top w:w="16" w:type="dxa"/>
              <w:left w:w="16" w:type="dxa"/>
              <w:right w:w="16" w:type="dxa"/>
            </w:tcMar>
            <w:vAlign w:val="center"/>
          </w:tcPr>
          <w:p w14:paraId="634222BA">
            <w:pPr>
              <w:adjustRightInd w:val="0"/>
              <w:snapToGrid w:val="0"/>
              <w:jc w:val="center"/>
              <w:rPr>
                <w:color w:val="auto"/>
                <w:sz w:val="24"/>
                <w:szCs w:val="24"/>
              </w:rPr>
            </w:pPr>
            <w:r>
              <w:rPr>
                <w:color w:val="auto"/>
                <w:sz w:val="24"/>
                <w:szCs w:val="24"/>
              </w:rPr>
              <w:t>地理坐标</w:t>
            </w:r>
          </w:p>
        </w:tc>
        <w:tc>
          <w:tcPr>
            <w:tcW w:w="4184" w:type="pct"/>
            <w:gridSpan w:val="3"/>
            <w:vAlign w:val="center"/>
          </w:tcPr>
          <w:p w14:paraId="7B3B3679">
            <w:pPr>
              <w:jc w:val="center"/>
              <w:rPr>
                <w:color w:val="auto"/>
                <w:sz w:val="24"/>
                <w:szCs w:val="24"/>
              </w:rPr>
            </w:pPr>
            <w:r>
              <w:rPr>
                <w:color w:val="auto"/>
                <w:sz w:val="24"/>
                <w:szCs w:val="24"/>
              </w:rPr>
              <w:t>N</w:t>
            </w:r>
            <w:r>
              <w:rPr>
                <w:color w:val="auto"/>
                <w:sz w:val="24"/>
                <w:szCs w:val="24"/>
                <w:u w:val="single"/>
              </w:rPr>
              <w:t>2</w:t>
            </w:r>
            <w:r>
              <w:rPr>
                <w:rFonts w:hint="eastAsia"/>
                <w:color w:val="auto"/>
                <w:sz w:val="24"/>
                <w:szCs w:val="24"/>
                <w:u w:val="single"/>
                <w:lang w:val="en-US" w:eastAsia="zh-CN"/>
              </w:rPr>
              <w:t>5</w:t>
            </w:r>
            <w:r>
              <w:rPr>
                <w:color w:val="auto"/>
                <w:sz w:val="24"/>
                <w:szCs w:val="24"/>
              </w:rPr>
              <w:t>度</w:t>
            </w:r>
            <w:r>
              <w:rPr>
                <w:rFonts w:hint="eastAsia"/>
                <w:color w:val="auto"/>
                <w:sz w:val="24"/>
                <w:szCs w:val="24"/>
                <w:u w:val="single"/>
                <w:lang w:val="en-US" w:eastAsia="zh-CN"/>
              </w:rPr>
              <w:t>42</w:t>
            </w:r>
            <w:r>
              <w:rPr>
                <w:color w:val="auto"/>
                <w:sz w:val="24"/>
                <w:szCs w:val="24"/>
              </w:rPr>
              <w:t>分</w:t>
            </w:r>
            <w:r>
              <w:rPr>
                <w:rFonts w:hint="eastAsia"/>
                <w:color w:val="auto"/>
                <w:sz w:val="24"/>
                <w:szCs w:val="24"/>
                <w:u w:val="single"/>
                <w:lang w:val="en-US" w:eastAsia="zh-CN"/>
              </w:rPr>
              <w:t>11.911</w:t>
            </w:r>
            <w:r>
              <w:rPr>
                <w:color w:val="auto"/>
                <w:sz w:val="24"/>
                <w:szCs w:val="24"/>
              </w:rPr>
              <w:t>秒，E</w:t>
            </w:r>
            <w:r>
              <w:rPr>
                <w:color w:val="auto"/>
                <w:sz w:val="24"/>
                <w:szCs w:val="24"/>
                <w:u w:val="single"/>
              </w:rPr>
              <w:t>11</w:t>
            </w:r>
            <w:r>
              <w:rPr>
                <w:rFonts w:hint="eastAsia"/>
                <w:color w:val="auto"/>
                <w:sz w:val="24"/>
                <w:szCs w:val="24"/>
                <w:u w:val="single"/>
                <w:lang w:val="en-US" w:eastAsia="zh-CN"/>
              </w:rPr>
              <w:t>7</w:t>
            </w:r>
            <w:r>
              <w:rPr>
                <w:color w:val="auto"/>
                <w:sz w:val="24"/>
                <w:szCs w:val="24"/>
              </w:rPr>
              <w:t>度</w:t>
            </w:r>
            <w:r>
              <w:rPr>
                <w:rFonts w:hint="eastAsia"/>
                <w:color w:val="auto"/>
                <w:sz w:val="24"/>
                <w:szCs w:val="24"/>
                <w:u w:val="single"/>
                <w:lang w:val="en-US" w:eastAsia="zh-CN"/>
              </w:rPr>
              <w:t>42</w:t>
            </w:r>
            <w:r>
              <w:rPr>
                <w:color w:val="auto"/>
                <w:sz w:val="24"/>
                <w:szCs w:val="24"/>
              </w:rPr>
              <w:t>分</w:t>
            </w:r>
            <w:r>
              <w:rPr>
                <w:rFonts w:hint="eastAsia"/>
                <w:color w:val="auto"/>
                <w:sz w:val="24"/>
                <w:szCs w:val="24"/>
                <w:u w:val="single"/>
                <w:lang w:val="en-US" w:eastAsia="zh-CN"/>
              </w:rPr>
              <w:t>30.469</w:t>
            </w:r>
            <w:r>
              <w:rPr>
                <w:color w:val="auto"/>
                <w:sz w:val="24"/>
                <w:szCs w:val="24"/>
              </w:rPr>
              <w:t>秒</w:t>
            </w:r>
          </w:p>
        </w:tc>
      </w:tr>
      <w:tr w14:paraId="3D112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1" w:hRule="atLeast"/>
          <w:jc w:val="center"/>
        </w:trPr>
        <w:tc>
          <w:tcPr>
            <w:tcW w:w="815" w:type="pct"/>
            <w:gridSpan w:val="2"/>
            <w:tcMar>
              <w:top w:w="16" w:type="dxa"/>
              <w:left w:w="16" w:type="dxa"/>
              <w:right w:w="16" w:type="dxa"/>
            </w:tcMar>
            <w:vAlign w:val="center"/>
          </w:tcPr>
          <w:p w14:paraId="559BE44B">
            <w:pPr>
              <w:adjustRightInd w:val="0"/>
              <w:snapToGrid w:val="0"/>
              <w:jc w:val="center"/>
              <w:rPr>
                <w:color w:val="auto"/>
                <w:sz w:val="24"/>
                <w:szCs w:val="24"/>
              </w:rPr>
            </w:pPr>
            <w:r>
              <w:rPr>
                <w:color w:val="auto"/>
                <w:sz w:val="24"/>
                <w:szCs w:val="24"/>
              </w:rPr>
              <w:t>国民经济</w:t>
            </w:r>
          </w:p>
          <w:p w14:paraId="58920349">
            <w:pPr>
              <w:adjustRightInd w:val="0"/>
              <w:snapToGrid w:val="0"/>
              <w:jc w:val="center"/>
              <w:rPr>
                <w:color w:val="auto"/>
                <w:sz w:val="24"/>
                <w:szCs w:val="24"/>
              </w:rPr>
            </w:pPr>
            <w:r>
              <w:rPr>
                <w:color w:val="auto"/>
                <w:sz w:val="24"/>
                <w:szCs w:val="24"/>
              </w:rPr>
              <w:t>行业类别</w:t>
            </w:r>
          </w:p>
        </w:tc>
        <w:tc>
          <w:tcPr>
            <w:tcW w:w="1451" w:type="pct"/>
            <w:vAlign w:val="center"/>
          </w:tcPr>
          <w:p w14:paraId="6837A519">
            <w:pPr>
              <w:adjustRightInd w:val="0"/>
              <w:snapToGrid w:val="0"/>
              <w:jc w:val="left"/>
              <w:rPr>
                <w:rFonts w:hint="eastAsia"/>
                <w:color w:val="auto"/>
                <w:sz w:val="24"/>
                <w:szCs w:val="24"/>
              </w:rPr>
            </w:pPr>
            <w:r>
              <w:rPr>
                <w:rFonts w:hint="eastAsia"/>
                <w:color w:val="auto"/>
                <w:sz w:val="24"/>
                <w:szCs w:val="24"/>
              </w:rPr>
              <w:t>C3353 安全、消防用金属制品制造</w:t>
            </w:r>
          </w:p>
          <w:p w14:paraId="102E6A99">
            <w:pPr>
              <w:adjustRightInd w:val="0"/>
              <w:snapToGrid w:val="0"/>
              <w:jc w:val="left"/>
              <w:rPr>
                <w:rFonts w:hint="eastAsia"/>
                <w:color w:val="auto"/>
                <w:sz w:val="24"/>
                <w:szCs w:val="24"/>
              </w:rPr>
            </w:pPr>
            <w:r>
              <w:rPr>
                <w:rFonts w:hint="eastAsia"/>
                <w:color w:val="auto"/>
                <w:sz w:val="24"/>
                <w:szCs w:val="24"/>
              </w:rPr>
              <w:t>C3391 黑色金属铸造</w:t>
            </w:r>
          </w:p>
          <w:p w14:paraId="4A3C94A7">
            <w:pPr>
              <w:adjustRightInd w:val="0"/>
              <w:snapToGrid w:val="0"/>
              <w:jc w:val="left"/>
              <w:rPr>
                <w:rFonts w:hint="eastAsia"/>
                <w:color w:val="auto"/>
                <w:sz w:val="24"/>
                <w:szCs w:val="24"/>
              </w:rPr>
            </w:pPr>
            <w:r>
              <w:rPr>
                <w:rFonts w:hint="eastAsia"/>
                <w:color w:val="auto"/>
                <w:sz w:val="24"/>
                <w:szCs w:val="24"/>
                <w:lang w:val="en-US" w:eastAsia="zh-CN"/>
              </w:rPr>
              <w:t xml:space="preserve">C3595 </w:t>
            </w:r>
            <w:r>
              <w:rPr>
                <w:rFonts w:hint="eastAsia"/>
                <w:color w:val="auto"/>
                <w:sz w:val="24"/>
                <w:szCs w:val="24"/>
              </w:rPr>
              <w:t>社会公共安全设备及器材制造</w:t>
            </w:r>
          </w:p>
          <w:p w14:paraId="7BB5D147">
            <w:pPr>
              <w:adjustRightInd w:val="0"/>
              <w:snapToGrid w:val="0"/>
              <w:jc w:val="left"/>
              <w:rPr>
                <w:rFonts w:hint="eastAsia"/>
                <w:color w:val="auto"/>
                <w:sz w:val="24"/>
                <w:szCs w:val="24"/>
              </w:rPr>
            </w:pPr>
            <w:r>
              <w:rPr>
                <w:rFonts w:hint="eastAsia"/>
                <w:color w:val="auto"/>
                <w:sz w:val="24"/>
                <w:szCs w:val="24"/>
              </w:rPr>
              <w:t>D4430 热力生产和供应</w:t>
            </w:r>
          </w:p>
        </w:tc>
        <w:tc>
          <w:tcPr>
            <w:tcW w:w="786" w:type="pct"/>
            <w:vAlign w:val="center"/>
          </w:tcPr>
          <w:p w14:paraId="1136F9D6">
            <w:pPr>
              <w:adjustRightInd w:val="0"/>
              <w:snapToGrid w:val="0"/>
              <w:jc w:val="center"/>
              <w:rPr>
                <w:color w:val="auto"/>
                <w:sz w:val="24"/>
                <w:szCs w:val="24"/>
              </w:rPr>
            </w:pPr>
            <w:r>
              <w:rPr>
                <w:color w:val="auto"/>
                <w:sz w:val="24"/>
                <w:szCs w:val="24"/>
              </w:rPr>
              <w:t>建设项目</w:t>
            </w:r>
          </w:p>
          <w:p w14:paraId="051B3487">
            <w:pPr>
              <w:adjustRightInd w:val="0"/>
              <w:snapToGrid w:val="0"/>
              <w:jc w:val="center"/>
              <w:rPr>
                <w:color w:val="auto"/>
                <w:sz w:val="24"/>
                <w:szCs w:val="24"/>
              </w:rPr>
            </w:pPr>
            <w:r>
              <w:rPr>
                <w:color w:val="auto"/>
                <w:sz w:val="24"/>
                <w:szCs w:val="24"/>
              </w:rPr>
              <w:t>行业类别</w:t>
            </w:r>
          </w:p>
        </w:tc>
        <w:tc>
          <w:tcPr>
            <w:tcW w:w="1946" w:type="pct"/>
            <w:vAlign w:val="center"/>
          </w:tcPr>
          <w:p w14:paraId="32970246">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二十六、橡胶和塑料制品业 29</w:t>
            </w:r>
          </w:p>
          <w:p w14:paraId="324CB573">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53、塑料制品业292</w:t>
            </w:r>
          </w:p>
          <w:p w14:paraId="6DA534CC">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三十、金属制品业33</w:t>
            </w:r>
          </w:p>
          <w:p w14:paraId="57A0944D">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66</w:t>
            </w:r>
            <w:r>
              <w:rPr>
                <w:rFonts w:hint="eastAsia"/>
                <w:color w:val="auto"/>
                <w:sz w:val="24"/>
                <w:szCs w:val="24"/>
                <w:lang w:eastAsia="zh-CN"/>
              </w:rPr>
              <w:t>、</w:t>
            </w:r>
            <w:r>
              <w:rPr>
                <w:rFonts w:hint="eastAsia"/>
                <w:color w:val="auto"/>
                <w:sz w:val="24"/>
                <w:szCs w:val="24"/>
              </w:rPr>
              <w:t>建筑、安全用金属制品制造335</w:t>
            </w:r>
          </w:p>
          <w:p w14:paraId="2FD44F71">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67、金属表面处理及热处理加工</w:t>
            </w:r>
          </w:p>
          <w:p w14:paraId="6898AE0F">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68</w:t>
            </w:r>
            <w:r>
              <w:rPr>
                <w:rFonts w:hint="eastAsia"/>
                <w:color w:val="auto"/>
                <w:sz w:val="24"/>
                <w:szCs w:val="24"/>
                <w:lang w:eastAsia="zh-CN"/>
              </w:rPr>
              <w:t>、</w:t>
            </w:r>
            <w:r>
              <w:rPr>
                <w:rFonts w:hint="eastAsia"/>
                <w:color w:val="auto"/>
                <w:sz w:val="24"/>
                <w:szCs w:val="24"/>
              </w:rPr>
              <w:t>铸造及其他金属制品制造339</w:t>
            </w:r>
          </w:p>
          <w:p w14:paraId="3896388F">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6</w:t>
            </w:r>
            <w:r>
              <w:rPr>
                <w:rFonts w:hint="eastAsia"/>
                <w:color w:val="auto"/>
                <w:sz w:val="24"/>
                <w:szCs w:val="24"/>
                <w:lang w:val="en-US" w:eastAsia="zh-CN"/>
              </w:rPr>
              <w:t>9</w:t>
            </w:r>
            <w:r>
              <w:rPr>
                <w:rFonts w:hint="eastAsia"/>
                <w:color w:val="auto"/>
                <w:sz w:val="24"/>
                <w:szCs w:val="24"/>
                <w:lang w:eastAsia="zh-CN"/>
              </w:rPr>
              <w:t>、</w:t>
            </w:r>
            <w:r>
              <w:rPr>
                <w:rFonts w:hint="eastAsia"/>
                <w:color w:val="auto"/>
                <w:sz w:val="24"/>
                <w:szCs w:val="24"/>
                <w:lang w:val="en-US" w:eastAsia="zh-CN"/>
              </w:rPr>
              <w:t>泵、阀门、压缩机及类似机械制造344</w:t>
            </w:r>
          </w:p>
          <w:p w14:paraId="14B80BBD">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rPr>
              <w:t>三十二、专用设备制造业 35</w:t>
            </w:r>
          </w:p>
          <w:p w14:paraId="57149BF4">
            <w:pPr>
              <w:keepNext w:val="0"/>
              <w:keepLines w:val="0"/>
              <w:pageBreakBefore w:val="0"/>
              <w:widowControl w:val="0"/>
              <w:kinsoku/>
              <w:wordWrap/>
              <w:overflowPunct/>
              <w:topLinePunct w:val="0"/>
              <w:autoSpaceDE/>
              <w:autoSpaceDN/>
              <w:bidi w:val="0"/>
              <w:adjustRightInd w:val="0"/>
              <w:snapToGrid w:val="0"/>
              <w:spacing w:line="0" w:lineRule="atLeast"/>
              <w:jc w:val="left"/>
              <w:textAlignment w:val="auto"/>
              <w:rPr>
                <w:rFonts w:hint="eastAsia"/>
                <w:color w:val="auto"/>
                <w:sz w:val="24"/>
                <w:szCs w:val="24"/>
              </w:rPr>
            </w:pPr>
            <w:r>
              <w:rPr>
                <w:rFonts w:hint="eastAsia"/>
                <w:color w:val="auto"/>
                <w:sz w:val="24"/>
                <w:szCs w:val="24"/>
                <w:lang w:val="en-US" w:eastAsia="zh-CN"/>
              </w:rPr>
              <w:t>70、</w:t>
            </w:r>
            <w:r>
              <w:rPr>
                <w:rFonts w:hint="eastAsia"/>
                <w:color w:val="auto"/>
                <w:sz w:val="24"/>
                <w:szCs w:val="24"/>
              </w:rPr>
              <w:t>环保、邮政、社会公共服务及其他专用设备制造359</w:t>
            </w:r>
          </w:p>
        </w:tc>
      </w:tr>
      <w:tr w14:paraId="202B3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19" w:hRule="atLeast"/>
          <w:jc w:val="center"/>
        </w:trPr>
        <w:tc>
          <w:tcPr>
            <w:tcW w:w="815" w:type="pct"/>
            <w:gridSpan w:val="2"/>
            <w:tcMar>
              <w:top w:w="16" w:type="dxa"/>
              <w:left w:w="16" w:type="dxa"/>
              <w:right w:w="16" w:type="dxa"/>
            </w:tcMar>
            <w:vAlign w:val="center"/>
          </w:tcPr>
          <w:p w14:paraId="56B14F5C">
            <w:pPr>
              <w:adjustRightInd w:val="0"/>
              <w:snapToGrid w:val="0"/>
              <w:jc w:val="center"/>
              <w:rPr>
                <w:color w:val="auto"/>
                <w:sz w:val="24"/>
                <w:szCs w:val="24"/>
              </w:rPr>
            </w:pPr>
            <w:r>
              <w:rPr>
                <w:color w:val="auto"/>
                <w:sz w:val="24"/>
                <w:szCs w:val="24"/>
              </w:rPr>
              <w:t>建设性质</w:t>
            </w:r>
          </w:p>
        </w:tc>
        <w:tc>
          <w:tcPr>
            <w:tcW w:w="1451" w:type="pct"/>
            <w:vAlign w:val="center"/>
          </w:tcPr>
          <w:p w14:paraId="6B3E4E3E">
            <w:pPr>
              <w:jc w:val="left"/>
              <w:rPr>
                <w:color w:val="auto"/>
                <w:sz w:val="24"/>
                <w:szCs w:val="24"/>
              </w:rPr>
            </w:pPr>
            <w:r>
              <w:rPr>
                <w:color w:val="auto"/>
                <w:sz w:val="24"/>
                <w:szCs w:val="24"/>
              </w:rPr>
              <w:sym w:font="Wingdings 2" w:char="0052"/>
            </w:r>
            <w:r>
              <w:rPr>
                <w:color w:val="auto"/>
                <w:sz w:val="24"/>
                <w:szCs w:val="24"/>
              </w:rPr>
              <w:t>新建（迁建）</w:t>
            </w:r>
          </w:p>
          <w:p w14:paraId="504C87D9">
            <w:pPr>
              <w:jc w:val="left"/>
              <w:rPr>
                <w:color w:val="auto"/>
                <w:sz w:val="24"/>
                <w:szCs w:val="24"/>
              </w:rPr>
            </w:pPr>
            <w:r>
              <w:rPr>
                <w:color w:val="auto"/>
                <w:sz w:val="24"/>
                <w:szCs w:val="24"/>
              </w:rPr>
              <w:sym w:font="Wingdings 2" w:char="00A3"/>
            </w:r>
            <w:r>
              <w:rPr>
                <w:color w:val="auto"/>
                <w:sz w:val="24"/>
                <w:szCs w:val="24"/>
              </w:rPr>
              <w:t>改建</w:t>
            </w:r>
          </w:p>
          <w:p w14:paraId="23047C41">
            <w:pPr>
              <w:jc w:val="left"/>
              <w:rPr>
                <w:rFonts w:hint="eastAsia" w:eastAsia="宋体"/>
                <w:color w:val="auto"/>
                <w:sz w:val="24"/>
                <w:szCs w:val="24"/>
                <w:lang w:eastAsia="zh-CN"/>
              </w:rPr>
            </w:pPr>
            <w:r>
              <w:rPr>
                <w:color w:val="auto"/>
                <w:sz w:val="24"/>
                <w:szCs w:val="24"/>
              </w:rPr>
              <w:sym w:font="Wingdings 2" w:char="00A3"/>
            </w:r>
            <w:r>
              <w:rPr>
                <w:rFonts w:hint="eastAsia"/>
                <w:color w:val="auto"/>
                <w:sz w:val="24"/>
                <w:szCs w:val="24"/>
                <w:lang w:val="en-US" w:eastAsia="zh-CN"/>
              </w:rPr>
              <w:t>扩建</w:t>
            </w:r>
          </w:p>
          <w:p w14:paraId="7E1F9D14">
            <w:pPr>
              <w:jc w:val="left"/>
              <w:rPr>
                <w:rFonts w:hint="eastAsia" w:eastAsia="宋体"/>
                <w:color w:val="auto"/>
                <w:sz w:val="24"/>
                <w:szCs w:val="24"/>
                <w:lang w:val="en-US" w:eastAsia="zh-CN"/>
              </w:rPr>
            </w:pPr>
            <w:r>
              <w:rPr>
                <w:color w:val="auto"/>
                <w:sz w:val="24"/>
                <w:szCs w:val="24"/>
              </w:rPr>
              <w:sym w:font="Wingdings 2" w:char="00A3"/>
            </w:r>
            <w:r>
              <w:rPr>
                <w:color w:val="auto"/>
                <w:sz w:val="24"/>
                <w:szCs w:val="24"/>
              </w:rPr>
              <w:t>技术改造</w:t>
            </w:r>
          </w:p>
        </w:tc>
        <w:tc>
          <w:tcPr>
            <w:tcW w:w="786" w:type="pct"/>
            <w:vAlign w:val="center"/>
          </w:tcPr>
          <w:p w14:paraId="1DDA15CF">
            <w:pPr>
              <w:adjustRightInd w:val="0"/>
              <w:snapToGrid w:val="0"/>
              <w:jc w:val="center"/>
              <w:rPr>
                <w:color w:val="auto"/>
                <w:sz w:val="24"/>
                <w:szCs w:val="24"/>
              </w:rPr>
            </w:pPr>
            <w:r>
              <w:rPr>
                <w:color w:val="auto"/>
                <w:sz w:val="24"/>
                <w:szCs w:val="24"/>
              </w:rPr>
              <w:t>建设项目</w:t>
            </w:r>
          </w:p>
          <w:p w14:paraId="52835E52">
            <w:pPr>
              <w:adjustRightInd w:val="0"/>
              <w:snapToGrid w:val="0"/>
              <w:jc w:val="center"/>
              <w:rPr>
                <w:color w:val="auto"/>
                <w:sz w:val="24"/>
                <w:szCs w:val="24"/>
              </w:rPr>
            </w:pPr>
            <w:r>
              <w:rPr>
                <w:color w:val="auto"/>
                <w:sz w:val="24"/>
                <w:szCs w:val="24"/>
              </w:rPr>
              <w:t>申报情形</w:t>
            </w:r>
          </w:p>
        </w:tc>
        <w:tc>
          <w:tcPr>
            <w:tcW w:w="1946" w:type="pct"/>
            <w:vAlign w:val="center"/>
          </w:tcPr>
          <w:p w14:paraId="14C64B81">
            <w:pPr>
              <w:jc w:val="left"/>
              <w:rPr>
                <w:color w:val="auto"/>
                <w:sz w:val="24"/>
                <w:szCs w:val="24"/>
              </w:rPr>
            </w:pPr>
            <w:r>
              <w:rPr>
                <w:color w:val="auto"/>
                <w:sz w:val="24"/>
                <w:szCs w:val="24"/>
              </w:rPr>
              <w:sym w:font="Wingdings 2" w:char="00A3"/>
            </w:r>
            <w:r>
              <w:rPr>
                <w:color w:val="auto"/>
                <w:sz w:val="24"/>
                <w:szCs w:val="24"/>
              </w:rPr>
              <w:t>首次申报项目</w:t>
            </w:r>
          </w:p>
          <w:p w14:paraId="164B53EE">
            <w:pPr>
              <w:jc w:val="left"/>
              <w:rPr>
                <w:color w:val="auto"/>
                <w:sz w:val="24"/>
                <w:szCs w:val="24"/>
              </w:rPr>
            </w:pPr>
            <w:r>
              <w:rPr>
                <w:color w:val="auto"/>
                <w:sz w:val="24"/>
                <w:szCs w:val="24"/>
              </w:rPr>
              <w:sym w:font="Wingdings 2" w:char="00A3"/>
            </w:r>
            <w:r>
              <w:rPr>
                <w:color w:val="auto"/>
                <w:sz w:val="24"/>
                <w:szCs w:val="24"/>
              </w:rPr>
              <w:t>不予批准后再次申报项目</w:t>
            </w:r>
          </w:p>
          <w:p w14:paraId="62DF908C">
            <w:pPr>
              <w:jc w:val="left"/>
              <w:rPr>
                <w:color w:val="auto"/>
                <w:sz w:val="24"/>
                <w:szCs w:val="24"/>
              </w:rPr>
            </w:pPr>
            <w:r>
              <w:rPr>
                <w:color w:val="auto"/>
                <w:sz w:val="24"/>
                <w:szCs w:val="24"/>
              </w:rPr>
              <w:sym w:font="Wingdings 2" w:char="00A3"/>
            </w:r>
            <w:r>
              <w:rPr>
                <w:color w:val="auto"/>
                <w:sz w:val="24"/>
                <w:szCs w:val="24"/>
              </w:rPr>
              <w:t>超五年重新审核项目</w:t>
            </w:r>
          </w:p>
          <w:p w14:paraId="35B948D1">
            <w:pPr>
              <w:jc w:val="left"/>
              <w:rPr>
                <w:color w:val="auto"/>
                <w:sz w:val="24"/>
                <w:szCs w:val="24"/>
              </w:rPr>
            </w:pPr>
            <w:r>
              <w:rPr>
                <w:color w:val="auto"/>
                <w:sz w:val="24"/>
                <w:szCs w:val="24"/>
              </w:rPr>
              <w:sym w:font="Wingdings 2" w:char="0052"/>
            </w:r>
            <w:r>
              <w:rPr>
                <w:color w:val="auto"/>
                <w:sz w:val="24"/>
                <w:szCs w:val="24"/>
              </w:rPr>
              <w:t>重大变动重新报批项目</w:t>
            </w:r>
          </w:p>
        </w:tc>
      </w:tr>
      <w:tr w14:paraId="3C770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51" w:hRule="atLeast"/>
          <w:jc w:val="center"/>
        </w:trPr>
        <w:tc>
          <w:tcPr>
            <w:tcW w:w="815" w:type="pct"/>
            <w:gridSpan w:val="2"/>
            <w:tcMar>
              <w:top w:w="16" w:type="dxa"/>
              <w:left w:w="16" w:type="dxa"/>
              <w:right w:w="16" w:type="dxa"/>
            </w:tcMar>
            <w:vAlign w:val="center"/>
          </w:tcPr>
          <w:p w14:paraId="356AE3B8">
            <w:pPr>
              <w:adjustRightInd w:val="0"/>
              <w:snapToGrid w:val="0"/>
              <w:jc w:val="center"/>
              <w:rPr>
                <w:color w:val="auto"/>
                <w:sz w:val="24"/>
                <w:szCs w:val="24"/>
              </w:rPr>
            </w:pPr>
            <w:r>
              <w:rPr>
                <w:color w:val="auto"/>
                <w:sz w:val="24"/>
                <w:szCs w:val="24"/>
              </w:rPr>
              <w:t>项目审批（核准/备案）部门（选填）</w:t>
            </w:r>
          </w:p>
        </w:tc>
        <w:tc>
          <w:tcPr>
            <w:tcW w:w="1451" w:type="pct"/>
            <w:vAlign w:val="center"/>
          </w:tcPr>
          <w:p w14:paraId="60AECCD4">
            <w:pPr>
              <w:adjustRightInd w:val="0"/>
              <w:snapToGrid w:val="0"/>
              <w:jc w:val="center"/>
              <w:rPr>
                <w:rFonts w:hint="eastAsia" w:eastAsia="宋体"/>
                <w:color w:val="auto"/>
                <w:sz w:val="24"/>
                <w:szCs w:val="24"/>
                <w:lang w:eastAsia="zh-CN"/>
              </w:rPr>
            </w:pPr>
            <w:r>
              <w:rPr>
                <w:rFonts w:hint="eastAsia"/>
                <w:color w:val="auto"/>
                <w:sz w:val="24"/>
                <w:szCs w:val="24"/>
                <w:lang w:eastAsia="zh-CN"/>
              </w:rPr>
              <w:t>大田县发展和改革局</w:t>
            </w:r>
          </w:p>
        </w:tc>
        <w:tc>
          <w:tcPr>
            <w:tcW w:w="786" w:type="pct"/>
            <w:vAlign w:val="center"/>
          </w:tcPr>
          <w:p w14:paraId="45EA5BA0">
            <w:pPr>
              <w:adjustRightInd w:val="0"/>
              <w:snapToGrid w:val="0"/>
              <w:jc w:val="center"/>
              <w:rPr>
                <w:color w:val="auto"/>
                <w:sz w:val="24"/>
                <w:szCs w:val="24"/>
              </w:rPr>
            </w:pPr>
            <w:r>
              <w:rPr>
                <w:color w:val="auto"/>
                <w:sz w:val="24"/>
                <w:szCs w:val="24"/>
              </w:rPr>
              <w:t>项目审批（核准/备案）文号（选填）</w:t>
            </w:r>
          </w:p>
        </w:tc>
        <w:tc>
          <w:tcPr>
            <w:tcW w:w="1946" w:type="pct"/>
            <w:vAlign w:val="center"/>
          </w:tcPr>
          <w:p w14:paraId="4AC9D82D">
            <w:pPr>
              <w:adjustRightInd w:val="0"/>
              <w:snapToGrid w:val="0"/>
              <w:jc w:val="center"/>
              <w:rPr>
                <w:color w:val="auto"/>
                <w:sz w:val="24"/>
                <w:szCs w:val="24"/>
              </w:rPr>
            </w:pPr>
            <w:r>
              <w:rPr>
                <w:rFonts w:hint="eastAsia"/>
                <w:color w:val="auto"/>
                <w:sz w:val="24"/>
                <w:szCs w:val="24"/>
              </w:rPr>
              <w:t>闽发改备</w:t>
            </w:r>
            <w:r>
              <w:rPr>
                <w:rFonts w:hint="eastAsia"/>
                <w:color w:val="auto"/>
                <w:sz w:val="24"/>
                <w:szCs w:val="24"/>
                <w:lang w:eastAsia="zh-CN"/>
              </w:rPr>
              <w:t>〔2022〕</w:t>
            </w:r>
            <w:r>
              <w:rPr>
                <w:rFonts w:hint="eastAsia"/>
                <w:color w:val="auto"/>
                <w:sz w:val="24"/>
                <w:szCs w:val="24"/>
              </w:rPr>
              <w:t>G120011号</w:t>
            </w:r>
          </w:p>
        </w:tc>
      </w:tr>
      <w:tr w14:paraId="0499C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815" w:type="pct"/>
            <w:gridSpan w:val="2"/>
            <w:tcMar>
              <w:top w:w="16" w:type="dxa"/>
              <w:left w:w="16" w:type="dxa"/>
              <w:right w:w="16" w:type="dxa"/>
            </w:tcMar>
            <w:vAlign w:val="center"/>
          </w:tcPr>
          <w:p w14:paraId="3C958B8D">
            <w:pPr>
              <w:adjustRightInd w:val="0"/>
              <w:snapToGrid w:val="0"/>
              <w:jc w:val="center"/>
              <w:rPr>
                <w:color w:val="auto"/>
                <w:sz w:val="24"/>
                <w:szCs w:val="24"/>
              </w:rPr>
            </w:pPr>
            <w:r>
              <w:rPr>
                <w:color w:val="auto"/>
                <w:sz w:val="24"/>
                <w:szCs w:val="24"/>
              </w:rPr>
              <w:t>总投资（万元）</w:t>
            </w:r>
          </w:p>
        </w:tc>
        <w:tc>
          <w:tcPr>
            <w:tcW w:w="1451" w:type="pct"/>
            <w:vAlign w:val="center"/>
          </w:tcPr>
          <w:p w14:paraId="5017853A">
            <w:pPr>
              <w:adjustRightInd w:val="0"/>
              <w:snapToGrid w:val="0"/>
              <w:jc w:val="center"/>
              <w:rPr>
                <w:rFonts w:hint="default"/>
                <w:color w:val="auto"/>
                <w:sz w:val="24"/>
                <w:szCs w:val="24"/>
                <w:lang w:val="en-US"/>
              </w:rPr>
            </w:pPr>
            <w:r>
              <w:rPr>
                <w:rFonts w:hint="eastAsia"/>
                <w:color w:val="auto"/>
                <w:sz w:val="24"/>
                <w:szCs w:val="24"/>
                <w:lang w:val="en-US" w:eastAsia="zh-CN"/>
              </w:rPr>
              <w:t>53500</w:t>
            </w:r>
          </w:p>
        </w:tc>
        <w:tc>
          <w:tcPr>
            <w:tcW w:w="786" w:type="pct"/>
            <w:tcMar>
              <w:top w:w="16" w:type="dxa"/>
              <w:left w:w="16" w:type="dxa"/>
              <w:right w:w="16" w:type="dxa"/>
            </w:tcMar>
            <w:vAlign w:val="center"/>
          </w:tcPr>
          <w:p w14:paraId="315ED637">
            <w:pPr>
              <w:adjustRightInd w:val="0"/>
              <w:snapToGrid w:val="0"/>
              <w:jc w:val="center"/>
              <w:rPr>
                <w:color w:val="auto"/>
                <w:sz w:val="24"/>
                <w:szCs w:val="24"/>
                <w:highlight w:val="none"/>
              </w:rPr>
            </w:pPr>
            <w:r>
              <w:rPr>
                <w:color w:val="auto"/>
                <w:sz w:val="24"/>
                <w:szCs w:val="24"/>
                <w:highlight w:val="none"/>
              </w:rPr>
              <w:t>环保投资（万元）</w:t>
            </w:r>
          </w:p>
        </w:tc>
        <w:tc>
          <w:tcPr>
            <w:tcW w:w="1946" w:type="pct"/>
            <w:vAlign w:val="center"/>
          </w:tcPr>
          <w:p w14:paraId="1E4CD526">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330</w:t>
            </w:r>
          </w:p>
        </w:tc>
      </w:tr>
      <w:tr w14:paraId="29738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815" w:type="pct"/>
            <w:gridSpan w:val="2"/>
            <w:tcMar>
              <w:top w:w="16" w:type="dxa"/>
              <w:left w:w="16" w:type="dxa"/>
              <w:right w:w="16" w:type="dxa"/>
            </w:tcMar>
            <w:vAlign w:val="center"/>
          </w:tcPr>
          <w:p w14:paraId="1B38BFBE">
            <w:pPr>
              <w:adjustRightInd w:val="0"/>
              <w:snapToGrid w:val="0"/>
              <w:jc w:val="center"/>
              <w:rPr>
                <w:color w:val="auto"/>
                <w:sz w:val="24"/>
                <w:szCs w:val="24"/>
                <w:highlight w:val="none"/>
              </w:rPr>
            </w:pPr>
            <w:r>
              <w:rPr>
                <w:color w:val="auto"/>
                <w:sz w:val="24"/>
                <w:szCs w:val="24"/>
                <w:highlight w:val="none"/>
              </w:rPr>
              <w:t>环保投资占比（%）</w:t>
            </w:r>
          </w:p>
        </w:tc>
        <w:tc>
          <w:tcPr>
            <w:tcW w:w="1451" w:type="pct"/>
            <w:vAlign w:val="center"/>
          </w:tcPr>
          <w:p w14:paraId="6B20A6E0">
            <w:pPr>
              <w:adjustRightInd w:val="0"/>
              <w:snapToGrid w:val="0"/>
              <w:jc w:val="center"/>
              <w:rPr>
                <w:rFonts w:hint="default" w:eastAsia="宋体"/>
                <w:color w:val="auto"/>
                <w:sz w:val="24"/>
                <w:szCs w:val="24"/>
                <w:lang w:val="en-US" w:eastAsia="zh-CN"/>
              </w:rPr>
            </w:pPr>
            <w:r>
              <w:rPr>
                <w:rFonts w:hint="eastAsia"/>
                <w:color w:val="auto"/>
                <w:sz w:val="24"/>
                <w:szCs w:val="24"/>
                <w:highlight w:val="none"/>
                <w:lang w:val="en-US" w:eastAsia="zh-CN"/>
              </w:rPr>
              <w:t>0.62</w:t>
            </w:r>
          </w:p>
        </w:tc>
        <w:tc>
          <w:tcPr>
            <w:tcW w:w="786" w:type="pct"/>
            <w:tcMar>
              <w:top w:w="16" w:type="dxa"/>
              <w:left w:w="16" w:type="dxa"/>
              <w:right w:w="16" w:type="dxa"/>
            </w:tcMar>
            <w:vAlign w:val="center"/>
          </w:tcPr>
          <w:p w14:paraId="5EAECAD2">
            <w:pPr>
              <w:adjustRightInd w:val="0"/>
              <w:snapToGrid w:val="0"/>
              <w:jc w:val="center"/>
              <w:rPr>
                <w:color w:val="auto"/>
                <w:sz w:val="24"/>
                <w:szCs w:val="24"/>
              </w:rPr>
            </w:pPr>
            <w:r>
              <w:rPr>
                <w:color w:val="auto"/>
                <w:sz w:val="24"/>
                <w:szCs w:val="24"/>
              </w:rPr>
              <w:t>施工工期</w:t>
            </w:r>
          </w:p>
        </w:tc>
        <w:tc>
          <w:tcPr>
            <w:tcW w:w="1946" w:type="pct"/>
            <w:vAlign w:val="center"/>
          </w:tcPr>
          <w:p w14:paraId="72A7C668">
            <w:pPr>
              <w:adjustRightInd w:val="0"/>
              <w:snapToGrid w:val="0"/>
              <w:jc w:val="center"/>
              <w:rPr>
                <w:color w:val="auto"/>
                <w:sz w:val="24"/>
                <w:szCs w:val="24"/>
              </w:rPr>
            </w:pP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个月</w:t>
            </w:r>
          </w:p>
        </w:tc>
      </w:tr>
      <w:tr w14:paraId="56AC8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815" w:type="pct"/>
            <w:gridSpan w:val="2"/>
            <w:tcMar>
              <w:top w:w="16" w:type="dxa"/>
              <w:left w:w="16" w:type="dxa"/>
              <w:right w:w="16" w:type="dxa"/>
            </w:tcMar>
            <w:vAlign w:val="center"/>
          </w:tcPr>
          <w:p w14:paraId="50394541">
            <w:pPr>
              <w:adjustRightInd w:val="0"/>
              <w:snapToGrid w:val="0"/>
              <w:jc w:val="center"/>
              <w:rPr>
                <w:color w:val="auto"/>
                <w:sz w:val="24"/>
                <w:szCs w:val="24"/>
                <w:highlight w:val="none"/>
              </w:rPr>
            </w:pPr>
            <w:r>
              <w:rPr>
                <w:color w:val="auto"/>
                <w:sz w:val="24"/>
                <w:szCs w:val="24"/>
                <w:highlight w:val="none"/>
              </w:rPr>
              <w:t>是否开工建设</w:t>
            </w:r>
          </w:p>
        </w:tc>
        <w:tc>
          <w:tcPr>
            <w:tcW w:w="1451" w:type="pct"/>
            <w:vAlign w:val="center"/>
          </w:tcPr>
          <w:p w14:paraId="4022B976">
            <w:pPr>
              <w:adjustRightInd w:val="0"/>
              <w:snapToGrid w:val="0"/>
              <w:rPr>
                <w:color w:val="auto"/>
                <w:sz w:val="24"/>
                <w:szCs w:val="24"/>
                <w:highlight w:val="none"/>
              </w:rPr>
            </w:pPr>
            <w:r>
              <w:rPr>
                <w:color w:val="auto"/>
                <w:sz w:val="24"/>
                <w:szCs w:val="24"/>
                <w:highlight w:val="none"/>
              </w:rPr>
              <w:sym w:font="Wingdings 2" w:char="00A3"/>
            </w:r>
            <w:r>
              <w:rPr>
                <w:color w:val="auto"/>
                <w:sz w:val="24"/>
                <w:szCs w:val="24"/>
                <w:highlight w:val="none"/>
              </w:rPr>
              <w:t>否</w:t>
            </w:r>
          </w:p>
          <w:p w14:paraId="0F31BE75">
            <w:pPr>
              <w:adjustRightInd w:val="0"/>
              <w:snapToGrid w:val="0"/>
              <w:rPr>
                <w:color w:val="auto"/>
                <w:sz w:val="24"/>
                <w:szCs w:val="24"/>
                <w:highlight w:val="none"/>
              </w:rPr>
            </w:pPr>
            <w:r>
              <w:rPr>
                <w:color w:val="auto"/>
                <w:sz w:val="24"/>
                <w:szCs w:val="24"/>
                <w:highlight w:val="none"/>
              </w:rPr>
              <w:sym w:font="Wingdings 2" w:char="0052"/>
            </w:r>
            <w:r>
              <w:rPr>
                <w:color w:val="auto"/>
                <w:sz w:val="24"/>
                <w:szCs w:val="24"/>
                <w:highlight w:val="none"/>
              </w:rPr>
              <w:t>是：</w:t>
            </w:r>
            <w:r>
              <w:rPr>
                <w:rFonts w:hint="eastAsia"/>
                <w:color w:val="auto"/>
                <w:sz w:val="24"/>
                <w:szCs w:val="24"/>
                <w:highlight w:val="none"/>
                <w:u w:val="single"/>
                <w:lang w:val="en-US" w:eastAsia="zh-CN"/>
              </w:rPr>
              <w:t>项目2023年5月25日通过三明市生态环境局审批(审批文号：明环评田〔2023〕13号)，2023年6月开工建设，因生产工艺、产品方案发生变化，经对照《关于印发污染影响类建设项目重大变动清单（试行）》，属于重大变动，重新报批。</w:t>
            </w:r>
            <w:r>
              <w:rPr>
                <w:color w:val="auto"/>
                <w:sz w:val="24"/>
                <w:szCs w:val="24"/>
                <w:highlight w:val="none"/>
                <w:u w:val="single"/>
              </w:rPr>
              <w:t xml:space="preserve">             </w:t>
            </w:r>
          </w:p>
        </w:tc>
        <w:tc>
          <w:tcPr>
            <w:tcW w:w="786" w:type="pct"/>
            <w:tcMar>
              <w:top w:w="16" w:type="dxa"/>
              <w:left w:w="16" w:type="dxa"/>
              <w:right w:w="16" w:type="dxa"/>
            </w:tcMar>
            <w:vAlign w:val="center"/>
          </w:tcPr>
          <w:p w14:paraId="02645923">
            <w:pPr>
              <w:adjustRightInd w:val="0"/>
              <w:snapToGrid w:val="0"/>
              <w:jc w:val="center"/>
              <w:rPr>
                <w:color w:val="auto"/>
                <w:spacing w:val="-6"/>
                <w:sz w:val="24"/>
                <w:szCs w:val="24"/>
                <w:highlight w:val="none"/>
              </w:rPr>
            </w:pPr>
            <w:r>
              <w:rPr>
                <w:color w:val="auto"/>
                <w:spacing w:val="-6"/>
                <w:sz w:val="24"/>
                <w:szCs w:val="24"/>
                <w:highlight w:val="none"/>
              </w:rPr>
              <w:t>用地（用海）</w:t>
            </w:r>
          </w:p>
          <w:p w14:paraId="5EBC43E4">
            <w:pPr>
              <w:adjustRightInd w:val="0"/>
              <w:snapToGrid w:val="0"/>
              <w:jc w:val="center"/>
              <w:rPr>
                <w:color w:val="auto"/>
                <w:sz w:val="24"/>
                <w:szCs w:val="24"/>
                <w:highlight w:val="none"/>
              </w:rPr>
            </w:pPr>
            <w:r>
              <w:rPr>
                <w:color w:val="auto"/>
                <w:spacing w:val="-6"/>
                <w:sz w:val="24"/>
                <w:szCs w:val="24"/>
                <w:highlight w:val="none"/>
              </w:rPr>
              <w:t>面积（m</w:t>
            </w:r>
            <w:r>
              <w:rPr>
                <w:color w:val="auto"/>
                <w:spacing w:val="-6"/>
                <w:sz w:val="24"/>
                <w:szCs w:val="24"/>
                <w:highlight w:val="none"/>
                <w:vertAlign w:val="superscript"/>
              </w:rPr>
              <w:t>2</w:t>
            </w:r>
            <w:r>
              <w:rPr>
                <w:color w:val="auto"/>
                <w:spacing w:val="-6"/>
                <w:sz w:val="24"/>
                <w:szCs w:val="24"/>
                <w:highlight w:val="none"/>
              </w:rPr>
              <w:t>）</w:t>
            </w:r>
          </w:p>
        </w:tc>
        <w:tc>
          <w:tcPr>
            <w:tcW w:w="1946" w:type="pct"/>
            <w:vAlign w:val="center"/>
          </w:tcPr>
          <w:p w14:paraId="77857A2A">
            <w:pPr>
              <w:adjustRightInd w:val="0"/>
              <w:snapToGrid w:val="0"/>
              <w:jc w:val="center"/>
              <w:rPr>
                <w:color w:val="auto"/>
                <w:sz w:val="24"/>
                <w:szCs w:val="24"/>
                <w:highlight w:val="none"/>
              </w:rPr>
            </w:pPr>
            <w:r>
              <w:rPr>
                <w:rFonts w:hint="eastAsia"/>
                <w:color w:val="auto"/>
                <w:sz w:val="24"/>
                <w:szCs w:val="24"/>
                <w:highlight w:val="none"/>
              </w:rPr>
              <w:t>24445.37</w:t>
            </w:r>
          </w:p>
        </w:tc>
      </w:tr>
      <w:tr w14:paraId="24FB6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21" w:hRule="atLeast"/>
          <w:jc w:val="center"/>
        </w:trPr>
        <w:tc>
          <w:tcPr>
            <w:tcW w:w="422" w:type="pct"/>
            <w:vAlign w:val="center"/>
          </w:tcPr>
          <w:p w14:paraId="333096EF">
            <w:pPr>
              <w:autoSpaceDE w:val="0"/>
              <w:autoSpaceDN w:val="0"/>
              <w:adjustRightInd w:val="0"/>
              <w:snapToGrid w:val="0"/>
              <w:jc w:val="center"/>
              <w:rPr>
                <w:color w:val="auto"/>
                <w:kern w:val="0"/>
                <w:sz w:val="24"/>
                <w:szCs w:val="24"/>
              </w:rPr>
            </w:pPr>
            <w:r>
              <w:rPr>
                <w:color w:val="auto"/>
                <w:kern w:val="0"/>
                <w:sz w:val="24"/>
                <w:szCs w:val="24"/>
              </w:rPr>
              <w:t>专项评价设置情况</w:t>
            </w:r>
          </w:p>
        </w:tc>
        <w:tc>
          <w:tcPr>
            <w:tcW w:w="4577" w:type="pct"/>
            <w:gridSpan w:val="4"/>
            <w:vAlign w:val="center"/>
          </w:tcPr>
          <w:p w14:paraId="6A1B1CE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szCs w:val="24"/>
              </w:rPr>
            </w:pPr>
            <w:r>
              <w:rPr>
                <w:color w:val="auto"/>
                <w:sz w:val="24"/>
                <w:szCs w:val="24"/>
              </w:rPr>
              <w:t>本项目不设置专项评价。具体</w:t>
            </w:r>
            <w:r>
              <w:rPr>
                <w:rFonts w:hint="eastAsia"/>
                <w:color w:val="auto"/>
                <w:sz w:val="24"/>
                <w:szCs w:val="24"/>
              </w:rPr>
              <w:t>判定</w:t>
            </w:r>
            <w:r>
              <w:rPr>
                <w:color w:val="auto"/>
                <w:sz w:val="24"/>
                <w:szCs w:val="24"/>
              </w:rPr>
              <w:t>原则见表1-1。</w:t>
            </w:r>
          </w:p>
          <w:p w14:paraId="2D3087BC">
            <w:pPr>
              <w:pStyle w:val="76"/>
              <w:rPr>
                <w:color w:val="auto"/>
                <w:sz w:val="24"/>
                <w:szCs w:val="24"/>
              </w:rPr>
            </w:pPr>
            <w:r>
              <w:rPr>
                <w:color w:val="auto"/>
                <w:sz w:val="24"/>
                <w:szCs w:val="24"/>
              </w:rPr>
              <w:t>表1-1  专项评价设置原则表</w:t>
            </w:r>
          </w:p>
          <w:tbl>
            <w:tblPr>
              <w:tblStyle w:val="29"/>
              <w:tblW w:w="4995"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51" w:type="dxa"/>
                <w:bottom w:w="0" w:type="dxa"/>
                <w:right w:w="51" w:type="dxa"/>
              </w:tblCellMar>
            </w:tblPr>
            <w:tblGrid>
              <w:gridCol w:w="1070"/>
              <w:gridCol w:w="4078"/>
              <w:gridCol w:w="2610"/>
              <w:gridCol w:w="841"/>
            </w:tblGrid>
            <w:tr w14:paraId="361C48A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jc w:val="center"/>
              </w:trPr>
              <w:tc>
                <w:tcPr>
                  <w:tcW w:w="621" w:type="pct"/>
                  <w:vAlign w:val="center"/>
                </w:tcPr>
                <w:p w14:paraId="39D40B84">
                  <w:pPr>
                    <w:adjustRightInd w:val="0"/>
                    <w:snapToGrid w:val="0"/>
                    <w:jc w:val="center"/>
                    <w:rPr>
                      <w:b/>
                      <w:bCs/>
                      <w:color w:val="auto"/>
                      <w:sz w:val="21"/>
                      <w:szCs w:val="21"/>
                    </w:rPr>
                  </w:pPr>
                  <w:r>
                    <w:rPr>
                      <w:b/>
                      <w:bCs/>
                      <w:color w:val="auto"/>
                      <w:sz w:val="21"/>
                      <w:szCs w:val="21"/>
                    </w:rPr>
                    <w:t>专项评价类别</w:t>
                  </w:r>
                </w:p>
              </w:tc>
              <w:tc>
                <w:tcPr>
                  <w:tcW w:w="2372" w:type="pct"/>
                  <w:vAlign w:val="center"/>
                </w:tcPr>
                <w:p w14:paraId="16CAA717">
                  <w:pPr>
                    <w:adjustRightInd w:val="0"/>
                    <w:snapToGrid w:val="0"/>
                    <w:jc w:val="center"/>
                    <w:rPr>
                      <w:b/>
                      <w:bCs/>
                      <w:color w:val="auto"/>
                      <w:sz w:val="21"/>
                      <w:szCs w:val="21"/>
                    </w:rPr>
                  </w:pPr>
                  <w:r>
                    <w:rPr>
                      <w:b/>
                      <w:bCs/>
                      <w:color w:val="auto"/>
                      <w:sz w:val="21"/>
                      <w:szCs w:val="21"/>
                    </w:rPr>
                    <w:t>设置原则</w:t>
                  </w:r>
                </w:p>
              </w:tc>
              <w:tc>
                <w:tcPr>
                  <w:tcW w:w="1518" w:type="pct"/>
                  <w:vAlign w:val="center"/>
                </w:tcPr>
                <w:p w14:paraId="7778D28D">
                  <w:pPr>
                    <w:adjustRightInd w:val="0"/>
                    <w:snapToGrid w:val="0"/>
                    <w:jc w:val="center"/>
                    <w:rPr>
                      <w:b/>
                      <w:bCs/>
                      <w:color w:val="auto"/>
                      <w:sz w:val="21"/>
                      <w:szCs w:val="21"/>
                    </w:rPr>
                  </w:pPr>
                  <w:r>
                    <w:rPr>
                      <w:b/>
                      <w:bCs/>
                      <w:color w:val="auto"/>
                      <w:sz w:val="21"/>
                      <w:szCs w:val="21"/>
                    </w:rPr>
                    <w:t>本项目</w:t>
                  </w:r>
                </w:p>
              </w:tc>
              <w:tc>
                <w:tcPr>
                  <w:tcW w:w="487" w:type="pct"/>
                  <w:vAlign w:val="center"/>
                </w:tcPr>
                <w:p w14:paraId="71326A13">
                  <w:pPr>
                    <w:adjustRightInd w:val="0"/>
                    <w:snapToGrid w:val="0"/>
                    <w:jc w:val="center"/>
                    <w:rPr>
                      <w:b/>
                      <w:bCs/>
                      <w:color w:val="auto"/>
                      <w:sz w:val="21"/>
                      <w:szCs w:val="21"/>
                    </w:rPr>
                  </w:pPr>
                  <w:r>
                    <w:rPr>
                      <w:b/>
                      <w:bCs/>
                      <w:color w:val="auto"/>
                      <w:sz w:val="21"/>
                      <w:szCs w:val="21"/>
                    </w:rPr>
                    <w:t>是否设置</w:t>
                  </w:r>
                </w:p>
              </w:tc>
            </w:tr>
            <w:tr w14:paraId="043AAD6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jc w:val="center"/>
              </w:trPr>
              <w:tc>
                <w:tcPr>
                  <w:tcW w:w="621" w:type="pct"/>
                  <w:vAlign w:val="center"/>
                </w:tcPr>
                <w:p w14:paraId="761CCC5E">
                  <w:pPr>
                    <w:adjustRightInd w:val="0"/>
                    <w:snapToGrid w:val="0"/>
                    <w:jc w:val="center"/>
                    <w:rPr>
                      <w:color w:val="auto"/>
                      <w:sz w:val="21"/>
                      <w:szCs w:val="21"/>
                    </w:rPr>
                  </w:pPr>
                  <w:r>
                    <w:rPr>
                      <w:color w:val="auto"/>
                      <w:sz w:val="21"/>
                      <w:szCs w:val="21"/>
                    </w:rPr>
                    <w:t>大气</w:t>
                  </w:r>
                </w:p>
              </w:tc>
              <w:tc>
                <w:tcPr>
                  <w:tcW w:w="2372" w:type="pct"/>
                  <w:vAlign w:val="center"/>
                </w:tcPr>
                <w:p w14:paraId="49D922D7">
                  <w:pPr>
                    <w:adjustRightInd w:val="0"/>
                    <w:snapToGrid w:val="0"/>
                    <w:jc w:val="left"/>
                    <w:rPr>
                      <w:color w:val="auto"/>
                      <w:sz w:val="21"/>
                      <w:szCs w:val="21"/>
                    </w:rPr>
                  </w:pPr>
                  <w:r>
                    <w:rPr>
                      <w:color w:val="auto"/>
                      <w:sz w:val="21"/>
                      <w:szCs w:val="21"/>
                    </w:rPr>
                    <w:t>排放废气含有毒有害污染物</w:t>
                  </w:r>
                  <w:r>
                    <w:rPr>
                      <w:color w:val="auto"/>
                      <w:sz w:val="21"/>
                      <w:szCs w:val="21"/>
                      <w:vertAlign w:val="superscript"/>
                    </w:rPr>
                    <w:t>1</w:t>
                  </w:r>
                  <w:r>
                    <w:rPr>
                      <w:color w:val="auto"/>
                      <w:sz w:val="21"/>
                      <w:szCs w:val="21"/>
                    </w:rPr>
                    <w:t>、二噁英、苯并[a]芘、氰化物、氯气且厂界外500米范围内有环境空气保护目标</w:t>
                  </w:r>
                  <w:r>
                    <w:rPr>
                      <w:color w:val="auto"/>
                      <w:sz w:val="21"/>
                      <w:szCs w:val="21"/>
                      <w:vertAlign w:val="superscript"/>
                    </w:rPr>
                    <w:t>2</w:t>
                  </w:r>
                  <w:r>
                    <w:rPr>
                      <w:color w:val="auto"/>
                      <w:sz w:val="21"/>
                      <w:szCs w:val="21"/>
                    </w:rPr>
                    <w:t>的建设项目</w:t>
                  </w:r>
                </w:p>
              </w:tc>
              <w:tc>
                <w:tcPr>
                  <w:tcW w:w="1518" w:type="pct"/>
                  <w:vAlign w:val="center"/>
                </w:tcPr>
                <w:p w14:paraId="2A1A7324">
                  <w:pPr>
                    <w:adjustRightInd w:val="0"/>
                    <w:snapToGrid w:val="0"/>
                    <w:jc w:val="center"/>
                    <w:rPr>
                      <w:color w:val="auto"/>
                      <w:sz w:val="21"/>
                      <w:szCs w:val="21"/>
                      <w:highlight w:val="none"/>
                    </w:rPr>
                  </w:pPr>
                  <w:r>
                    <w:rPr>
                      <w:rFonts w:hint="eastAsia"/>
                      <w:color w:val="auto"/>
                      <w:sz w:val="21"/>
                      <w:szCs w:val="21"/>
                      <w:highlight w:val="none"/>
                    </w:rPr>
                    <w:t>项目排放的废气涉及甲醛，但项目厂界外500米范围内无自然保护区、风景名胜区、居住区、文化区和农村地区中人群较集中的区域等环境空气保护目标</w:t>
                  </w:r>
                </w:p>
              </w:tc>
              <w:tc>
                <w:tcPr>
                  <w:tcW w:w="487" w:type="pct"/>
                  <w:vAlign w:val="center"/>
                </w:tcPr>
                <w:p w14:paraId="53BFE82B">
                  <w:pPr>
                    <w:adjustRightInd w:val="0"/>
                    <w:snapToGrid w:val="0"/>
                    <w:jc w:val="center"/>
                    <w:rPr>
                      <w:color w:val="auto"/>
                      <w:sz w:val="21"/>
                      <w:szCs w:val="21"/>
                    </w:rPr>
                  </w:pPr>
                  <w:r>
                    <w:rPr>
                      <w:color w:val="auto"/>
                      <w:sz w:val="21"/>
                      <w:szCs w:val="21"/>
                    </w:rPr>
                    <w:t>否</w:t>
                  </w:r>
                </w:p>
              </w:tc>
            </w:tr>
            <w:tr w14:paraId="2BB5043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707" w:hRule="atLeast"/>
                <w:jc w:val="center"/>
              </w:trPr>
              <w:tc>
                <w:tcPr>
                  <w:tcW w:w="621" w:type="pct"/>
                  <w:vAlign w:val="center"/>
                </w:tcPr>
                <w:p w14:paraId="5A1A7ACA">
                  <w:pPr>
                    <w:adjustRightInd w:val="0"/>
                    <w:snapToGrid w:val="0"/>
                    <w:jc w:val="center"/>
                    <w:rPr>
                      <w:color w:val="auto"/>
                      <w:sz w:val="21"/>
                      <w:szCs w:val="21"/>
                    </w:rPr>
                  </w:pPr>
                  <w:r>
                    <w:rPr>
                      <w:color w:val="auto"/>
                      <w:sz w:val="21"/>
                      <w:szCs w:val="21"/>
                    </w:rPr>
                    <w:t>地表水</w:t>
                  </w:r>
                </w:p>
              </w:tc>
              <w:tc>
                <w:tcPr>
                  <w:tcW w:w="2372" w:type="pct"/>
                  <w:vAlign w:val="center"/>
                </w:tcPr>
                <w:p w14:paraId="44E590B1">
                  <w:pPr>
                    <w:adjustRightInd w:val="0"/>
                    <w:snapToGrid w:val="0"/>
                    <w:jc w:val="left"/>
                    <w:rPr>
                      <w:color w:val="auto"/>
                      <w:sz w:val="21"/>
                      <w:szCs w:val="21"/>
                    </w:rPr>
                  </w:pPr>
                  <w:r>
                    <w:rPr>
                      <w:color w:val="auto"/>
                      <w:sz w:val="21"/>
                      <w:szCs w:val="21"/>
                    </w:rPr>
                    <w:t>新增工业废水直排建设项目（槽罐车外送污水处理厂的除外）；</w:t>
                  </w:r>
                </w:p>
                <w:p w14:paraId="35ECB310">
                  <w:pPr>
                    <w:adjustRightInd w:val="0"/>
                    <w:snapToGrid w:val="0"/>
                    <w:jc w:val="left"/>
                    <w:rPr>
                      <w:color w:val="auto"/>
                      <w:sz w:val="21"/>
                      <w:szCs w:val="21"/>
                    </w:rPr>
                  </w:pPr>
                  <w:r>
                    <w:rPr>
                      <w:color w:val="auto"/>
                      <w:sz w:val="21"/>
                      <w:szCs w:val="21"/>
                    </w:rPr>
                    <w:t>新增废水直排</w:t>
                  </w:r>
                  <w:r>
                    <w:rPr>
                      <w:rFonts w:hint="eastAsia"/>
                      <w:color w:val="auto"/>
                      <w:sz w:val="21"/>
                      <w:szCs w:val="21"/>
                    </w:rPr>
                    <w:t>的</w:t>
                  </w:r>
                  <w:r>
                    <w:rPr>
                      <w:color w:val="auto"/>
                      <w:sz w:val="21"/>
                      <w:szCs w:val="21"/>
                    </w:rPr>
                    <w:t>污水集中处理厂</w:t>
                  </w:r>
                </w:p>
              </w:tc>
              <w:tc>
                <w:tcPr>
                  <w:tcW w:w="1518" w:type="pct"/>
                  <w:vAlign w:val="center"/>
                </w:tcPr>
                <w:p w14:paraId="549E41B5">
                  <w:pPr>
                    <w:adjustRightInd w:val="0"/>
                    <w:snapToGrid w:val="0"/>
                    <w:jc w:val="center"/>
                    <w:rPr>
                      <w:color w:val="auto"/>
                      <w:sz w:val="21"/>
                      <w:szCs w:val="21"/>
                    </w:rPr>
                  </w:pPr>
                  <w:r>
                    <w:rPr>
                      <w:color w:val="auto"/>
                      <w:sz w:val="21"/>
                      <w:szCs w:val="21"/>
                    </w:rPr>
                    <w:t>本项目</w:t>
                  </w:r>
                  <w:r>
                    <w:rPr>
                      <w:rFonts w:hint="eastAsia"/>
                      <w:color w:val="auto"/>
                      <w:sz w:val="21"/>
                      <w:szCs w:val="21"/>
                    </w:rPr>
                    <w:t>无工业废水排放</w:t>
                  </w:r>
                </w:p>
              </w:tc>
              <w:tc>
                <w:tcPr>
                  <w:tcW w:w="487" w:type="pct"/>
                  <w:vAlign w:val="center"/>
                </w:tcPr>
                <w:p w14:paraId="564B8EE0">
                  <w:pPr>
                    <w:adjustRightInd w:val="0"/>
                    <w:snapToGrid w:val="0"/>
                    <w:jc w:val="center"/>
                    <w:rPr>
                      <w:color w:val="auto"/>
                      <w:sz w:val="21"/>
                      <w:szCs w:val="21"/>
                    </w:rPr>
                  </w:pPr>
                  <w:r>
                    <w:rPr>
                      <w:color w:val="auto"/>
                      <w:sz w:val="21"/>
                      <w:szCs w:val="21"/>
                    </w:rPr>
                    <w:t>否</w:t>
                  </w:r>
                </w:p>
              </w:tc>
            </w:tr>
            <w:tr w14:paraId="5B2EED2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jc w:val="center"/>
              </w:trPr>
              <w:tc>
                <w:tcPr>
                  <w:tcW w:w="621" w:type="pct"/>
                  <w:vAlign w:val="center"/>
                </w:tcPr>
                <w:p w14:paraId="5A6F677A">
                  <w:pPr>
                    <w:adjustRightInd w:val="0"/>
                    <w:snapToGrid w:val="0"/>
                    <w:jc w:val="center"/>
                    <w:rPr>
                      <w:color w:val="auto"/>
                      <w:sz w:val="21"/>
                      <w:szCs w:val="21"/>
                    </w:rPr>
                  </w:pPr>
                  <w:r>
                    <w:rPr>
                      <w:color w:val="auto"/>
                      <w:sz w:val="21"/>
                      <w:szCs w:val="21"/>
                    </w:rPr>
                    <w:t>环境风险</w:t>
                  </w:r>
                </w:p>
              </w:tc>
              <w:tc>
                <w:tcPr>
                  <w:tcW w:w="2372" w:type="pct"/>
                  <w:vAlign w:val="center"/>
                </w:tcPr>
                <w:p w14:paraId="7EE1A7AE">
                  <w:pPr>
                    <w:adjustRightInd w:val="0"/>
                    <w:snapToGrid w:val="0"/>
                    <w:jc w:val="left"/>
                    <w:rPr>
                      <w:color w:val="auto"/>
                      <w:sz w:val="21"/>
                      <w:szCs w:val="21"/>
                    </w:rPr>
                  </w:pPr>
                  <w:r>
                    <w:rPr>
                      <w:color w:val="auto"/>
                      <w:sz w:val="21"/>
                      <w:szCs w:val="21"/>
                    </w:rPr>
                    <w:t>有毒有害和易燃易爆危险物质存储量超过临界量</w:t>
                  </w:r>
                  <w:r>
                    <w:rPr>
                      <w:color w:val="auto"/>
                      <w:sz w:val="21"/>
                      <w:szCs w:val="21"/>
                      <w:vertAlign w:val="superscript"/>
                    </w:rPr>
                    <w:t>3</w:t>
                  </w:r>
                  <w:r>
                    <w:rPr>
                      <w:color w:val="auto"/>
                      <w:sz w:val="21"/>
                      <w:szCs w:val="21"/>
                    </w:rPr>
                    <w:t>的建设项目</w:t>
                  </w:r>
                </w:p>
              </w:tc>
              <w:tc>
                <w:tcPr>
                  <w:tcW w:w="1518" w:type="pct"/>
                  <w:vAlign w:val="center"/>
                </w:tcPr>
                <w:p w14:paraId="31EAC1C9">
                  <w:pPr>
                    <w:adjustRightInd w:val="0"/>
                    <w:snapToGrid w:val="0"/>
                    <w:jc w:val="center"/>
                    <w:rPr>
                      <w:color w:val="auto"/>
                      <w:sz w:val="21"/>
                      <w:szCs w:val="21"/>
                    </w:rPr>
                  </w:pPr>
                  <w:r>
                    <w:rPr>
                      <w:rFonts w:hint="eastAsia"/>
                      <w:color w:val="auto"/>
                      <w:sz w:val="21"/>
                      <w:szCs w:val="21"/>
                      <w:lang w:val="en-US" w:eastAsia="zh-CN"/>
                    </w:rPr>
                    <w:t>本项目环境风险物质暂存量均未超过临界量</w:t>
                  </w:r>
                  <w:r>
                    <w:rPr>
                      <w:color w:val="auto"/>
                      <w:sz w:val="21"/>
                      <w:szCs w:val="21"/>
                    </w:rPr>
                    <w:t>。</w:t>
                  </w:r>
                </w:p>
              </w:tc>
              <w:tc>
                <w:tcPr>
                  <w:tcW w:w="487" w:type="pct"/>
                  <w:vAlign w:val="center"/>
                </w:tcPr>
                <w:p w14:paraId="1619145D">
                  <w:pPr>
                    <w:adjustRightInd w:val="0"/>
                    <w:snapToGrid w:val="0"/>
                    <w:jc w:val="center"/>
                    <w:rPr>
                      <w:color w:val="auto"/>
                      <w:sz w:val="21"/>
                      <w:szCs w:val="21"/>
                    </w:rPr>
                  </w:pPr>
                  <w:r>
                    <w:rPr>
                      <w:color w:val="auto"/>
                      <w:sz w:val="21"/>
                      <w:szCs w:val="21"/>
                    </w:rPr>
                    <w:t>否</w:t>
                  </w:r>
                </w:p>
              </w:tc>
            </w:tr>
            <w:tr w14:paraId="43B8C78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51" w:type="dxa"/>
                  <w:bottom w:w="0" w:type="dxa"/>
                  <w:right w:w="51" w:type="dxa"/>
                </w:tblCellMar>
              </w:tblPrEx>
              <w:trPr>
                <w:trHeight w:val="787" w:hRule="atLeast"/>
                <w:jc w:val="center"/>
              </w:trPr>
              <w:tc>
                <w:tcPr>
                  <w:tcW w:w="621" w:type="pct"/>
                  <w:vAlign w:val="center"/>
                </w:tcPr>
                <w:p w14:paraId="324DDCCC">
                  <w:pPr>
                    <w:adjustRightInd w:val="0"/>
                    <w:snapToGrid w:val="0"/>
                    <w:jc w:val="center"/>
                    <w:rPr>
                      <w:color w:val="auto"/>
                      <w:sz w:val="21"/>
                      <w:szCs w:val="21"/>
                    </w:rPr>
                  </w:pPr>
                  <w:r>
                    <w:rPr>
                      <w:color w:val="auto"/>
                      <w:sz w:val="21"/>
                      <w:szCs w:val="21"/>
                    </w:rPr>
                    <w:t>生态</w:t>
                  </w:r>
                </w:p>
              </w:tc>
              <w:tc>
                <w:tcPr>
                  <w:tcW w:w="2372" w:type="pct"/>
                  <w:vAlign w:val="center"/>
                </w:tcPr>
                <w:p w14:paraId="701C44D7">
                  <w:pPr>
                    <w:adjustRightInd w:val="0"/>
                    <w:snapToGrid w:val="0"/>
                    <w:jc w:val="left"/>
                    <w:rPr>
                      <w:color w:val="auto"/>
                      <w:sz w:val="21"/>
                      <w:szCs w:val="21"/>
                    </w:rPr>
                  </w:pPr>
                  <w:r>
                    <w:rPr>
                      <w:color w:val="auto"/>
                      <w:sz w:val="21"/>
                      <w:szCs w:val="21"/>
                    </w:rPr>
                    <w:t>取水口下游500米范围内有重要水生生物的自然产卵场、索饵场、越冬场和洄游</w:t>
                  </w:r>
                  <w:r>
                    <w:rPr>
                      <w:rFonts w:hint="eastAsia"/>
                      <w:color w:val="auto"/>
                      <w:sz w:val="21"/>
                      <w:szCs w:val="21"/>
                      <w:lang w:val="en-US" w:eastAsia="zh-CN"/>
                    </w:rPr>
                    <w:t>通道</w:t>
                  </w:r>
                  <w:r>
                    <w:rPr>
                      <w:color w:val="auto"/>
                      <w:sz w:val="21"/>
                      <w:szCs w:val="21"/>
                    </w:rPr>
                    <w:t>的新增河道取水的污染类建设项目</w:t>
                  </w:r>
                </w:p>
              </w:tc>
              <w:tc>
                <w:tcPr>
                  <w:tcW w:w="1518" w:type="pct"/>
                  <w:vAlign w:val="center"/>
                </w:tcPr>
                <w:p w14:paraId="0789D7EE">
                  <w:pPr>
                    <w:adjustRightInd w:val="0"/>
                    <w:snapToGrid w:val="0"/>
                    <w:jc w:val="center"/>
                    <w:rPr>
                      <w:color w:val="auto"/>
                      <w:sz w:val="21"/>
                      <w:szCs w:val="21"/>
                    </w:rPr>
                  </w:pPr>
                  <w:r>
                    <w:rPr>
                      <w:color w:val="auto"/>
                      <w:sz w:val="21"/>
                      <w:szCs w:val="21"/>
                    </w:rPr>
                    <w:t>本项目不属于河道取水项目</w:t>
                  </w:r>
                </w:p>
              </w:tc>
              <w:tc>
                <w:tcPr>
                  <w:tcW w:w="487" w:type="pct"/>
                  <w:vAlign w:val="center"/>
                </w:tcPr>
                <w:p w14:paraId="4E2D879F">
                  <w:pPr>
                    <w:adjustRightInd w:val="0"/>
                    <w:snapToGrid w:val="0"/>
                    <w:jc w:val="center"/>
                    <w:rPr>
                      <w:color w:val="auto"/>
                      <w:sz w:val="21"/>
                      <w:szCs w:val="21"/>
                    </w:rPr>
                  </w:pPr>
                  <w:r>
                    <w:rPr>
                      <w:color w:val="auto"/>
                      <w:sz w:val="21"/>
                      <w:szCs w:val="21"/>
                    </w:rPr>
                    <w:t>否</w:t>
                  </w:r>
                </w:p>
              </w:tc>
            </w:tr>
            <w:tr w14:paraId="1119F5F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PrEx>
              <w:trPr>
                <w:jc w:val="center"/>
              </w:trPr>
              <w:tc>
                <w:tcPr>
                  <w:tcW w:w="621" w:type="pct"/>
                  <w:vAlign w:val="center"/>
                </w:tcPr>
                <w:p w14:paraId="22CAC3E2">
                  <w:pPr>
                    <w:adjustRightInd w:val="0"/>
                    <w:snapToGrid w:val="0"/>
                    <w:jc w:val="center"/>
                    <w:rPr>
                      <w:color w:val="auto"/>
                      <w:sz w:val="21"/>
                      <w:szCs w:val="21"/>
                    </w:rPr>
                  </w:pPr>
                  <w:r>
                    <w:rPr>
                      <w:color w:val="auto"/>
                      <w:sz w:val="21"/>
                      <w:szCs w:val="21"/>
                    </w:rPr>
                    <w:t>海洋</w:t>
                  </w:r>
                </w:p>
              </w:tc>
              <w:tc>
                <w:tcPr>
                  <w:tcW w:w="2372" w:type="pct"/>
                  <w:vAlign w:val="center"/>
                </w:tcPr>
                <w:p w14:paraId="57C98007">
                  <w:pPr>
                    <w:adjustRightInd w:val="0"/>
                    <w:snapToGrid w:val="0"/>
                    <w:jc w:val="left"/>
                    <w:rPr>
                      <w:color w:val="auto"/>
                      <w:sz w:val="21"/>
                      <w:szCs w:val="21"/>
                    </w:rPr>
                  </w:pPr>
                  <w:r>
                    <w:rPr>
                      <w:color w:val="auto"/>
                      <w:sz w:val="21"/>
                      <w:szCs w:val="21"/>
                    </w:rPr>
                    <w:t>直接向海排放污染物的海洋工程建设项目</w:t>
                  </w:r>
                </w:p>
              </w:tc>
              <w:tc>
                <w:tcPr>
                  <w:tcW w:w="1518" w:type="pct"/>
                  <w:vAlign w:val="center"/>
                </w:tcPr>
                <w:p w14:paraId="68417EF5">
                  <w:pPr>
                    <w:adjustRightInd w:val="0"/>
                    <w:snapToGrid w:val="0"/>
                    <w:jc w:val="center"/>
                    <w:rPr>
                      <w:color w:val="auto"/>
                      <w:sz w:val="21"/>
                      <w:szCs w:val="21"/>
                    </w:rPr>
                  </w:pPr>
                  <w:r>
                    <w:rPr>
                      <w:color w:val="auto"/>
                      <w:sz w:val="21"/>
                      <w:szCs w:val="21"/>
                    </w:rPr>
                    <w:t>本项目</w:t>
                  </w:r>
                  <w:r>
                    <w:rPr>
                      <w:rFonts w:hint="eastAsia"/>
                      <w:color w:val="auto"/>
                      <w:sz w:val="21"/>
                      <w:szCs w:val="21"/>
                    </w:rPr>
                    <w:t>不涉及海洋工程</w:t>
                  </w:r>
                </w:p>
              </w:tc>
              <w:tc>
                <w:tcPr>
                  <w:tcW w:w="487" w:type="pct"/>
                  <w:vAlign w:val="center"/>
                </w:tcPr>
                <w:p w14:paraId="33B064DB">
                  <w:pPr>
                    <w:adjustRightInd w:val="0"/>
                    <w:snapToGrid w:val="0"/>
                    <w:jc w:val="center"/>
                    <w:rPr>
                      <w:color w:val="auto"/>
                      <w:sz w:val="21"/>
                      <w:szCs w:val="21"/>
                    </w:rPr>
                  </w:pPr>
                  <w:r>
                    <w:rPr>
                      <w:color w:val="auto"/>
                      <w:sz w:val="21"/>
                      <w:szCs w:val="21"/>
                    </w:rPr>
                    <w:t>否</w:t>
                  </w:r>
                </w:p>
              </w:tc>
            </w:tr>
          </w:tbl>
          <w:p w14:paraId="2BFD8E06">
            <w:pPr>
              <w:adjustRightInd w:val="0"/>
              <w:snapToGrid w:val="0"/>
              <w:rPr>
                <w:color w:val="auto"/>
                <w:sz w:val="21"/>
                <w:szCs w:val="21"/>
              </w:rPr>
            </w:pPr>
            <w:r>
              <w:rPr>
                <w:color w:val="auto"/>
                <w:sz w:val="21"/>
                <w:szCs w:val="21"/>
              </w:rPr>
              <w:t>注</w:t>
            </w:r>
            <w:r>
              <w:rPr>
                <w:rFonts w:hint="eastAsia"/>
                <w:color w:val="auto"/>
                <w:sz w:val="21"/>
                <w:szCs w:val="21"/>
                <w:lang w:eastAsia="zh-CN"/>
              </w:rPr>
              <w:t>：</w:t>
            </w:r>
            <w:r>
              <w:rPr>
                <w:color w:val="auto"/>
                <w:sz w:val="21"/>
                <w:szCs w:val="21"/>
              </w:rPr>
              <w:t>1.废</w:t>
            </w:r>
            <w:r>
              <w:rPr>
                <w:rFonts w:hint="eastAsia"/>
                <w:color w:val="auto"/>
                <w:sz w:val="21"/>
                <w:szCs w:val="21"/>
              </w:rPr>
              <w:t>气</w:t>
            </w:r>
            <w:r>
              <w:rPr>
                <w:color w:val="auto"/>
                <w:sz w:val="21"/>
                <w:szCs w:val="21"/>
              </w:rPr>
              <w:t>中有毒有害污染物指南纳入《有毒有害大气污染物名录》的污染物（不包括无排放标准的污染物）</w:t>
            </w:r>
            <w:r>
              <w:rPr>
                <w:rFonts w:hint="eastAsia"/>
                <w:color w:val="auto"/>
                <w:sz w:val="21"/>
                <w:szCs w:val="21"/>
              </w:rPr>
              <w:t>。</w:t>
            </w:r>
          </w:p>
          <w:p w14:paraId="393E43BD">
            <w:pPr>
              <w:adjustRightInd w:val="0"/>
              <w:snapToGrid w:val="0"/>
              <w:ind w:firstLine="420" w:firstLineChars="200"/>
              <w:rPr>
                <w:color w:val="auto"/>
                <w:sz w:val="21"/>
                <w:szCs w:val="21"/>
              </w:rPr>
            </w:pPr>
            <w:r>
              <w:rPr>
                <w:color w:val="auto"/>
                <w:sz w:val="21"/>
                <w:szCs w:val="21"/>
              </w:rPr>
              <w:t>2.环境空气保护目标指自然保护区、风景名胜区、居住区、文化区和农村地区中人群较集中的区域。</w:t>
            </w:r>
          </w:p>
          <w:p w14:paraId="24B96F0C">
            <w:pPr>
              <w:pStyle w:val="5"/>
              <w:spacing w:line="240" w:lineRule="auto"/>
              <w:ind w:firstLine="420" w:firstLineChars="200"/>
              <w:rPr>
                <w:color w:val="auto"/>
                <w:sz w:val="21"/>
                <w:szCs w:val="21"/>
              </w:rPr>
            </w:pPr>
            <w:r>
              <w:rPr>
                <w:color w:val="auto"/>
                <w:sz w:val="21"/>
                <w:szCs w:val="21"/>
              </w:rPr>
              <w:t>3.临界量及其计算方法可参照《建设项目环境风险技术导则》（HJ169）附录B、附录C。</w:t>
            </w:r>
          </w:p>
          <w:p w14:paraId="78E5DA7A">
            <w:pPr>
              <w:pStyle w:val="5"/>
              <w:spacing w:line="240" w:lineRule="auto"/>
              <w:ind w:firstLine="420" w:firstLineChars="200"/>
              <w:rPr>
                <w:color w:val="auto"/>
                <w:sz w:val="24"/>
                <w:szCs w:val="24"/>
              </w:rPr>
            </w:pPr>
            <w:r>
              <w:rPr>
                <w:rFonts w:hint="eastAsia"/>
                <w:color w:val="auto"/>
                <w:sz w:val="21"/>
                <w:szCs w:val="21"/>
              </w:rPr>
              <w:t>4.根据建设项目环境影响报告表编制技术指南(污染影响类)(试行)</w:t>
            </w:r>
            <w:r>
              <w:rPr>
                <w:rFonts w:hint="eastAsia"/>
                <w:color w:val="auto"/>
                <w:sz w:val="21"/>
                <w:szCs w:val="21"/>
                <w:lang w:eastAsia="zh-CN"/>
              </w:rPr>
              <w:t>，</w:t>
            </w:r>
            <w:r>
              <w:rPr>
                <w:rFonts w:hint="eastAsia"/>
                <w:color w:val="auto"/>
                <w:sz w:val="21"/>
                <w:szCs w:val="21"/>
              </w:rPr>
              <w:t>“土壤、声环境不开展专项评价。地下水原则上不开展专项评价，涉及集中式饮用水水源和热水、矿泉水、温泉等特殊地下水资源保护区的开展地下水专项评价工作”，本项目不涉及集中式饮用水水源和热水、矿泉水、温泉等特殊地下水资源保护区，因此本次评价不设置地下水和土壤专项评价。</w:t>
            </w:r>
          </w:p>
        </w:tc>
      </w:tr>
      <w:tr w14:paraId="618D5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21" w:hRule="atLeast"/>
          <w:jc w:val="center"/>
        </w:trPr>
        <w:tc>
          <w:tcPr>
            <w:tcW w:w="422" w:type="pct"/>
            <w:vAlign w:val="center"/>
          </w:tcPr>
          <w:p w14:paraId="5AA745BE">
            <w:pPr>
              <w:autoSpaceDE w:val="0"/>
              <w:autoSpaceDN w:val="0"/>
              <w:adjustRightInd w:val="0"/>
              <w:snapToGrid w:val="0"/>
              <w:jc w:val="center"/>
              <w:rPr>
                <w:color w:val="auto"/>
                <w:kern w:val="0"/>
                <w:sz w:val="24"/>
                <w:szCs w:val="24"/>
              </w:rPr>
            </w:pPr>
            <w:r>
              <w:rPr>
                <w:color w:val="auto"/>
                <w:sz w:val="24"/>
                <w:szCs w:val="24"/>
              </w:rPr>
              <w:t>规划情况</w:t>
            </w:r>
          </w:p>
        </w:tc>
        <w:tc>
          <w:tcPr>
            <w:tcW w:w="4577" w:type="pct"/>
            <w:gridSpan w:val="4"/>
            <w:vAlign w:val="center"/>
          </w:tcPr>
          <w:p w14:paraId="55ECCE42">
            <w:pPr>
              <w:autoSpaceDE w:val="0"/>
              <w:autoSpaceDN w:val="0"/>
              <w:snapToGrid/>
              <w:spacing w:line="440" w:lineRule="exact"/>
              <w:rPr>
                <w:rFonts w:hint="eastAsia" w:ascii="Times New Roman" w:hAnsi="Times New Roman" w:cs="Times New Roman"/>
                <w:color w:val="auto"/>
                <w:kern w:val="0"/>
                <w:sz w:val="24"/>
                <w:szCs w:val="24"/>
                <w:highlight w:val="none"/>
                <w:lang w:eastAsia="zh-CN"/>
              </w:rPr>
            </w:pP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1</w:t>
            </w:r>
            <w:r>
              <w:rPr>
                <w:rFonts w:hint="eastAsia" w:cs="Times New Roman"/>
                <w:color w:val="auto"/>
                <w:kern w:val="0"/>
                <w:sz w:val="24"/>
                <w:szCs w:val="24"/>
                <w:highlight w:val="none"/>
                <w:lang w:eastAsia="zh-CN"/>
              </w:rPr>
              <w:t>）《</w:t>
            </w:r>
            <w:r>
              <w:rPr>
                <w:rFonts w:hint="eastAsia"/>
                <w:color w:val="auto"/>
                <w:kern w:val="0"/>
                <w:sz w:val="24"/>
                <w:lang w:val="en-US" w:eastAsia="zh-CN"/>
              </w:rPr>
              <w:t>大田县国土空间总体规划（2021-2035年）</w:t>
            </w:r>
            <w:r>
              <w:rPr>
                <w:rFonts w:hint="eastAsia" w:cs="Times New Roman"/>
                <w:color w:val="auto"/>
                <w:kern w:val="0"/>
                <w:sz w:val="24"/>
                <w:szCs w:val="24"/>
                <w:highlight w:val="none"/>
                <w:lang w:eastAsia="zh-CN"/>
              </w:rPr>
              <w:t>》</w:t>
            </w:r>
          </w:p>
          <w:p w14:paraId="04A26549">
            <w:pPr>
              <w:autoSpaceDE w:val="0"/>
              <w:autoSpaceDN w:val="0"/>
              <w:snapToGrid/>
              <w:spacing w:line="440" w:lineRule="exact"/>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审批机关：</w:t>
            </w:r>
            <w:r>
              <w:rPr>
                <w:rFonts w:hint="eastAsia" w:ascii="Times New Roman" w:hAnsi="Times New Roman" w:cs="Times New Roman"/>
                <w:color w:val="auto"/>
                <w:kern w:val="0"/>
                <w:sz w:val="24"/>
                <w:szCs w:val="24"/>
                <w:highlight w:val="none"/>
                <w:lang w:val="en-US" w:eastAsia="zh-CN"/>
              </w:rPr>
              <w:t>福建省</w:t>
            </w:r>
            <w:r>
              <w:rPr>
                <w:rFonts w:hint="default" w:ascii="Times New Roman" w:hAnsi="Times New Roman" w:cs="Times New Roman"/>
                <w:color w:val="auto"/>
                <w:kern w:val="0"/>
                <w:sz w:val="24"/>
                <w:szCs w:val="24"/>
                <w:highlight w:val="none"/>
                <w:lang w:eastAsia="zh-CN"/>
              </w:rPr>
              <w:t>人民政府</w:t>
            </w:r>
          </w:p>
          <w:p w14:paraId="069B9632">
            <w:pPr>
              <w:autoSpaceDE w:val="0"/>
              <w:autoSpaceDN w:val="0"/>
              <w:snapToGrid/>
              <w:spacing w:line="440" w:lineRule="exact"/>
              <w:rPr>
                <w:rFonts w:hint="eastAsia"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审批文件名称及文号：</w:t>
            </w:r>
            <w:r>
              <w:rPr>
                <w:rFonts w:hint="default" w:ascii="Times New Roman" w:hAnsi="Times New Roman" w:cs="Times New Roman"/>
                <w:color w:val="auto"/>
                <w:kern w:val="0"/>
                <w:sz w:val="24"/>
                <w:szCs w:val="24"/>
                <w:highlight w:val="none"/>
                <w:lang w:eastAsia="zh-CN"/>
              </w:rPr>
              <w:t>闽政文〔2024〕193号</w:t>
            </w:r>
          </w:p>
          <w:p w14:paraId="5AB9C193">
            <w:pPr>
              <w:autoSpaceDE w:val="0"/>
              <w:autoSpaceDN w:val="0"/>
              <w:spacing w:line="440" w:lineRule="exact"/>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2</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文件名称：《福建（大田）机械铸造产业集聚区控制性详细规划》</w:t>
            </w:r>
          </w:p>
          <w:p w14:paraId="2497460A">
            <w:pPr>
              <w:autoSpaceDE w:val="0"/>
              <w:autoSpaceDN w:val="0"/>
              <w:spacing w:line="440" w:lineRule="exac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审批机关：大田县人民政府</w:t>
            </w:r>
          </w:p>
          <w:p w14:paraId="0C1E29AA">
            <w:pPr>
              <w:autoSpaceDE w:val="0"/>
              <w:autoSpaceDN w:val="0"/>
              <w:spacing w:line="440" w:lineRule="exact"/>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审批文件名称及文号：大田县人民政府关于福建（大田）机械铸造产业集聚区控制性详细规划的批复，田政函</w:t>
            </w:r>
            <w:r>
              <w:rPr>
                <w:rFonts w:hint="eastAsia" w:cs="Times New Roman"/>
                <w:color w:val="auto"/>
                <w:kern w:val="0"/>
                <w:sz w:val="24"/>
                <w:szCs w:val="24"/>
                <w:highlight w:val="none"/>
                <w:lang w:eastAsia="zh-CN"/>
              </w:rPr>
              <w:t>〔2016〕25号</w:t>
            </w:r>
            <w:r>
              <w:rPr>
                <w:rFonts w:hint="default" w:ascii="Times New Roman" w:hAnsi="Times New Roman" w:cs="Times New Roman"/>
                <w:color w:val="auto"/>
                <w:kern w:val="0"/>
                <w:sz w:val="24"/>
                <w:szCs w:val="24"/>
                <w:highlight w:val="none"/>
              </w:rPr>
              <w:t>。</w:t>
            </w:r>
          </w:p>
        </w:tc>
      </w:tr>
      <w:tr w14:paraId="37693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422" w:type="pct"/>
            <w:vAlign w:val="center"/>
          </w:tcPr>
          <w:p w14:paraId="073EB4A5">
            <w:pPr>
              <w:adjustRightInd w:val="0"/>
              <w:snapToGrid w:val="0"/>
              <w:jc w:val="center"/>
              <w:rPr>
                <w:color w:val="auto"/>
                <w:kern w:val="0"/>
                <w:sz w:val="24"/>
                <w:szCs w:val="24"/>
              </w:rPr>
            </w:pPr>
            <w:r>
              <w:rPr>
                <w:color w:val="auto"/>
                <w:sz w:val="24"/>
                <w:szCs w:val="24"/>
              </w:rPr>
              <w:t>规划环境影响评价情况</w:t>
            </w:r>
          </w:p>
        </w:tc>
        <w:tc>
          <w:tcPr>
            <w:tcW w:w="4577" w:type="pct"/>
            <w:gridSpan w:val="4"/>
            <w:vAlign w:val="center"/>
          </w:tcPr>
          <w:p w14:paraId="72446862">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hAnsi="宋体"/>
                <w:snapToGrid w:val="0"/>
                <w:color w:val="auto"/>
                <w:sz w:val="24"/>
                <w:szCs w:val="24"/>
                <w:lang w:val="en-US" w:eastAsia="zh-CN"/>
              </w:rPr>
            </w:pPr>
            <w:r>
              <w:rPr>
                <w:rFonts w:hint="eastAsia" w:hAnsi="宋体"/>
                <w:snapToGrid w:val="0"/>
                <w:color w:val="auto"/>
                <w:sz w:val="24"/>
                <w:szCs w:val="24"/>
                <w:lang w:val="en-US" w:eastAsia="zh-CN"/>
              </w:rPr>
              <w:t>文件名称：《福建（大田）机械铸造产业集聚区控制性详细规划环境影响报告书》</w:t>
            </w:r>
          </w:p>
          <w:p w14:paraId="1B5F466E">
            <w:pPr>
              <w:autoSpaceDE w:val="0"/>
              <w:autoSpaceDN w:val="0"/>
              <w:adjustRightInd w:val="0"/>
              <w:snapToGrid w:val="0"/>
              <w:spacing w:line="360" w:lineRule="auto"/>
              <w:jc w:val="left"/>
              <w:rPr>
                <w:rFonts w:hint="eastAsia" w:hAnsi="宋体"/>
                <w:snapToGrid w:val="0"/>
                <w:color w:val="auto"/>
                <w:sz w:val="24"/>
                <w:szCs w:val="24"/>
                <w:lang w:val="en-US" w:eastAsia="zh-CN"/>
              </w:rPr>
            </w:pPr>
            <w:r>
              <w:rPr>
                <w:rFonts w:hint="eastAsia" w:hAnsi="宋体"/>
                <w:snapToGrid w:val="0"/>
                <w:color w:val="auto"/>
                <w:sz w:val="24"/>
                <w:szCs w:val="24"/>
                <w:lang w:val="en-US" w:eastAsia="zh-CN"/>
              </w:rPr>
              <w:t>审批机关：三明市大田生态环境局（原大田县环境保护局）</w:t>
            </w:r>
          </w:p>
          <w:p w14:paraId="7E6D0517">
            <w:pPr>
              <w:autoSpaceDE w:val="0"/>
              <w:autoSpaceDN w:val="0"/>
              <w:adjustRightInd w:val="0"/>
              <w:snapToGrid w:val="0"/>
              <w:spacing w:line="360" w:lineRule="auto"/>
              <w:jc w:val="left"/>
              <w:rPr>
                <w:rFonts w:hint="default"/>
                <w:color w:val="auto"/>
                <w:sz w:val="24"/>
                <w:szCs w:val="24"/>
                <w:lang w:val="en-US"/>
              </w:rPr>
            </w:pPr>
            <w:r>
              <w:rPr>
                <w:rFonts w:hint="eastAsia" w:hAnsi="宋体"/>
                <w:snapToGrid w:val="0"/>
                <w:color w:val="auto"/>
                <w:sz w:val="24"/>
                <w:szCs w:val="24"/>
                <w:lang w:val="en-US" w:eastAsia="zh-CN"/>
              </w:rPr>
              <w:t>审批文件名称及文号：关于《福建（大田）机械铸造产业集聚区控制性详细规划环境影响报告书》审查意见，田环批字〔2016〕60号，见附件六</w:t>
            </w:r>
          </w:p>
        </w:tc>
      </w:tr>
      <w:tr w14:paraId="37693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89" w:hRule="atLeast"/>
          <w:jc w:val="center"/>
        </w:trPr>
        <w:tc>
          <w:tcPr>
            <w:tcW w:w="422" w:type="pct"/>
            <w:vAlign w:val="center"/>
          </w:tcPr>
          <w:p w14:paraId="5B772086">
            <w:pPr>
              <w:autoSpaceDE w:val="0"/>
              <w:autoSpaceDN w:val="0"/>
              <w:adjustRightInd w:val="0"/>
              <w:snapToGrid w:val="0"/>
              <w:jc w:val="center"/>
              <w:rPr>
                <w:color w:val="auto"/>
                <w:kern w:val="0"/>
                <w:sz w:val="24"/>
                <w:szCs w:val="24"/>
              </w:rPr>
            </w:pPr>
            <w:r>
              <w:rPr>
                <w:color w:val="auto"/>
                <w:kern w:val="0"/>
                <w:sz w:val="24"/>
                <w:szCs w:val="24"/>
              </w:rPr>
              <w:t>规划及规划环境影响评价符合性分析</w:t>
            </w:r>
          </w:p>
        </w:tc>
        <w:tc>
          <w:tcPr>
            <w:tcW w:w="4577" w:type="pct"/>
            <w:gridSpan w:val="4"/>
            <w:vAlign w:val="center"/>
          </w:tcPr>
          <w:p w14:paraId="2AD13136">
            <w:pPr>
              <w:pStyle w:val="11"/>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b/>
                <w:bCs/>
                <w:color w:val="auto"/>
                <w:kern w:val="0"/>
                <w:sz w:val="24"/>
                <w:lang w:val="en-US" w:eastAsia="zh-CN"/>
              </w:rPr>
            </w:pPr>
            <w:r>
              <w:rPr>
                <w:rFonts w:hint="eastAsia"/>
                <w:color w:val="auto"/>
                <w:sz w:val="24"/>
                <w:szCs w:val="24"/>
                <w:lang w:val="en-US" w:eastAsia="zh-CN"/>
              </w:rPr>
              <w:t>1</w:t>
            </w:r>
            <w:r>
              <w:rPr>
                <w:rFonts w:hint="eastAsia"/>
                <w:color w:val="auto"/>
                <w:sz w:val="24"/>
                <w:szCs w:val="24"/>
              </w:rPr>
              <w:t>、</w:t>
            </w:r>
            <w:r>
              <w:rPr>
                <w:rFonts w:hint="eastAsia"/>
                <w:b/>
                <w:bCs/>
                <w:color w:val="auto"/>
                <w:lang w:val="en-US" w:eastAsia="zh-CN"/>
              </w:rPr>
              <w:t>与</w:t>
            </w:r>
            <w:r>
              <w:rPr>
                <w:rFonts w:hint="eastAsia"/>
                <w:b/>
                <w:bCs/>
                <w:color w:val="auto"/>
                <w:kern w:val="0"/>
                <w:sz w:val="24"/>
                <w:lang w:val="en-US" w:eastAsia="zh-CN"/>
              </w:rPr>
              <w:t>国土空间总体规划符合性分析</w:t>
            </w:r>
          </w:p>
          <w:p w14:paraId="3C2A425D">
            <w:pPr>
              <w:pStyle w:val="18"/>
              <w:spacing w:after="0" w:line="360" w:lineRule="auto"/>
              <w:ind w:left="0" w:leftChars="0" w:firstLine="480" w:firstLineChars="200"/>
              <w:rPr>
                <w:rFonts w:hint="eastAsia"/>
                <w:color w:val="auto"/>
                <w:kern w:val="0"/>
                <w:sz w:val="24"/>
                <w:lang w:eastAsia="zh-CN"/>
              </w:rPr>
            </w:pPr>
            <w:r>
              <w:rPr>
                <w:rFonts w:hint="default" w:ascii="Times New Roman" w:hAnsi="Times New Roman" w:cs="Times New Roman"/>
                <w:color w:val="auto"/>
                <w:sz w:val="24"/>
                <w:szCs w:val="24"/>
                <w:highlight w:val="none"/>
                <w:lang w:eastAsia="zh-CN"/>
              </w:rPr>
              <w:t>根据《</w:t>
            </w:r>
            <w:r>
              <w:rPr>
                <w:rFonts w:hint="eastAsia"/>
                <w:color w:val="auto"/>
                <w:kern w:val="0"/>
                <w:sz w:val="24"/>
                <w:lang w:val="en-US" w:eastAsia="zh-CN"/>
              </w:rPr>
              <w:t>大田县国土空间总体规划（2021-2035年）</w:t>
            </w:r>
            <w:r>
              <w:rPr>
                <w:rFonts w:hint="default" w:ascii="Times New Roman" w:hAnsi="Times New Roman" w:cs="Times New Roman"/>
                <w:color w:val="auto"/>
                <w:sz w:val="24"/>
                <w:szCs w:val="24"/>
                <w:highlight w:val="none"/>
                <w:lang w:eastAsia="zh-CN"/>
              </w:rPr>
              <w:t>》可知，</w:t>
            </w:r>
            <w:r>
              <w:rPr>
                <w:rFonts w:hint="eastAsia"/>
                <w:color w:val="auto"/>
                <w:kern w:val="0"/>
                <w:sz w:val="24"/>
                <w:lang w:val="en-US" w:eastAsia="zh-CN"/>
              </w:rPr>
              <w:t>大田县</w:t>
            </w:r>
            <w:r>
              <w:rPr>
                <w:rFonts w:hint="eastAsia"/>
                <w:color w:val="auto"/>
                <w:kern w:val="0"/>
                <w:sz w:val="24"/>
              </w:rPr>
              <w:t>下辖12个镇，6个乡</w:t>
            </w:r>
            <w:r>
              <w:rPr>
                <w:rFonts w:hint="eastAsia"/>
                <w:color w:val="auto"/>
                <w:kern w:val="0"/>
                <w:sz w:val="24"/>
                <w:lang w:eastAsia="zh-CN"/>
              </w:rPr>
              <w:t>，</w:t>
            </w:r>
            <w:r>
              <w:rPr>
                <w:rFonts w:hint="eastAsia"/>
                <w:color w:val="auto"/>
                <w:kern w:val="0"/>
                <w:sz w:val="24"/>
              </w:rPr>
              <w:t>面积为2233.13km</w:t>
            </w:r>
            <w:r>
              <w:rPr>
                <w:rFonts w:hint="eastAsia"/>
                <w:color w:val="auto"/>
                <w:kern w:val="0"/>
                <w:sz w:val="24"/>
                <w:vertAlign w:val="superscript"/>
              </w:rPr>
              <w:t>2</w:t>
            </w:r>
            <w:r>
              <w:rPr>
                <w:rFonts w:hint="eastAsia"/>
                <w:color w:val="auto"/>
                <w:kern w:val="0"/>
                <w:sz w:val="24"/>
              </w:rPr>
              <w:t>。</w:t>
            </w:r>
            <w:r>
              <w:rPr>
                <w:rFonts w:hint="eastAsia"/>
                <w:color w:val="auto"/>
                <w:kern w:val="0"/>
                <w:sz w:val="24"/>
                <w:lang w:val="en-US" w:eastAsia="zh-CN"/>
              </w:rPr>
              <w:t>城市发展定位为：</w:t>
            </w:r>
            <w:r>
              <w:rPr>
                <w:rFonts w:hint="eastAsia"/>
                <w:color w:val="auto"/>
                <w:kern w:val="0"/>
                <w:sz w:val="24"/>
              </w:rPr>
              <w:t>资源高质量利用功能实践区、闽西南区域产业协同发展区</w:t>
            </w:r>
            <w:r>
              <w:rPr>
                <w:rFonts w:hint="eastAsia"/>
                <w:color w:val="auto"/>
                <w:kern w:val="0"/>
                <w:sz w:val="24"/>
                <w:lang w:eastAsia="zh-CN"/>
              </w:rPr>
              <w:t>、山区城乡融合建设样板区。</w:t>
            </w:r>
          </w:p>
          <w:p w14:paraId="20A8A1D2">
            <w:pPr>
              <w:pStyle w:val="18"/>
              <w:spacing w:after="0" w:line="360" w:lineRule="auto"/>
              <w:ind w:left="0" w:leftChars="0" w:firstLine="480" w:firstLineChars="200"/>
              <w:rPr>
                <w:rFonts w:hint="default"/>
                <w:color w:val="auto"/>
                <w:kern w:val="0"/>
                <w:sz w:val="24"/>
                <w:lang w:val="en-US" w:eastAsia="zh-CN"/>
              </w:rPr>
            </w:pPr>
            <w:r>
              <w:rPr>
                <w:rFonts w:hint="eastAsia"/>
                <w:color w:val="auto"/>
                <w:kern w:val="0"/>
                <w:sz w:val="24"/>
                <w:lang w:val="en-US" w:eastAsia="zh-CN"/>
              </w:rPr>
              <w:t>规划期限内建设“转型融合的工业物流体系”，工业产业空间以大田省级经济开发区为龙头，布局京口纺织园、罗丰石墨园、上京铸造和装备制造园、均溪陶瓷园、广平工业园（预留）。</w:t>
            </w:r>
          </w:p>
          <w:p w14:paraId="5386539D">
            <w:pPr>
              <w:pStyle w:val="18"/>
              <w:spacing w:after="0" w:line="360" w:lineRule="auto"/>
              <w:ind w:left="0" w:leftChars="0" w:firstLine="480" w:firstLineChars="200"/>
              <w:rPr>
                <w:rFonts w:hint="default" w:eastAsia="宋体"/>
                <w:color w:val="auto"/>
                <w:kern w:val="0"/>
                <w:sz w:val="24"/>
                <w:lang w:val="en-US" w:eastAsia="zh-CN"/>
              </w:rPr>
            </w:pPr>
            <w:r>
              <w:rPr>
                <w:rFonts w:hint="eastAsia"/>
                <w:color w:val="auto"/>
                <w:kern w:val="0"/>
                <w:sz w:val="24"/>
                <w:lang w:val="en-US" w:eastAsia="zh-CN"/>
              </w:rPr>
              <w:t>本项目</w:t>
            </w:r>
            <w:r>
              <w:rPr>
                <w:rFonts w:hint="eastAsia"/>
                <w:color w:val="auto"/>
                <w:kern w:val="0"/>
                <w:sz w:val="24"/>
              </w:rPr>
              <w:t>位于</w:t>
            </w:r>
            <w:r>
              <w:rPr>
                <w:rFonts w:hint="eastAsia"/>
                <w:color w:val="auto"/>
                <w:sz w:val="24"/>
                <w:szCs w:val="24"/>
                <w:lang w:eastAsia="zh-CN"/>
              </w:rPr>
              <w:t>福建（大田）机械铸造产业集聚区</w:t>
            </w:r>
            <w:r>
              <w:rPr>
                <w:rFonts w:hint="eastAsia"/>
                <w:color w:val="auto"/>
                <w:kern w:val="0"/>
                <w:sz w:val="24"/>
              </w:rPr>
              <w:t>15号宗地</w:t>
            </w:r>
            <w:r>
              <w:rPr>
                <w:rFonts w:hint="eastAsia"/>
                <w:color w:val="auto"/>
                <w:sz w:val="24"/>
              </w:rPr>
              <w:t>，</w:t>
            </w:r>
            <w:r>
              <w:rPr>
                <w:rFonts w:hint="eastAsia"/>
                <w:color w:val="auto"/>
                <w:kern w:val="0"/>
                <w:sz w:val="24"/>
                <w:lang w:val="en-US" w:eastAsia="zh-CN"/>
              </w:rPr>
              <w:t>属</w:t>
            </w:r>
            <w:r>
              <w:rPr>
                <w:rFonts w:hint="eastAsia"/>
                <w:color w:val="auto"/>
                <w:kern w:val="0"/>
                <w:sz w:val="24"/>
              </w:rPr>
              <w:t>《</w:t>
            </w:r>
            <w:r>
              <w:rPr>
                <w:rFonts w:hint="eastAsia"/>
                <w:color w:val="auto"/>
                <w:kern w:val="0"/>
                <w:sz w:val="24"/>
                <w:lang w:val="en-US" w:eastAsia="zh-CN"/>
              </w:rPr>
              <w:t>大田县国土空间总体规划（2021-2035年</w:t>
            </w:r>
            <w:r>
              <w:rPr>
                <w:rFonts w:hint="eastAsia"/>
                <w:color w:val="auto"/>
                <w:kern w:val="0"/>
                <w:sz w:val="24"/>
              </w:rPr>
              <w:t>》</w:t>
            </w:r>
            <w:r>
              <w:rPr>
                <w:rFonts w:hint="eastAsia"/>
                <w:color w:val="auto"/>
                <w:kern w:val="0"/>
                <w:sz w:val="24"/>
                <w:lang w:val="en-US" w:eastAsia="zh-CN"/>
              </w:rPr>
              <w:t>工业产业空间中的“上京铸造和装备制造园”，本项目主要</w:t>
            </w:r>
            <w:r>
              <w:rPr>
                <w:rFonts w:hint="eastAsia"/>
                <w:color w:val="auto"/>
                <w:kern w:val="0"/>
                <w:sz w:val="24"/>
              </w:rPr>
              <w:t>从事</w:t>
            </w:r>
            <w:r>
              <w:rPr>
                <w:rFonts w:hint="eastAsia"/>
                <w:color w:val="auto"/>
                <w:sz w:val="24"/>
                <w:szCs w:val="24"/>
                <w:lang w:val="en-US" w:eastAsia="zh-CN"/>
              </w:rPr>
              <w:t>精密</w:t>
            </w:r>
            <w:r>
              <w:rPr>
                <w:rFonts w:hint="eastAsia"/>
                <w:color w:val="auto"/>
                <w:kern w:val="0"/>
                <w:sz w:val="24"/>
                <w:lang w:val="en-US" w:eastAsia="zh-CN"/>
              </w:rPr>
              <w:t>铸件、消防产品生产</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符合园区规划，</w:t>
            </w:r>
            <w:r>
              <w:rPr>
                <w:rFonts w:hint="eastAsia" w:cs="Times New Roman"/>
                <w:color w:val="auto"/>
                <w:kern w:val="0"/>
                <w:sz w:val="24"/>
                <w:lang w:val="en-US" w:eastAsia="zh-CN"/>
              </w:rPr>
              <w:t>因此</w:t>
            </w:r>
            <w:r>
              <w:rPr>
                <w:rFonts w:hint="eastAsia" w:ascii="Times New Roman" w:hAnsi="Times New Roman" w:eastAsia="宋体" w:cs="Times New Roman"/>
                <w:color w:val="auto"/>
                <w:kern w:val="0"/>
                <w:sz w:val="24"/>
                <w:lang w:val="en-US" w:eastAsia="zh-CN"/>
              </w:rPr>
              <w:t>项目建设符合</w:t>
            </w:r>
            <w:r>
              <w:rPr>
                <w:rFonts w:hint="eastAsia"/>
                <w:color w:val="auto"/>
                <w:kern w:val="0"/>
                <w:sz w:val="24"/>
                <w:lang w:val="en-US" w:eastAsia="zh-CN"/>
              </w:rPr>
              <w:t>大田县</w:t>
            </w:r>
            <w:r>
              <w:rPr>
                <w:rFonts w:hint="eastAsia" w:ascii="Times New Roman" w:hAnsi="Times New Roman" w:eastAsia="宋体" w:cs="Times New Roman"/>
                <w:color w:val="auto"/>
                <w:kern w:val="0"/>
                <w:sz w:val="24"/>
                <w:lang w:val="en-US" w:eastAsia="zh-CN"/>
              </w:rPr>
              <w:t>国土空间</w:t>
            </w:r>
            <w:r>
              <w:rPr>
                <w:rFonts w:hint="eastAsia"/>
                <w:color w:val="auto"/>
                <w:kern w:val="0"/>
                <w:sz w:val="24"/>
              </w:rPr>
              <w:t>总体</w:t>
            </w:r>
            <w:r>
              <w:rPr>
                <w:rFonts w:hint="eastAsia" w:ascii="Times New Roman" w:hAnsi="Times New Roman" w:eastAsia="宋体" w:cs="Times New Roman"/>
                <w:color w:val="auto"/>
                <w:kern w:val="0"/>
                <w:sz w:val="24"/>
                <w:lang w:val="en-US" w:eastAsia="zh-CN"/>
              </w:rPr>
              <w:t>规划。</w:t>
            </w:r>
          </w:p>
          <w:p w14:paraId="5B68D116">
            <w:pPr>
              <w:keepNext w:val="0"/>
              <w:keepLines w:val="0"/>
              <w:pageBreakBefore w:val="0"/>
              <w:widowControl w:val="0"/>
              <w:kinsoku/>
              <w:wordWrap/>
              <w:overflowPunct/>
              <w:topLinePunct w:val="0"/>
              <w:autoSpaceDE w:val="0"/>
              <w:autoSpaceDN w:val="0"/>
              <w:bidi w:val="0"/>
              <w:spacing w:line="360" w:lineRule="auto"/>
              <w:ind w:left="0" w:leftChars="0" w:firstLine="480" w:firstLineChars="200"/>
              <w:jc w:val="left"/>
              <w:textAlignment w:val="auto"/>
              <w:rPr>
                <w:rFonts w:hint="eastAsia"/>
                <w:color w:val="auto"/>
                <w:kern w:val="0"/>
                <w:sz w:val="24"/>
                <w:lang w:val="en-US" w:eastAsia="zh-CN"/>
              </w:rPr>
            </w:pPr>
            <w:r>
              <w:rPr>
                <w:rFonts w:hint="eastAsia"/>
                <w:color w:val="auto"/>
                <w:kern w:val="0"/>
                <w:sz w:val="24"/>
                <w:lang w:val="en-US" w:eastAsia="zh-CN"/>
              </w:rPr>
              <w:t>另外</w:t>
            </w:r>
            <w:r>
              <w:rPr>
                <w:rFonts w:hint="eastAsia"/>
                <w:color w:val="auto"/>
                <w:kern w:val="0"/>
                <w:sz w:val="24"/>
              </w:rPr>
              <w:t>经查询福建阳光规划网站国土空间管理分析，本项目选址用地不涉及永久基本农田、生态保护红线等敏感区，</w:t>
            </w:r>
            <w:r>
              <w:rPr>
                <w:rFonts w:hint="eastAsia"/>
                <w:color w:val="auto"/>
                <w:kern w:val="0"/>
                <w:sz w:val="24"/>
                <w:lang w:val="en-US" w:eastAsia="zh-CN"/>
              </w:rPr>
              <w:t>位于城镇开发边界内，符合大田县</w:t>
            </w:r>
            <w:r>
              <w:rPr>
                <w:rFonts w:hint="eastAsia"/>
                <w:color w:val="auto"/>
                <w:kern w:val="0"/>
                <w:sz w:val="24"/>
              </w:rPr>
              <w:t>国土空间总体规划</w:t>
            </w:r>
            <w:r>
              <w:rPr>
                <w:rFonts w:hint="eastAsia"/>
                <w:color w:val="auto"/>
                <w:kern w:val="0"/>
                <w:sz w:val="24"/>
                <w:lang w:val="en-US" w:eastAsia="zh-CN"/>
              </w:rPr>
              <w:t>的三线控制</w:t>
            </w:r>
            <w:r>
              <w:rPr>
                <w:rFonts w:hint="eastAsia" w:ascii="Helvetica" w:hAnsi="Helvetica" w:cs="Helvetica"/>
                <w:i w:val="0"/>
                <w:iCs w:val="0"/>
                <w:caps w:val="0"/>
                <w:color w:val="auto"/>
                <w:spacing w:val="0"/>
                <w:sz w:val="24"/>
                <w:szCs w:val="24"/>
                <w:highlight w:val="none"/>
                <w:shd w:val="clear" w:color="auto" w:fill="FFFFFF"/>
                <w:lang w:val="en-US" w:eastAsia="zh-CN"/>
              </w:rPr>
              <w:t>要求</w:t>
            </w:r>
            <w:r>
              <w:rPr>
                <w:rFonts w:hint="eastAsia"/>
                <w:color w:val="auto"/>
                <w:kern w:val="0"/>
                <w:sz w:val="24"/>
              </w:rPr>
              <w:t>。</w:t>
            </w:r>
          </w:p>
          <w:p w14:paraId="648CC6AD">
            <w:pPr>
              <w:pStyle w:val="156"/>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rPr>
              <w:t>2、土地利用规划符合性分析</w:t>
            </w:r>
          </w:p>
          <w:p w14:paraId="23D187E9">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color w:val="auto"/>
                <w:kern w:val="0"/>
                <w:sz w:val="24"/>
              </w:rPr>
              <w:t>项目位于大田县福建（大田）机械铸造产业集聚区15号宗地。2022年5月，建设单位与大田县自然资源局签订了《国有建设用地使用权出让合同》（</w:t>
            </w:r>
            <w:r>
              <w:rPr>
                <w:rFonts w:hint="eastAsia"/>
                <w:color w:val="auto"/>
                <w:kern w:val="0"/>
                <w:sz w:val="24"/>
                <w:highlight w:val="none"/>
              </w:rPr>
              <w:t>见附件</w:t>
            </w:r>
            <w:r>
              <w:rPr>
                <w:rFonts w:hint="eastAsia"/>
                <w:color w:val="auto"/>
                <w:kern w:val="0"/>
                <w:sz w:val="24"/>
                <w:highlight w:val="none"/>
                <w:lang w:val="en-US" w:eastAsia="zh-CN"/>
              </w:rPr>
              <w:t>五</w:t>
            </w:r>
            <w:r>
              <w:rPr>
                <w:rFonts w:hint="eastAsia"/>
                <w:color w:val="auto"/>
                <w:kern w:val="0"/>
                <w:sz w:val="24"/>
              </w:rPr>
              <w:t>），该合同中明确项目地块用于工业项目建设，地块用途为通用设备制造业。</w:t>
            </w:r>
            <w:r>
              <w:rPr>
                <w:rFonts w:hint="eastAsia" w:ascii="Times New Roman" w:hAnsi="Times New Roman" w:eastAsia="宋体" w:cs="Times New Roman"/>
                <w:color w:val="auto"/>
                <w:sz w:val="24"/>
                <w:szCs w:val="24"/>
                <w:highlight w:val="none"/>
                <w:lang w:eastAsia="zh-CN"/>
              </w:rPr>
              <w:t>对照《自然资源要素支撑产业高质量发展指导目录（20</w:t>
            </w:r>
            <w:r>
              <w:rPr>
                <w:rFonts w:hint="eastAsia"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lang w:eastAsia="zh-CN"/>
              </w:rPr>
              <w:t>年本）》，项目不属于其中的限制、禁止用地项目范围。</w:t>
            </w:r>
          </w:p>
          <w:p w14:paraId="6606C155">
            <w:pPr>
              <w:keepNext w:val="0"/>
              <w:keepLines w:val="0"/>
              <w:pageBreakBefore w:val="0"/>
              <w:widowControl w:val="0"/>
              <w:kinsoku/>
              <w:wordWrap/>
              <w:overflowPunct/>
              <w:topLinePunct w:val="0"/>
              <w:autoSpaceDE w:val="0"/>
              <w:autoSpaceDN w:val="0"/>
              <w:bidi w:val="0"/>
              <w:spacing w:line="360" w:lineRule="auto"/>
              <w:ind w:firstLine="480" w:firstLineChars="200"/>
              <w:jc w:val="left"/>
              <w:textAlignment w:val="auto"/>
              <w:rPr>
                <w:rFonts w:hint="eastAsia" w:ascii="Times New Roman"/>
                <w:color w:val="auto"/>
                <w:sz w:val="24"/>
                <w:szCs w:val="24"/>
                <w:lang w:eastAsia="zh-CN"/>
              </w:rPr>
            </w:pPr>
            <w:r>
              <w:rPr>
                <w:rFonts w:ascii="Times New Roman"/>
                <w:color w:val="auto"/>
                <w:sz w:val="24"/>
                <w:szCs w:val="24"/>
              </w:rPr>
              <w:t>本项目主要从事</w:t>
            </w:r>
            <w:r>
              <w:rPr>
                <w:rFonts w:hint="eastAsia"/>
                <w:color w:val="auto"/>
                <w:sz w:val="24"/>
                <w:szCs w:val="24"/>
                <w:lang w:val="en-US" w:eastAsia="zh-CN"/>
              </w:rPr>
              <w:t>精密</w:t>
            </w:r>
            <w:r>
              <w:rPr>
                <w:rFonts w:hint="eastAsia"/>
                <w:color w:val="auto"/>
                <w:kern w:val="0"/>
                <w:sz w:val="24"/>
                <w:lang w:val="en-US" w:eastAsia="zh-CN"/>
              </w:rPr>
              <w:t>铸件、消防产品生产</w:t>
            </w:r>
            <w:r>
              <w:rPr>
                <w:rFonts w:hint="eastAsia" w:ascii="Times New Roman"/>
                <w:color w:val="auto"/>
                <w:sz w:val="24"/>
                <w:szCs w:val="24"/>
              </w:rPr>
              <w:t>，</w:t>
            </w:r>
            <w:r>
              <w:rPr>
                <w:rFonts w:ascii="Times New Roman"/>
                <w:color w:val="auto"/>
                <w:sz w:val="24"/>
                <w:szCs w:val="24"/>
              </w:rPr>
              <w:t>属于工业企业，</w:t>
            </w:r>
            <w:r>
              <w:rPr>
                <w:rFonts w:hint="eastAsia" w:ascii="Times New Roman"/>
                <w:color w:val="auto"/>
                <w:sz w:val="24"/>
                <w:szCs w:val="24"/>
              </w:rPr>
              <w:t>因此</w:t>
            </w:r>
            <w:r>
              <w:rPr>
                <w:rFonts w:ascii="Times New Roman"/>
                <w:color w:val="auto"/>
                <w:sz w:val="24"/>
                <w:szCs w:val="24"/>
              </w:rPr>
              <w:t>项目选址符合土地利用规划</w:t>
            </w:r>
            <w:r>
              <w:rPr>
                <w:rFonts w:hint="eastAsia" w:ascii="Times New Roman"/>
                <w:color w:val="auto"/>
                <w:sz w:val="24"/>
                <w:szCs w:val="24"/>
                <w:lang w:eastAsia="zh-CN"/>
              </w:rPr>
              <w:t>。</w:t>
            </w:r>
          </w:p>
          <w:p w14:paraId="3752553A">
            <w:pPr>
              <w:pStyle w:val="1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auto"/>
                <w:kern w:val="0"/>
                <w:sz w:val="24"/>
                <w:lang w:val="en-US" w:eastAsia="zh-CN"/>
              </w:rPr>
            </w:pPr>
            <w:r>
              <w:rPr>
                <w:rFonts w:hint="eastAsia"/>
                <w:b/>
                <w:bCs/>
                <w:color w:val="auto"/>
                <w:kern w:val="0"/>
                <w:sz w:val="24"/>
                <w:lang w:val="en-US" w:eastAsia="zh-CN"/>
              </w:rPr>
              <w:t>3、</w:t>
            </w:r>
            <w:r>
              <w:rPr>
                <w:rFonts w:hint="eastAsia"/>
                <w:b/>
                <w:bCs/>
                <w:color w:val="auto"/>
                <w:lang w:val="en-US" w:eastAsia="zh-CN"/>
              </w:rPr>
              <w:t>与</w:t>
            </w:r>
            <w:r>
              <w:rPr>
                <w:rFonts w:hint="eastAsia"/>
                <w:b/>
                <w:bCs/>
                <w:color w:val="auto"/>
                <w:kern w:val="0"/>
                <w:sz w:val="24"/>
                <w:lang w:val="en-US" w:eastAsia="zh-CN"/>
              </w:rPr>
              <w:t>福建（大田）机械铸造产业集聚区控制性详细规划符合性分析</w:t>
            </w:r>
          </w:p>
          <w:p w14:paraId="64AFE4D2">
            <w:pPr>
              <w:pStyle w:val="18"/>
              <w:spacing w:after="0" w:line="360" w:lineRule="auto"/>
              <w:ind w:left="0" w:leftChars="0" w:firstLine="480" w:firstLineChars="200"/>
              <w:rPr>
                <w:rFonts w:hint="eastAsia"/>
                <w:color w:val="auto"/>
                <w:kern w:val="0"/>
                <w:sz w:val="24"/>
              </w:rPr>
            </w:pPr>
            <w:r>
              <w:rPr>
                <w:rFonts w:hint="eastAsia"/>
                <w:color w:val="auto"/>
                <w:kern w:val="0"/>
                <w:sz w:val="24"/>
              </w:rPr>
              <w:t>根据《福建（大田）机械铸造产业集聚区控制性详细规划》，该园区的功能定位为以机械铸造为主导，集仓储物流、专业市场、现代服务等为一体的综合性产业新区。</w:t>
            </w:r>
          </w:p>
          <w:p w14:paraId="121A0B85">
            <w:pPr>
              <w:pStyle w:val="18"/>
              <w:spacing w:after="0" w:line="360" w:lineRule="auto"/>
              <w:ind w:left="0" w:leftChars="0" w:firstLine="480" w:firstLineChars="200"/>
              <w:rPr>
                <w:rFonts w:hint="eastAsia"/>
                <w:color w:val="auto"/>
                <w:kern w:val="0"/>
                <w:sz w:val="24"/>
              </w:rPr>
            </w:pPr>
            <w:r>
              <w:rPr>
                <w:rFonts w:hint="eastAsia"/>
                <w:color w:val="auto"/>
                <w:kern w:val="0"/>
                <w:sz w:val="24"/>
              </w:rPr>
              <w:t>规划形成“一环两心八片区”的整体布局结构。</w:t>
            </w:r>
          </w:p>
          <w:p w14:paraId="347A6567">
            <w:pPr>
              <w:pStyle w:val="18"/>
              <w:spacing w:after="0" w:line="360" w:lineRule="auto"/>
              <w:ind w:left="0" w:leftChars="0" w:firstLine="480" w:firstLineChars="200"/>
              <w:rPr>
                <w:rFonts w:hint="eastAsia"/>
                <w:color w:val="auto"/>
                <w:kern w:val="0"/>
                <w:sz w:val="24"/>
              </w:rPr>
            </w:pPr>
            <w:r>
              <w:rPr>
                <w:rFonts w:hint="eastAsia"/>
                <w:color w:val="auto"/>
                <w:kern w:val="0"/>
                <w:sz w:val="24"/>
              </w:rPr>
              <w:t>一环：沿中心大道、内环大道和环北路设置的产业发展环，产业空间沿环布局。</w:t>
            </w:r>
          </w:p>
          <w:p w14:paraId="33DC69BA">
            <w:pPr>
              <w:pStyle w:val="18"/>
              <w:spacing w:after="0" w:line="360" w:lineRule="auto"/>
              <w:ind w:left="0" w:leftChars="0" w:firstLine="480" w:firstLineChars="200"/>
              <w:rPr>
                <w:rFonts w:hint="eastAsia"/>
                <w:color w:val="auto"/>
                <w:kern w:val="0"/>
                <w:sz w:val="24"/>
                <w:lang w:eastAsia="zh-CN"/>
              </w:rPr>
            </w:pPr>
            <w:r>
              <w:rPr>
                <w:rFonts w:hint="eastAsia"/>
                <w:color w:val="auto"/>
                <w:kern w:val="0"/>
                <w:sz w:val="24"/>
              </w:rPr>
              <w:t>两心：结合上京互通口和兴泉铁路小湖货运站，打造集行政、文化、科研、 商业、娱乐及居住配套为一体的综合服务中心；以中心保留山体为基底，结合规划邻里商业形成的游憩绿心。</w:t>
            </w:r>
          </w:p>
          <w:p w14:paraId="778B1EBE">
            <w:pPr>
              <w:pStyle w:val="18"/>
              <w:spacing w:after="0" w:line="360" w:lineRule="auto"/>
              <w:ind w:left="0" w:leftChars="0" w:firstLine="480" w:firstLineChars="200"/>
              <w:rPr>
                <w:rFonts w:hint="eastAsia"/>
                <w:color w:val="auto"/>
                <w:kern w:val="0"/>
                <w:sz w:val="24"/>
              </w:rPr>
            </w:pPr>
            <w:r>
              <w:rPr>
                <w:rFonts w:hint="eastAsia"/>
                <w:color w:val="auto"/>
                <w:kern w:val="0"/>
                <w:sz w:val="24"/>
              </w:rPr>
              <w:t>八片区：一个冶炼铸造产业片区，一个资源化机械产业区，一个矿产品加工机械产业区，一个精密机械产业区、一个产业转移片区、一个产业提升区和两个居住区。</w:t>
            </w:r>
          </w:p>
          <w:p w14:paraId="4F4414C5">
            <w:pPr>
              <w:pStyle w:val="18"/>
              <w:spacing w:after="0" w:line="360" w:lineRule="auto"/>
              <w:ind w:left="0" w:leftChars="0" w:firstLine="480" w:firstLineChars="200"/>
              <w:rPr>
                <w:rFonts w:hint="eastAsia"/>
                <w:color w:val="auto"/>
                <w:kern w:val="0"/>
                <w:sz w:val="24"/>
              </w:rPr>
            </w:pPr>
            <w:r>
              <w:rPr>
                <w:rFonts w:hint="eastAsia"/>
                <w:color w:val="auto"/>
                <w:kern w:val="0"/>
                <w:sz w:val="24"/>
              </w:rPr>
              <w:t>项目位于大田县福建（大田）机械铸造产业集聚区15号宗地，属于规划中冶炼铸造产业片区，从事</w:t>
            </w:r>
            <w:r>
              <w:rPr>
                <w:rFonts w:hint="eastAsia"/>
                <w:color w:val="auto"/>
                <w:sz w:val="24"/>
                <w:szCs w:val="24"/>
                <w:lang w:val="en-US" w:eastAsia="zh-CN"/>
              </w:rPr>
              <w:t>精密</w:t>
            </w:r>
            <w:r>
              <w:rPr>
                <w:rFonts w:hint="eastAsia"/>
                <w:color w:val="auto"/>
                <w:kern w:val="0"/>
                <w:sz w:val="24"/>
                <w:lang w:val="en-US" w:eastAsia="zh-CN"/>
              </w:rPr>
              <w:t>铸件、消防产品生产</w:t>
            </w:r>
            <w:r>
              <w:rPr>
                <w:rFonts w:hint="eastAsia"/>
                <w:color w:val="auto"/>
                <w:kern w:val="0"/>
                <w:sz w:val="24"/>
              </w:rPr>
              <w:t>，符合园区的功能定位。</w:t>
            </w:r>
          </w:p>
          <w:p w14:paraId="63364F10">
            <w:pPr>
              <w:pStyle w:val="18"/>
              <w:spacing w:after="0" w:line="360" w:lineRule="auto"/>
              <w:ind w:left="0" w:leftChars="0" w:firstLine="480" w:firstLineChars="200"/>
              <w:rPr>
                <w:rFonts w:hint="eastAsia"/>
                <w:color w:val="auto"/>
                <w:kern w:val="0"/>
                <w:sz w:val="24"/>
              </w:rPr>
            </w:pPr>
            <w:r>
              <w:rPr>
                <w:rFonts w:hint="eastAsia"/>
                <w:color w:val="auto"/>
                <w:kern w:val="0"/>
                <w:sz w:val="24"/>
                <w:lang w:val="en-US" w:eastAsia="zh-CN"/>
              </w:rPr>
              <w:t>综上所述，</w:t>
            </w:r>
            <w:r>
              <w:rPr>
                <w:rFonts w:hint="eastAsia"/>
                <w:color w:val="auto"/>
                <w:kern w:val="0"/>
                <w:sz w:val="24"/>
              </w:rPr>
              <w:t>本项目建设与《福建（大田）机械铸造产业集聚区控制性详细规划》相符。</w:t>
            </w:r>
          </w:p>
          <w:p w14:paraId="61BAD6A3">
            <w:pPr>
              <w:pStyle w:val="28"/>
              <w:ind w:left="0" w:leftChars="0" w:firstLine="0" w:firstLineChars="0"/>
              <w:jc w:val="center"/>
              <w:rPr>
                <w:rFonts w:hint="eastAsia"/>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1-2 </w:t>
            </w:r>
            <w:r>
              <w:rPr>
                <w:rFonts w:hint="eastAsia"/>
                <w:b/>
                <w:bCs/>
                <w:color w:val="auto"/>
                <w:sz w:val="24"/>
                <w:szCs w:val="24"/>
              </w:rPr>
              <w:t xml:space="preserve"> 项目与园区优先发展项目清单及环境准入条件符合性分析表</w:t>
            </w:r>
          </w:p>
          <w:tbl>
            <w:tblPr>
              <w:tblStyle w:val="29"/>
              <w:tblW w:w="8569" w:type="dxa"/>
              <w:tblInd w:w="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594"/>
              <w:gridCol w:w="3074"/>
              <w:gridCol w:w="2675"/>
              <w:gridCol w:w="1642"/>
              <w:gridCol w:w="584"/>
            </w:tblGrid>
            <w:tr w14:paraId="248B96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94" w:type="dxa"/>
                  <w:tcBorders>
                    <w:tl2br w:val="nil"/>
                    <w:tr2bl w:val="nil"/>
                  </w:tcBorders>
                  <w:tcMar>
                    <w:top w:w="0" w:type="dxa"/>
                    <w:left w:w="28" w:type="dxa"/>
                    <w:bottom w:w="0" w:type="dxa"/>
                    <w:right w:w="28" w:type="dxa"/>
                  </w:tcMar>
                  <w:vAlign w:val="center"/>
                </w:tcPr>
                <w:p w14:paraId="3661229F">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b/>
                      <w:bCs/>
                      <w:color w:val="auto"/>
                      <w:spacing w:val="0"/>
                      <w:sz w:val="18"/>
                      <w:szCs w:val="18"/>
                      <w:lang w:val="en-US" w:eastAsia="zh-CN"/>
                    </w:rPr>
                  </w:pPr>
                  <w:r>
                    <w:rPr>
                      <w:rFonts w:hint="eastAsia"/>
                      <w:b/>
                      <w:bCs/>
                      <w:color w:val="auto"/>
                      <w:spacing w:val="0"/>
                      <w:sz w:val="18"/>
                      <w:szCs w:val="18"/>
                      <w:lang w:val="en-US" w:eastAsia="zh-CN"/>
                    </w:rPr>
                    <w:t>类别</w:t>
                  </w:r>
                </w:p>
              </w:tc>
              <w:tc>
                <w:tcPr>
                  <w:tcW w:w="3074" w:type="dxa"/>
                  <w:tcBorders>
                    <w:tl2br w:val="nil"/>
                    <w:tr2bl w:val="nil"/>
                  </w:tcBorders>
                  <w:tcMar>
                    <w:top w:w="0" w:type="dxa"/>
                    <w:left w:w="28" w:type="dxa"/>
                    <w:bottom w:w="0" w:type="dxa"/>
                    <w:right w:w="28" w:type="dxa"/>
                  </w:tcMar>
                  <w:vAlign w:val="center"/>
                </w:tcPr>
                <w:p w14:paraId="76CB4D2A">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pacing w:val="0"/>
                      <w:sz w:val="18"/>
                      <w:szCs w:val="18"/>
                    </w:rPr>
                  </w:pPr>
                  <w:r>
                    <w:rPr>
                      <w:rFonts w:hint="eastAsia"/>
                      <w:b/>
                      <w:bCs/>
                      <w:color w:val="auto"/>
                      <w:spacing w:val="0"/>
                      <w:sz w:val="18"/>
                      <w:szCs w:val="18"/>
                    </w:rPr>
                    <w:t>优先引入条件</w:t>
                  </w:r>
                </w:p>
              </w:tc>
              <w:tc>
                <w:tcPr>
                  <w:tcW w:w="2675" w:type="dxa"/>
                  <w:tcBorders>
                    <w:tl2br w:val="nil"/>
                    <w:tr2bl w:val="nil"/>
                  </w:tcBorders>
                  <w:tcMar>
                    <w:top w:w="0" w:type="dxa"/>
                    <w:left w:w="28" w:type="dxa"/>
                    <w:bottom w:w="0" w:type="dxa"/>
                    <w:right w:w="28" w:type="dxa"/>
                  </w:tcMar>
                  <w:vAlign w:val="center"/>
                </w:tcPr>
                <w:p w14:paraId="1914EC93">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pacing w:val="0"/>
                      <w:sz w:val="18"/>
                      <w:szCs w:val="18"/>
                    </w:rPr>
                  </w:pPr>
                  <w:r>
                    <w:rPr>
                      <w:rFonts w:hint="eastAsia"/>
                      <w:b/>
                      <w:bCs/>
                      <w:color w:val="auto"/>
                      <w:spacing w:val="0"/>
                      <w:sz w:val="18"/>
                      <w:szCs w:val="18"/>
                    </w:rPr>
                    <w:t>禁止引入类别</w:t>
                  </w:r>
                </w:p>
              </w:tc>
              <w:tc>
                <w:tcPr>
                  <w:tcW w:w="1642" w:type="dxa"/>
                  <w:tcBorders>
                    <w:right w:val="single" w:color="auto" w:sz="4" w:space="0"/>
                    <w:tl2br w:val="nil"/>
                    <w:tr2bl w:val="nil"/>
                  </w:tcBorders>
                  <w:tcMar>
                    <w:top w:w="0" w:type="dxa"/>
                    <w:left w:w="28" w:type="dxa"/>
                    <w:bottom w:w="0" w:type="dxa"/>
                    <w:right w:w="28" w:type="dxa"/>
                  </w:tcMar>
                  <w:vAlign w:val="center"/>
                </w:tcPr>
                <w:p w14:paraId="580589D6">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b/>
                      <w:bCs/>
                      <w:color w:val="auto"/>
                      <w:spacing w:val="0"/>
                      <w:sz w:val="18"/>
                      <w:szCs w:val="18"/>
                      <w:lang w:val="en-US" w:eastAsia="zh-CN"/>
                    </w:rPr>
                  </w:pPr>
                  <w:r>
                    <w:rPr>
                      <w:rFonts w:hint="eastAsia"/>
                      <w:b/>
                      <w:bCs/>
                      <w:color w:val="auto"/>
                      <w:spacing w:val="0"/>
                      <w:sz w:val="18"/>
                      <w:szCs w:val="18"/>
                      <w:lang w:val="en-US" w:eastAsia="zh-CN"/>
                    </w:rPr>
                    <w:t>本项目</w:t>
                  </w:r>
                </w:p>
              </w:tc>
              <w:tc>
                <w:tcPr>
                  <w:tcW w:w="584" w:type="dxa"/>
                  <w:tcBorders>
                    <w:left w:val="single" w:color="auto" w:sz="4" w:space="0"/>
                    <w:tl2br w:val="nil"/>
                    <w:tr2bl w:val="nil"/>
                  </w:tcBorders>
                  <w:tcMar>
                    <w:top w:w="0" w:type="dxa"/>
                    <w:left w:w="28" w:type="dxa"/>
                    <w:bottom w:w="0" w:type="dxa"/>
                    <w:right w:w="28" w:type="dxa"/>
                  </w:tcMar>
                  <w:vAlign w:val="center"/>
                </w:tcPr>
                <w:p w14:paraId="74869499">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b/>
                      <w:bCs/>
                      <w:color w:val="auto"/>
                      <w:spacing w:val="0"/>
                      <w:sz w:val="18"/>
                      <w:szCs w:val="18"/>
                      <w:lang w:val="en-US" w:eastAsia="zh-CN"/>
                    </w:rPr>
                  </w:pPr>
                  <w:r>
                    <w:rPr>
                      <w:rFonts w:hint="eastAsia"/>
                      <w:b/>
                      <w:bCs/>
                      <w:color w:val="auto"/>
                      <w:spacing w:val="0"/>
                      <w:sz w:val="18"/>
                      <w:szCs w:val="18"/>
                      <w:lang w:val="en-US" w:eastAsia="zh-CN"/>
                    </w:rPr>
                    <w:t>符合性</w:t>
                  </w:r>
                </w:p>
              </w:tc>
            </w:tr>
            <w:tr w14:paraId="27DE41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94" w:type="dxa"/>
                  <w:tcBorders>
                    <w:tl2br w:val="nil"/>
                    <w:tr2bl w:val="nil"/>
                  </w:tcBorders>
                  <w:tcMar>
                    <w:top w:w="0" w:type="dxa"/>
                    <w:left w:w="28" w:type="dxa"/>
                    <w:bottom w:w="0" w:type="dxa"/>
                    <w:right w:w="28" w:type="dxa"/>
                  </w:tcMar>
                  <w:vAlign w:val="center"/>
                </w:tcPr>
                <w:p w14:paraId="76564121">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color w:val="auto"/>
                      <w:spacing w:val="0"/>
                      <w:sz w:val="18"/>
                      <w:szCs w:val="18"/>
                      <w:lang w:eastAsia="zh-CN"/>
                    </w:rPr>
                  </w:pPr>
                  <w:r>
                    <w:rPr>
                      <w:rFonts w:hint="eastAsia"/>
                      <w:color w:val="auto"/>
                      <w:spacing w:val="0"/>
                      <w:sz w:val="18"/>
                      <w:szCs w:val="18"/>
                      <w:lang w:val="en-US" w:eastAsia="zh-CN"/>
                    </w:rPr>
                    <w:t>冶金铸造</w:t>
                  </w:r>
                </w:p>
              </w:tc>
              <w:tc>
                <w:tcPr>
                  <w:tcW w:w="3074" w:type="dxa"/>
                  <w:tcBorders>
                    <w:tl2br w:val="nil"/>
                    <w:tr2bl w:val="nil"/>
                  </w:tcBorders>
                  <w:tcMar>
                    <w:top w:w="0" w:type="dxa"/>
                    <w:left w:w="28" w:type="dxa"/>
                    <w:bottom w:w="0" w:type="dxa"/>
                    <w:right w:w="28" w:type="dxa"/>
                  </w:tcMar>
                  <w:vAlign w:val="center"/>
                </w:tcPr>
                <w:p w14:paraId="0F12A96C">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eastAsia="宋体"/>
                      <w:color w:val="auto"/>
                      <w:spacing w:val="0"/>
                      <w:sz w:val="18"/>
                      <w:szCs w:val="18"/>
                      <w:lang w:eastAsia="zh-CN"/>
                    </w:rPr>
                  </w:pPr>
                  <w:r>
                    <w:rPr>
                      <w:rFonts w:hint="eastAsia"/>
                      <w:color w:val="auto"/>
                      <w:spacing w:val="0"/>
                      <w:sz w:val="18"/>
                      <w:szCs w:val="18"/>
                    </w:rPr>
                    <w:t>非高炉炼铁技术，高性能、高质量及升级换代钢材产品技术开发与应用；在线热处理、在线性能控制、在线强制冷却的新一代热机械控制加工（TMCP）工艺技术应用；高炉、热风炉用长寿节能环保耐火材料生产工艺；精炼钢用低碳、无碳耐火材料和高效连铸用功能环保性耐火材料生产工艺；烧结烟气脱硫、脱硝、脱二噁英等多功能干法脱除，以及副产物资源化、再利用化技术；冶金固体废弃物（含冶金矿山废石、尾矿，钢铁厂产生的各类尘、泥、渣、铁皮等）综合利用先进工艺技术；高炉、转炉煤气干法除尘；高效、低耗、低污染、新型冶炼技术开发；高效、节能、低污染、规模化再生资源回收与综合利用；直接利用高炉铁液生产铸铁件的短流程熔化工艺与装备；粘土砂静压造型主机</w:t>
                  </w:r>
                  <w:r>
                    <w:rPr>
                      <w:rFonts w:hint="eastAsia"/>
                      <w:color w:val="auto"/>
                      <w:spacing w:val="0"/>
                      <w:sz w:val="18"/>
                      <w:szCs w:val="18"/>
                      <w:lang w:eastAsia="zh-CN"/>
                    </w:rPr>
                    <w:t>。</w:t>
                  </w:r>
                </w:p>
              </w:tc>
              <w:tc>
                <w:tcPr>
                  <w:tcW w:w="2675" w:type="dxa"/>
                  <w:tcBorders>
                    <w:tl2br w:val="nil"/>
                    <w:tr2bl w:val="nil"/>
                  </w:tcBorders>
                  <w:tcMar>
                    <w:top w:w="0" w:type="dxa"/>
                    <w:left w:w="28" w:type="dxa"/>
                    <w:bottom w:w="0" w:type="dxa"/>
                    <w:right w:w="28" w:type="dxa"/>
                  </w:tcMar>
                  <w:vAlign w:val="center"/>
                </w:tcPr>
                <w:p w14:paraId="260BFDD1">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土法炼焦（含改良焦炉）；</w:t>
                  </w:r>
                </w:p>
                <w:p w14:paraId="37810A10">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土烧结矿；</w:t>
                  </w:r>
                </w:p>
                <w:p w14:paraId="5BE9FE44">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热烧结矿；</w:t>
                  </w:r>
                </w:p>
                <w:p w14:paraId="10E75F99">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90平方米以下烧结机；</w:t>
                  </w:r>
                </w:p>
                <w:p w14:paraId="27E1423A">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8平方米以下球团竖炉；</w:t>
                  </w:r>
                </w:p>
                <w:p w14:paraId="5C605F78">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铁合金生产用24平方米以下带</w:t>
                  </w:r>
                </w:p>
                <w:p w14:paraId="21983360">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式锰矿、铬矿烧结机；</w:t>
                  </w:r>
                </w:p>
                <w:p w14:paraId="2AB62D56">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400立方米及以下炼铁高炉；</w:t>
                  </w:r>
                </w:p>
                <w:p w14:paraId="3AB1CA86">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30吨及以下转炉（不含铁合金转炉）；</w:t>
                  </w:r>
                </w:p>
                <w:p w14:paraId="7E023257">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30吨及以下电炉（不含机械铸造电炉）；</w:t>
                  </w:r>
                </w:p>
                <w:p w14:paraId="435BB419">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化铁炼钢；</w:t>
                  </w:r>
                </w:p>
                <w:p w14:paraId="0A81F3C0">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eastAsia="宋体"/>
                      <w:color w:val="auto"/>
                      <w:spacing w:val="0"/>
                      <w:sz w:val="18"/>
                      <w:szCs w:val="18"/>
                      <w:lang w:eastAsia="zh-CN"/>
                    </w:rPr>
                  </w:pPr>
                  <w:r>
                    <w:rPr>
                      <w:rFonts w:hint="eastAsia"/>
                      <w:color w:val="auto"/>
                      <w:spacing w:val="0"/>
                      <w:sz w:val="18"/>
                      <w:szCs w:val="18"/>
                    </w:rPr>
                    <w:t>单条生产线规模小于20万吨的铸铁管项目</w:t>
                  </w:r>
                  <w:r>
                    <w:rPr>
                      <w:rFonts w:hint="eastAsia"/>
                      <w:color w:val="auto"/>
                      <w:spacing w:val="0"/>
                      <w:sz w:val="18"/>
                      <w:szCs w:val="18"/>
                      <w:lang w:eastAsia="zh-CN"/>
                    </w:rPr>
                    <w:t>；</w:t>
                  </w:r>
                </w:p>
                <w:p w14:paraId="160FA732">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default" w:eastAsia="宋体"/>
                      <w:color w:val="auto"/>
                      <w:spacing w:val="0"/>
                      <w:sz w:val="18"/>
                      <w:szCs w:val="18"/>
                      <w:lang w:val="en-US" w:eastAsia="zh-CN"/>
                    </w:rPr>
                  </w:pPr>
                  <w:r>
                    <w:rPr>
                      <w:rFonts w:hint="eastAsia"/>
                      <w:color w:val="auto"/>
                      <w:spacing w:val="0"/>
                      <w:sz w:val="18"/>
                      <w:szCs w:val="18"/>
                    </w:rPr>
                    <w:t>粘土砂干型/芯铸造工艺</w:t>
                  </w:r>
                </w:p>
              </w:tc>
              <w:tc>
                <w:tcPr>
                  <w:tcW w:w="1642" w:type="dxa"/>
                  <w:tcBorders>
                    <w:right w:val="single" w:color="auto" w:sz="4" w:space="0"/>
                    <w:tl2br w:val="nil"/>
                    <w:tr2bl w:val="nil"/>
                  </w:tcBorders>
                  <w:tcMar>
                    <w:top w:w="0" w:type="dxa"/>
                    <w:left w:w="28" w:type="dxa"/>
                    <w:bottom w:w="0" w:type="dxa"/>
                    <w:right w:w="28" w:type="dxa"/>
                  </w:tcMar>
                  <w:vAlign w:val="center"/>
                </w:tcPr>
                <w:p w14:paraId="2993E823">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eastAsia="宋体"/>
                      <w:color w:val="auto"/>
                      <w:spacing w:val="0"/>
                      <w:sz w:val="18"/>
                      <w:szCs w:val="18"/>
                      <w:lang w:val="en-US" w:eastAsia="zh-CN"/>
                    </w:rPr>
                  </w:pPr>
                  <w:r>
                    <w:rPr>
                      <w:rStyle w:val="125"/>
                      <w:color w:val="auto"/>
                      <w:sz w:val="18"/>
                      <w:szCs w:val="18"/>
                      <w:highlight w:val="none"/>
                      <w:lang w:val="en-US" w:eastAsia="zh-CN" w:bidi="ar"/>
                    </w:rPr>
                    <w:t>本项目粘土砂铸造拟设置粘土砂高紧实度造型自动生产线及配套砂处理系统；树脂自硬砂铸造配套高效成套设备及配套砂处理系统；项目采用硅溶胶熔模铸造和压铸等特种铸造技术。</w:t>
                  </w:r>
                  <w:r>
                    <w:rPr>
                      <w:rStyle w:val="125"/>
                      <w:rFonts w:hint="eastAsia"/>
                      <w:color w:val="auto"/>
                      <w:sz w:val="18"/>
                      <w:szCs w:val="18"/>
                      <w:highlight w:val="none"/>
                      <w:lang w:val="en-US" w:eastAsia="zh-CN" w:bidi="ar"/>
                    </w:rPr>
                    <w:t>不在禁止引入类别范围</w:t>
                  </w:r>
                </w:p>
              </w:tc>
              <w:tc>
                <w:tcPr>
                  <w:tcW w:w="584" w:type="dxa"/>
                  <w:tcBorders>
                    <w:left w:val="single" w:color="auto" w:sz="4" w:space="0"/>
                    <w:tl2br w:val="nil"/>
                    <w:tr2bl w:val="nil"/>
                  </w:tcBorders>
                  <w:tcMar>
                    <w:top w:w="0" w:type="dxa"/>
                    <w:left w:w="28" w:type="dxa"/>
                    <w:bottom w:w="0" w:type="dxa"/>
                    <w:right w:w="28" w:type="dxa"/>
                  </w:tcMar>
                  <w:vAlign w:val="center"/>
                </w:tcPr>
                <w:p w14:paraId="2902FB2B">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Style w:val="125"/>
                      <w:rFonts w:hint="default"/>
                      <w:color w:val="auto"/>
                      <w:sz w:val="18"/>
                      <w:szCs w:val="18"/>
                      <w:highlight w:val="none"/>
                      <w:lang w:val="en-US" w:eastAsia="zh-CN" w:bidi="ar"/>
                    </w:rPr>
                  </w:pPr>
                  <w:r>
                    <w:rPr>
                      <w:rStyle w:val="125"/>
                      <w:rFonts w:hint="eastAsia"/>
                      <w:color w:val="auto"/>
                      <w:sz w:val="18"/>
                      <w:szCs w:val="18"/>
                      <w:highlight w:val="none"/>
                      <w:lang w:val="en-US" w:eastAsia="zh-CN" w:bidi="ar"/>
                    </w:rPr>
                    <w:t>符合</w:t>
                  </w:r>
                </w:p>
              </w:tc>
            </w:tr>
            <w:tr w14:paraId="4DD52D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94" w:type="dxa"/>
                  <w:tcBorders>
                    <w:tl2br w:val="nil"/>
                    <w:tr2bl w:val="nil"/>
                  </w:tcBorders>
                  <w:tcMar>
                    <w:top w:w="0" w:type="dxa"/>
                    <w:left w:w="28" w:type="dxa"/>
                    <w:bottom w:w="0" w:type="dxa"/>
                    <w:right w:w="28" w:type="dxa"/>
                  </w:tcMar>
                  <w:vAlign w:val="center"/>
                </w:tcPr>
                <w:p w14:paraId="0B3404B1">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color w:val="auto"/>
                      <w:spacing w:val="0"/>
                      <w:sz w:val="18"/>
                      <w:szCs w:val="18"/>
                      <w:lang w:eastAsia="zh-CN"/>
                    </w:rPr>
                  </w:pPr>
                  <w:r>
                    <w:rPr>
                      <w:rFonts w:hint="eastAsia"/>
                      <w:color w:val="auto"/>
                      <w:spacing w:val="0"/>
                      <w:sz w:val="18"/>
                      <w:szCs w:val="18"/>
                      <w:lang w:val="en-US" w:eastAsia="zh-CN"/>
                    </w:rPr>
                    <w:t>其他</w:t>
                  </w:r>
                </w:p>
              </w:tc>
              <w:tc>
                <w:tcPr>
                  <w:tcW w:w="3074" w:type="dxa"/>
                  <w:tcBorders>
                    <w:tl2br w:val="nil"/>
                    <w:tr2bl w:val="nil"/>
                  </w:tcBorders>
                  <w:tcMar>
                    <w:top w:w="0" w:type="dxa"/>
                    <w:left w:w="28" w:type="dxa"/>
                    <w:bottom w:w="0" w:type="dxa"/>
                    <w:right w:w="28" w:type="dxa"/>
                  </w:tcMar>
                  <w:vAlign w:val="center"/>
                </w:tcPr>
                <w:p w14:paraId="576D0BCA">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rFonts w:hint="eastAsia"/>
                      <w:color w:val="auto"/>
                      <w:spacing w:val="0"/>
                      <w:sz w:val="18"/>
                      <w:szCs w:val="18"/>
                    </w:rPr>
                    <w:t>无污染、高附加值的企业</w:t>
                  </w:r>
                </w:p>
              </w:tc>
              <w:tc>
                <w:tcPr>
                  <w:tcW w:w="2675" w:type="dxa"/>
                  <w:tcBorders>
                    <w:tl2br w:val="nil"/>
                    <w:tr2bl w:val="nil"/>
                  </w:tcBorders>
                  <w:tcMar>
                    <w:top w:w="0" w:type="dxa"/>
                    <w:left w:w="28" w:type="dxa"/>
                    <w:bottom w:w="0" w:type="dxa"/>
                    <w:right w:w="28" w:type="dxa"/>
                  </w:tcMar>
                  <w:vAlign w:val="center"/>
                </w:tcPr>
                <w:p w14:paraId="63437AA9">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不符合国家产业政策的企业；</w:t>
                  </w:r>
                </w:p>
                <w:p w14:paraId="15BDAAD4">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color w:val="auto"/>
                      <w:spacing w:val="0"/>
                      <w:sz w:val="18"/>
                      <w:szCs w:val="18"/>
                    </w:rPr>
                  </w:pPr>
                  <w:r>
                    <w:rPr>
                      <w:rFonts w:hint="eastAsia"/>
                      <w:color w:val="auto"/>
                      <w:spacing w:val="0"/>
                      <w:sz w:val="18"/>
                      <w:szCs w:val="18"/>
                    </w:rPr>
                    <w:t>造纸、制革、印染、化工、钢铁、电镀等污染严重的企业；</w:t>
                  </w:r>
                </w:p>
                <w:p w14:paraId="064A8B97">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eastAsia="宋体"/>
                      <w:color w:val="auto"/>
                      <w:spacing w:val="0"/>
                      <w:sz w:val="18"/>
                      <w:szCs w:val="18"/>
                      <w:lang w:eastAsia="zh-CN"/>
                    </w:rPr>
                  </w:pPr>
                  <w:r>
                    <w:rPr>
                      <w:rFonts w:hint="eastAsia"/>
                      <w:color w:val="auto"/>
                      <w:spacing w:val="0"/>
                      <w:sz w:val="18"/>
                      <w:szCs w:val="18"/>
                    </w:rPr>
                    <w:t>废气废水排放量大的企业</w:t>
                  </w:r>
                  <w:r>
                    <w:rPr>
                      <w:rFonts w:hint="eastAsia"/>
                      <w:color w:val="auto"/>
                      <w:spacing w:val="0"/>
                      <w:sz w:val="18"/>
                      <w:szCs w:val="18"/>
                      <w:lang w:eastAsia="zh-CN"/>
                    </w:rPr>
                    <w:t>。</w:t>
                  </w:r>
                </w:p>
              </w:tc>
              <w:tc>
                <w:tcPr>
                  <w:tcW w:w="1642" w:type="dxa"/>
                  <w:tcBorders>
                    <w:right w:val="single" w:color="auto" w:sz="4" w:space="0"/>
                    <w:tl2br w:val="nil"/>
                    <w:tr2bl w:val="nil"/>
                  </w:tcBorders>
                  <w:tcMar>
                    <w:top w:w="0" w:type="dxa"/>
                    <w:left w:w="28" w:type="dxa"/>
                    <w:bottom w:w="0" w:type="dxa"/>
                    <w:right w:w="28" w:type="dxa"/>
                  </w:tcMar>
                  <w:vAlign w:val="center"/>
                </w:tcPr>
                <w:p w14:paraId="5DA6D14B">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color w:val="auto"/>
                      <w:spacing w:val="0"/>
                      <w:sz w:val="18"/>
                      <w:szCs w:val="18"/>
                      <w:lang w:val="en-US" w:eastAsia="zh-CN"/>
                    </w:rPr>
                  </w:pPr>
                  <w:r>
                    <w:rPr>
                      <w:rFonts w:hint="eastAsia"/>
                      <w:color w:val="auto"/>
                      <w:spacing w:val="0"/>
                      <w:sz w:val="18"/>
                      <w:szCs w:val="18"/>
                      <w:lang w:val="en-US" w:eastAsia="zh-CN"/>
                    </w:rPr>
                    <w:t>不属于禁止引入类项目</w:t>
                  </w:r>
                </w:p>
              </w:tc>
              <w:tc>
                <w:tcPr>
                  <w:tcW w:w="584" w:type="dxa"/>
                  <w:tcBorders>
                    <w:left w:val="single" w:color="auto" w:sz="4" w:space="0"/>
                    <w:tl2br w:val="nil"/>
                    <w:tr2bl w:val="nil"/>
                  </w:tcBorders>
                  <w:tcMar>
                    <w:top w:w="0" w:type="dxa"/>
                    <w:left w:w="28" w:type="dxa"/>
                    <w:bottom w:w="0" w:type="dxa"/>
                    <w:right w:w="28" w:type="dxa"/>
                  </w:tcMar>
                  <w:vAlign w:val="center"/>
                </w:tcPr>
                <w:p w14:paraId="39AB583E">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color w:val="auto"/>
                      <w:spacing w:val="0"/>
                      <w:sz w:val="18"/>
                      <w:szCs w:val="18"/>
                      <w:lang w:val="en-US" w:eastAsia="zh-CN"/>
                    </w:rPr>
                  </w:pPr>
                  <w:r>
                    <w:rPr>
                      <w:rFonts w:hint="eastAsia"/>
                      <w:color w:val="auto"/>
                      <w:spacing w:val="0"/>
                      <w:sz w:val="18"/>
                      <w:szCs w:val="18"/>
                      <w:lang w:val="en-US" w:eastAsia="zh-CN"/>
                    </w:rPr>
                    <w:t>符合</w:t>
                  </w:r>
                </w:p>
              </w:tc>
            </w:tr>
          </w:tbl>
          <w:p w14:paraId="0681AA8D">
            <w:pPr>
              <w:pStyle w:val="18"/>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0" w:firstLineChars="0"/>
              <w:textAlignment w:val="auto"/>
              <w:rPr>
                <w:rFonts w:hint="eastAsia"/>
                <w:color w:val="auto"/>
                <w:kern w:val="0"/>
                <w:sz w:val="24"/>
              </w:rPr>
            </w:pPr>
            <w:r>
              <w:rPr>
                <w:rFonts w:hint="eastAsia"/>
                <w:b/>
                <w:bCs/>
                <w:color w:val="auto"/>
                <w:kern w:val="0"/>
                <w:sz w:val="24"/>
                <w:lang w:val="en-US" w:eastAsia="zh-CN"/>
              </w:rPr>
              <w:t>4、</w:t>
            </w:r>
            <w:r>
              <w:rPr>
                <w:rFonts w:hint="eastAsia"/>
                <w:b/>
                <w:bCs/>
                <w:color w:val="auto"/>
                <w:kern w:val="0"/>
                <w:sz w:val="24"/>
              </w:rPr>
              <w:t>与《福建（大田）机械铸造产业集聚区控制性详细规划环境影响报告书》及其审查意见符合性分析</w:t>
            </w:r>
          </w:p>
          <w:p w14:paraId="1B7D4157">
            <w:pPr>
              <w:pStyle w:val="18"/>
              <w:spacing w:after="0" w:line="360" w:lineRule="auto"/>
              <w:ind w:left="0" w:leftChars="0" w:firstLine="480" w:firstLineChars="200"/>
              <w:rPr>
                <w:rFonts w:hint="eastAsia"/>
                <w:color w:val="auto"/>
                <w:kern w:val="0"/>
                <w:sz w:val="24"/>
              </w:rPr>
            </w:pPr>
            <w:r>
              <w:rPr>
                <w:rFonts w:hint="eastAsia"/>
                <w:color w:val="auto"/>
                <w:kern w:val="0"/>
                <w:sz w:val="24"/>
              </w:rPr>
              <w:t>对照《福建（大田）机械铸造产业集聚区控制性详细规划环境影响评价报告书》及其审查意见，本项目建设与规划环评及其审查意见的符合性分析如下：</w:t>
            </w:r>
          </w:p>
          <w:p w14:paraId="4EF1501C">
            <w:pPr>
              <w:pStyle w:val="18"/>
              <w:spacing w:after="0" w:line="360" w:lineRule="auto"/>
              <w:jc w:val="center"/>
              <w:rPr>
                <w:rFonts w:hint="eastAsia"/>
                <w:b/>
                <w:bCs/>
                <w:color w:val="auto"/>
                <w:kern w:val="0"/>
                <w:sz w:val="24"/>
              </w:rPr>
            </w:pPr>
          </w:p>
          <w:p w14:paraId="4F37ED7D">
            <w:pPr>
              <w:pStyle w:val="18"/>
              <w:spacing w:after="0" w:line="360" w:lineRule="auto"/>
              <w:jc w:val="center"/>
              <w:rPr>
                <w:rFonts w:hint="eastAsia"/>
                <w:b/>
                <w:bCs/>
                <w:color w:val="auto"/>
                <w:kern w:val="0"/>
                <w:sz w:val="24"/>
              </w:rPr>
            </w:pPr>
            <w:r>
              <w:rPr>
                <w:rFonts w:hint="eastAsia"/>
                <w:b/>
                <w:bCs/>
                <w:color w:val="auto"/>
                <w:kern w:val="0"/>
                <w:sz w:val="24"/>
              </w:rPr>
              <w:t>表1-</w:t>
            </w:r>
            <w:r>
              <w:rPr>
                <w:rFonts w:hint="eastAsia"/>
                <w:b/>
                <w:bCs/>
                <w:color w:val="auto"/>
                <w:kern w:val="0"/>
                <w:sz w:val="24"/>
                <w:lang w:val="en-US" w:eastAsia="zh-CN"/>
              </w:rPr>
              <w:t xml:space="preserve">3  </w:t>
            </w:r>
            <w:r>
              <w:rPr>
                <w:rFonts w:hint="eastAsia"/>
                <w:b/>
                <w:bCs/>
                <w:color w:val="auto"/>
                <w:kern w:val="0"/>
                <w:sz w:val="24"/>
              </w:rPr>
              <w:t>本项目与规划环评及审查意见要求符合性分析一览表</w:t>
            </w:r>
          </w:p>
          <w:tbl>
            <w:tblPr>
              <w:tblStyle w:val="29"/>
              <w:tblW w:w="8460" w:type="dxa"/>
              <w:tblInd w:w="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675"/>
              <w:gridCol w:w="4155"/>
              <w:gridCol w:w="2904"/>
              <w:gridCol w:w="726"/>
            </w:tblGrid>
            <w:tr w14:paraId="59E593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75" w:type="dxa"/>
                  <w:tcBorders>
                    <w:tl2br w:val="nil"/>
                    <w:tr2bl w:val="nil"/>
                  </w:tcBorders>
                  <w:tcMar>
                    <w:top w:w="0" w:type="dxa"/>
                    <w:left w:w="28" w:type="dxa"/>
                    <w:bottom w:w="0" w:type="dxa"/>
                    <w:right w:w="28" w:type="dxa"/>
                  </w:tcMar>
                  <w:vAlign w:val="center"/>
                </w:tcPr>
                <w:p w14:paraId="79706F68">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pacing w:val="0"/>
                      <w:sz w:val="18"/>
                      <w:szCs w:val="18"/>
                    </w:rPr>
                  </w:pPr>
                  <w:r>
                    <w:rPr>
                      <w:b/>
                      <w:bCs/>
                      <w:color w:val="auto"/>
                      <w:spacing w:val="0"/>
                      <w:sz w:val="18"/>
                      <w:szCs w:val="18"/>
                    </w:rPr>
                    <w:t>项目</w:t>
                  </w:r>
                </w:p>
              </w:tc>
              <w:tc>
                <w:tcPr>
                  <w:tcW w:w="4155" w:type="dxa"/>
                  <w:tcBorders>
                    <w:tl2br w:val="nil"/>
                    <w:tr2bl w:val="nil"/>
                  </w:tcBorders>
                  <w:tcMar>
                    <w:top w:w="0" w:type="dxa"/>
                    <w:left w:w="28" w:type="dxa"/>
                    <w:bottom w:w="0" w:type="dxa"/>
                    <w:right w:w="28" w:type="dxa"/>
                  </w:tcMar>
                  <w:vAlign w:val="center"/>
                </w:tcPr>
                <w:p w14:paraId="78293DA2">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pacing w:val="0"/>
                      <w:sz w:val="18"/>
                      <w:szCs w:val="18"/>
                    </w:rPr>
                  </w:pPr>
                  <w:r>
                    <w:rPr>
                      <w:b/>
                      <w:bCs/>
                      <w:color w:val="auto"/>
                      <w:spacing w:val="0"/>
                      <w:sz w:val="18"/>
                      <w:szCs w:val="18"/>
                    </w:rPr>
                    <w:t>规划环评要求</w:t>
                  </w:r>
                </w:p>
              </w:tc>
              <w:tc>
                <w:tcPr>
                  <w:tcW w:w="2904" w:type="dxa"/>
                  <w:tcBorders>
                    <w:tl2br w:val="nil"/>
                    <w:tr2bl w:val="nil"/>
                  </w:tcBorders>
                  <w:tcMar>
                    <w:top w:w="0" w:type="dxa"/>
                    <w:left w:w="28" w:type="dxa"/>
                    <w:bottom w:w="0" w:type="dxa"/>
                    <w:right w:w="28" w:type="dxa"/>
                  </w:tcMar>
                  <w:vAlign w:val="center"/>
                </w:tcPr>
                <w:p w14:paraId="00CE7DBF">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bCs/>
                      <w:color w:val="auto"/>
                      <w:spacing w:val="0"/>
                      <w:sz w:val="18"/>
                      <w:szCs w:val="18"/>
                    </w:rPr>
                  </w:pPr>
                  <w:r>
                    <w:rPr>
                      <w:b/>
                      <w:bCs/>
                      <w:color w:val="auto"/>
                      <w:spacing w:val="0"/>
                      <w:sz w:val="18"/>
                      <w:szCs w:val="18"/>
                    </w:rPr>
                    <w:t>本项目</w:t>
                  </w:r>
                </w:p>
              </w:tc>
              <w:tc>
                <w:tcPr>
                  <w:tcW w:w="726" w:type="dxa"/>
                  <w:tcBorders>
                    <w:tl2br w:val="nil"/>
                    <w:tr2bl w:val="nil"/>
                  </w:tcBorders>
                  <w:tcMar>
                    <w:top w:w="0" w:type="dxa"/>
                    <w:left w:w="28" w:type="dxa"/>
                    <w:bottom w:w="0" w:type="dxa"/>
                    <w:right w:w="28" w:type="dxa"/>
                  </w:tcMar>
                  <w:vAlign w:val="center"/>
                </w:tcPr>
                <w:p w14:paraId="0804949F">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b/>
                      <w:bCs/>
                      <w:color w:val="auto"/>
                      <w:spacing w:val="0"/>
                      <w:sz w:val="18"/>
                      <w:szCs w:val="18"/>
                      <w:lang w:val="en-US" w:eastAsia="zh-CN"/>
                    </w:rPr>
                  </w:pPr>
                  <w:r>
                    <w:rPr>
                      <w:rFonts w:hint="eastAsia"/>
                      <w:b/>
                      <w:bCs/>
                      <w:color w:val="auto"/>
                      <w:spacing w:val="0"/>
                      <w:sz w:val="18"/>
                      <w:szCs w:val="18"/>
                      <w:lang w:val="en-US" w:eastAsia="zh-CN"/>
                    </w:rPr>
                    <w:t>符合性</w:t>
                  </w:r>
                </w:p>
              </w:tc>
            </w:tr>
            <w:tr w14:paraId="1D5A36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675" w:type="dxa"/>
                  <w:tcBorders>
                    <w:tl2br w:val="nil"/>
                    <w:tr2bl w:val="nil"/>
                  </w:tcBorders>
                  <w:tcMar>
                    <w:top w:w="0" w:type="dxa"/>
                    <w:left w:w="28" w:type="dxa"/>
                    <w:bottom w:w="0" w:type="dxa"/>
                    <w:right w:w="28" w:type="dxa"/>
                  </w:tcMar>
                  <w:vAlign w:val="center"/>
                </w:tcPr>
                <w:p w14:paraId="6557D4FB">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pacing w:val="0"/>
                      <w:sz w:val="18"/>
                      <w:szCs w:val="18"/>
                    </w:rPr>
                  </w:pPr>
                  <w:r>
                    <w:rPr>
                      <w:color w:val="auto"/>
                      <w:spacing w:val="0"/>
                      <w:sz w:val="18"/>
                      <w:szCs w:val="18"/>
                    </w:rPr>
                    <w:t>规划定位</w:t>
                  </w:r>
                </w:p>
              </w:tc>
              <w:tc>
                <w:tcPr>
                  <w:tcW w:w="4155" w:type="dxa"/>
                  <w:tcBorders>
                    <w:tl2br w:val="nil"/>
                    <w:tr2bl w:val="nil"/>
                  </w:tcBorders>
                  <w:tcMar>
                    <w:top w:w="0" w:type="dxa"/>
                    <w:left w:w="28" w:type="dxa"/>
                    <w:bottom w:w="0" w:type="dxa"/>
                    <w:right w:w="28" w:type="dxa"/>
                  </w:tcMar>
                  <w:vAlign w:val="center"/>
                </w:tcPr>
                <w:p w14:paraId="756A4F99">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rFonts w:hint="eastAsia"/>
                      <w:color w:val="auto"/>
                      <w:spacing w:val="0"/>
                      <w:sz w:val="18"/>
                      <w:szCs w:val="18"/>
                    </w:rPr>
                    <w:t>以机械铸造为主导，集仓储物流、专业市场、现代服务等为一体的综合性产业新区。主导产业为</w:t>
                  </w:r>
                  <w:r>
                    <w:rPr>
                      <w:rFonts w:hint="eastAsia"/>
                      <w:color w:val="auto"/>
                      <w:spacing w:val="0"/>
                      <w:sz w:val="18"/>
                      <w:szCs w:val="18"/>
                      <w:lang w:eastAsia="zh-CN"/>
                    </w:rPr>
                    <w:t>：</w:t>
                  </w:r>
                  <w:r>
                    <w:rPr>
                      <w:rFonts w:hint="eastAsia"/>
                      <w:color w:val="auto"/>
                      <w:spacing w:val="0"/>
                      <w:sz w:val="18"/>
                      <w:szCs w:val="18"/>
                    </w:rPr>
                    <w:t>矿山机械、资源化机械、精密机械、新型建材。围绕主导产业，依托已有基础，发展电子信息、新能源新材料、物联网研发及应用（智能制造)、文化创意、工业研发等产业，为主导产业提供上下游配套产业链。此外，还包括生产配套和生活配套两大配套产业。</w:t>
                  </w:r>
                </w:p>
              </w:tc>
              <w:tc>
                <w:tcPr>
                  <w:tcW w:w="2904" w:type="dxa"/>
                  <w:tcBorders>
                    <w:tl2br w:val="nil"/>
                    <w:tr2bl w:val="nil"/>
                  </w:tcBorders>
                  <w:tcMar>
                    <w:top w:w="0" w:type="dxa"/>
                    <w:left w:w="28" w:type="dxa"/>
                    <w:bottom w:w="0" w:type="dxa"/>
                    <w:right w:w="28" w:type="dxa"/>
                  </w:tcMar>
                  <w:vAlign w:val="center"/>
                </w:tcPr>
                <w:p w14:paraId="0FC867F5">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default" w:eastAsia="宋体"/>
                      <w:color w:val="auto"/>
                      <w:spacing w:val="0"/>
                      <w:sz w:val="18"/>
                      <w:szCs w:val="18"/>
                      <w:lang w:val="en-US" w:eastAsia="zh-CN"/>
                    </w:rPr>
                  </w:pPr>
                  <w:r>
                    <w:rPr>
                      <w:color w:val="auto"/>
                      <w:spacing w:val="0"/>
                      <w:sz w:val="18"/>
                      <w:szCs w:val="18"/>
                    </w:rPr>
                    <w:t>本项目主</w:t>
                  </w:r>
                  <w:r>
                    <w:rPr>
                      <w:color w:val="auto"/>
                      <w:spacing w:val="0"/>
                      <w:sz w:val="18"/>
                      <w:szCs w:val="18"/>
                      <w:highlight w:val="none"/>
                    </w:rPr>
                    <w:t>要生产精密机械铸件和</w:t>
                  </w:r>
                  <w:r>
                    <w:rPr>
                      <w:rFonts w:hint="eastAsia"/>
                      <w:color w:val="auto"/>
                      <w:spacing w:val="0"/>
                      <w:sz w:val="18"/>
                      <w:szCs w:val="18"/>
                      <w:highlight w:val="none"/>
                      <w:lang w:val="en-US" w:eastAsia="zh-CN"/>
                    </w:rPr>
                    <w:t>消防产品</w:t>
                  </w:r>
                  <w:r>
                    <w:rPr>
                      <w:color w:val="auto"/>
                      <w:spacing w:val="0"/>
                      <w:sz w:val="18"/>
                      <w:szCs w:val="18"/>
                      <w:highlight w:val="none"/>
                    </w:rPr>
                    <w:t>等。</w:t>
                  </w:r>
                  <w:r>
                    <w:rPr>
                      <w:rFonts w:hint="eastAsia"/>
                      <w:color w:val="auto"/>
                      <w:spacing w:val="0"/>
                      <w:sz w:val="18"/>
                      <w:szCs w:val="18"/>
                      <w:highlight w:val="none"/>
                      <w:lang w:val="en-US" w:eastAsia="zh-CN"/>
                    </w:rPr>
                    <w:t>所述行业属于园区主导产业。</w:t>
                  </w:r>
                </w:p>
              </w:tc>
              <w:tc>
                <w:tcPr>
                  <w:tcW w:w="726" w:type="dxa"/>
                  <w:tcBorders>
                    <w:tl2br w:val="nil"/>
                    <w:tr2bl w:val="nil"/>
                  </w:tcBorders>
                  <w:tcMar>
                    <w:top w:w="0" w:type="dxa"/>
                    <w:left w:w="28" w:type="dxa"/>
                    <w:bottom w:w="0" w:type="dxa"/>
                    <w:right w:w="28" w:type="dxa"/>
                  </w:tcMar>
                  <w:vAlign w:val="center"/>
                </w:tcPr>
                <w:p w14:paraId="04F302BC">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color w:val="auto"/>
                      <w:spacing w:val="0"/>
                      <w:sz w:val="18"/>
                      <w:szCs w:val="18"/>
                      <w:lang w:val="en-US" w:eastAsia="zh-CN"/>
                    </w:rPr>
                  </w:pPr>
                  <w:r>
                    <w:rPr>
                      <w:rFonts w:hint="eastAsia"/>
                      <w:color w:val="auto"/>
                      <w:spacing w:val="0"/>
                      <w:sz w:val="18"/>
                      <w:szCs w:val="18"/>
                      <w:lang w:val="en-US" w:eastAsia="zh-CN"/>
                    </w:rPr>
                    <w:t>符合</w:t>
                  </w:r>
                </w:p>
              </w:tc>
            </w:tr>
            <w:tr w14:paraId="671E3E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675" w:type="dxa"/>
                  <w:tcBorders>
                    <w:tl2br w:val="nil"/>
                    <w:tr2bl w:val="nil"/>
                  </w:tcBorders>
                  <w:tcMar>
                    <w:top w:w="0" w:type="dxa"/>
                    <w:left w:w="28" w:type="dxa"/>
                    <w:bottom w:w="0" w:type="dxa"/>
                    <w:right w:w="28" w:type="dxa"/>
                  </w:tcMar>
                  <w:vAlign w:val="center"/>
                </w:tcPr>
                <w:p w14:paraId="0D536494">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pacing w:val="0"/>
                      <w:sz w:val="18"/>
                      <w:szCs w:val="18"/>
                    </w:rPr>
                  </w:pPr>
                  <w:r>
                    <w:rPr>
                      <w:color w:val="auto"/>
                      <w:spacing w:val="0"/>
                      <w:sz w:val="18"/>
                      <w:szCs w:val="18"/>
                    </w:rPr>
                    <w:t>环境准入负面清单</w:t>
                  </w:r>
                </w:p>
              </w:tc>
              <w:tc>
                <w:tcPr>
                  <w:tcW w:w="4155" w:type="dxa"/>
                  <w:tcBorders>
                    <w:tl2br w:val="nil"/>
                    <w:tr2bl w:val="nil"/>
                  </w:tcBorders>
                  <w:tcMar>
                    <w:top w:w="0" w:type="dxa"/>
                    <w:left w:w="28" w:type="dxa"/>
                    <w:bottom w:w="0" w:type="dxa"/>
                    <w:right w:w="28" w:type="dxa"/>
                  </w:tcMar>
                  <w:vAlign w:val="center"/>
                </w:tcPr>
                <w:p w14:paraId="09249D0D">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①禁止不符合《福建省人民政府关于加强重点流域水环境综合整治的意见》（闽政</w:t>
                  </w:r>
                  <w:r>
                    <w:rPr>
                      <w:rFonts w:hint="eastAsia"/>
                      <w:color w:val="auto"/>
                      <w:spacing w:val="0"/>
                      <w:sz w:val="18"/>
                      <w:szCs w:val="18"/>
                      <w:lang w:eastAsia="zh-CN"/>
                    </w:rPr>
                    <w:t>〔2009〕16号</w:t>
                  </w:r>
                  <w:r>
                    <w:rPr>
                      <w:color w:val="auto"/>
                      <w:spacing w:val="0"/>
                      <w:sz w:val="18"/>
                      <w:szCs w:val="18"/>
                    </w:rPr>
                    <w:t>）、《关于加强河流污染防治工作的通知》（环发</w:t>
                  </w:r>
                  <w:r>
                    <w:rPr>
                      <w:rFonts w:hint="eastAsia"/>
                      <w:color w:val="auto"/>
                      <w:spacing w:val="0"/>
                      <w:sz w:val="18"/>
                      <w:szCs w:val="18"/>
                      <w:lang w:eastAsia="zh-CN"/>
                    </w:rPr>
                    <w:t>〔2007〕201号</w:t>
                  </w:r>
                  <w:r>
                    <w:rPr>
                      <w:color w:val="auto"/>
                      <w:spacing w:val="0"/>
                      <w:sz w:val="18"/>
                      <w:szCs w:val="18"/>
                    </w:rPr>
                    <w:t>）要求的项目、列入《禁止用地项目目录（</w:t>
                  </w:r>
                  <w:r>
                    <w:rPr>
                      <w:rFonts w:ascii="Times New Roman" w:eastAsia="Times New Roman"/>
                      <w:color w:val="auto"/>
                      <w:spacing w:val="0"/>
                      <w:sz w:val="18"/>
                      <w:szCs w:val="18"/>
                    </w:rPr>
                    <w:t>2012</w:t>
                  </w:r>
                  <w:r>
                    <w:rPr>
                      <w:color w:val="auto"/>
                      <w:spacing w:val="0"/>
                      <w:sz w:val="18"/>
                      <w:szCs w:val="18"/>
                    </w:rPr>
                    <w:t>年本）》中规定的产业和《产业结构调整指导目录（</w:t>
                  </w:r>
                  <w:r>
                    <w:rPr>
                      <w:rFonts w:ascii="Times New Roman" w:eastAsia="Times New Roman"/>
                      <w:color w:val="auto"/>
                      <w:spacing w:val="0"/>
                      <w:sz w:val="18"/>
                      <w:szCs w:val="18"/>
                    </w:rPr>
                    <w:t>2011</w:t>
                  </w:r>
                  <w:r>
                    <w:rPr>
                      <w:color w:val="auto"/>
                      <w:spacing w:val="0"/>
                      <w:sz w:val="18"/>
                      <w:szCs w:val="18"/>
                    </w:rPr>
                    <w:t>年本）》（</w:t>
                  </w:r>
                  <w:r>
                    <w:rPr>
                      <w:rFonts w:ascii="Times New Roman" w:eastAsia="Times New Roman"/>
                      <w:color w:val="auto"/>
                      <w:spacing w:val="0"/>
                      <w:sz w:val="18"/>
                      <w:szCs w:val="18"/>
                    </w:rPr>
                    <w:t>2013</w:t>
                  </w:r>
                  <w:r>
                    <w:rPr>
                      <w:color w:val="auto"/>
                      <w:spacing w:val="0"/>
                      <w:sz w:val="18"/>
                      <w:szCs w:val="18"/>
                    </w:rPr>
                    <w:t>修订）中的限制、淘汰类项目入区。</w:t>
                  </w:r>
                </w:p>
                <w:p w14:paraId="1C5DC4CA">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②机械制造企业限制喷漆，禁止含电镀工艺企业入驻；禁止向水体排放重金属及持久性有机污染</w:t>
                  </w:r>
                </w:p>
                <w:p w14:paraId="2B97AD67">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物的项目。</w:t>
                  </w:r>
                </w:p>
              </w:tc>
              <w:tc>
                <w:tcPr>
                  <w:tcW w:w="2904" w:type="dxa"/>
                  <w:tcBorders>
                    <w:tl2br w:val="nil"/>
                    <w:tr2bl w:val="nil"/>
                  </w:tcBorders>
                  <w:tcMar>
                    <w:top w:w="0" w:type="dxa"/>
                    <w:left w:w="28" w:type="dxa"/>
                    <w:bottom w:w="0" w:type="dxa"/>
                    <w:right w:w="28" w:type="dxa"/>
                  </w:tcMar>
                  <w:vAlign w:val="center"/>
                </w:tcPr>
                <w:p w14:paraId="14AA8DA1">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①本项目采用喷粉工艺，不涉及喷漆和电镀工序。</w:t>
                  </w:r>
                </w:p>
                <w:p w14:paraId="0DA9E3AE">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highlight w:val="none"/>
                    </w:rPr>
                  </w:pPr>
                  <w:r>
                    <w:rPr>
                      <w:color w:val="auto"/>
                      <w:spacing w:val="0"/>
                      <w:sz w:val="18"/>
                      <w:szCs w:val="18"/>
                    </w:rPr>
                    <w:t>②本项目</w:t>
                  </w:r>
                  <w:r>
                    <w:rPr>
                      <w:rFonts w:hint="eastAsia"/>
                      <w:color w:val="auto"/>
                      <w:spacing w:val="0"/>
                      <w:sz w:val="18"/>
                      <w:szCs w:val="18"/>
                      <w:highlight w:val="none"/>
                      <w:lang w:val="en-US" w:eastAsia="zh-CN"/>
                    </w:rPr>
                    <w:t>冷却水、喷淋水循环使用</w:t>
                  </w:r>
                  <w:r>
                    <w:rPr>
                      <w:color w:val="auto"/>
                      <w:spacing w:val="0"/>
                      <w:sz w:val="18"/>
                      <w:szCs w:val="18"/>
                      <w:highlight w:val="none"/>
                    </w:rPr>
                    <w:t>，无生产废水外排，不涉及向水体排放重金属及挥发性有机污染物的情形。</w:t>
                  </w:r>
                </w:p>
                <w:p w14:paraId="1AC54E3F">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highlight w:val="none"/>
                    </w:rPr>
                    <w:t>③本项目符合闽政</w:t>
                  </w:r>
                  <w:r>
                    <w:rPr>
                      <w:rFonts w:hint="eastAsia"/>
                      <w:color w:val="auto"/>
                      <w:spacing w:val="0"/>
                      <w:sz w:val="18"/>
                      <w:szCs w:val="18"/>
                      <w:highlight w:val="none"/>
                      <w:lang w:eastAsia="zh-CN"/>
                    </w:rPr>
                    <w:t>〔2009〕16号</w:t>
                  </w:r>
                  <w:r>
                    <w:rPr>
                      <w:color w:val="auto"/>
                      <w:spacing w:val="0"/>
                      <w:sz w:val="18"/>
                      <w:szCs w:val="18"/>
                      <w:highlight w:val="none"/>
                    </w:rPr>
                    <w:t>、环发</w:t>
                  </w:r>
                  <w:r>
                    <w:rPr>
                      <w:rFonts w:hint="eastAsia"/>
                      <w:color w:val="auto"/>
                      <w:spacing w:val="0"/>
                      <w:sz w:val="18"/>
                      <w:szCs w:val="18"/>
                      <w:highlight w:val="none"/>
                      <w:lang w:eastAsia="zh-CN"/>
                    </w:rPr>
                    <w:t>〔2007〕201号、</w:t>
                  </w:r>
                  <w:r>
                    <w:rPr>
                      <w:rFonts w:hint="eastAsia"/>
                      <w:color w:val="auto"/>
                      <w:spacing w:val="0"/>
                      <w:sz w:val="18"/>
                      <w:szCs w:val="18"/>
                    </w:rPr>
                    <w:t>《产业结构调整指导目录》（2024年本）</w:t>
                  </w:r>
                  <w:r>
                    <w:rPr>
                      <w:rFonts w:hint="eastAsia"/>
                      <w:color w:val="auto"/>
                      <w:spacing w:val="0"/>
                      <w:sz w:val="18"/>
                      <w:szCs w:val="18"/>
                      <w:lang w:eastAsia="zh-CN"/>
                    </w:rPr>
                    <w:t>、《自然资源要素支撑产业高质量发展指导目录（2024年本）》</w:t>
                  </w:r>
                  <w:r>
                    <w:rPr>
                      <w:color w:val="auto"/>
                      <w:spacing w:val="0"/>
                      <w:sz w:val="18"/>
                      <w:szCs w:val="18"/>
                      <w:highlight w:val="none"/>
                    </w:rPr>
                    <w:t>等文件的要求，</w:t>
                  </w:r>
                  <w:r>
                    <w:rPr>
                      <w:rFonts w:hint="eastAsia"/>
                      <w:color w:val="auto"/>
                      <w:spacing w:val="0"/>
                      <w:sz w:val="18"/>
                      <w:szCs w:val="18"/>
                      <w:highlight w:val="none"/>
                      <w:lang w:val="en-US" w:eastAsia="zh-CN"/>
                    </w:rPr>
                    <w:t>符合国家当前产业政策要求</w:t>
                  </w:r>
                  <w:r>
                    <w:rPr>
                      <w:color w:val="auto"/>
                      <w:spacing w:val="0"/>
                      <w:sz w:val="18"/>
                      <w:szCs w:val="18"/>
                      <w:highlight w:val="none"/>
                    </w:rPr>
                    <w:t>。</w:t>
                  </w:r>
                </w:p>
              </w:tc>
              <w:tc>
                <w:tcPr>
                  <w:tcW w:w="726" w:type="dxa"/>
                  <w:tcBorders>
                    <w:tl2br w:val="nil"/>
                    <w:tr2bl w:val="nil"/>
                  </w:tcBorders>
                  <w:tcMar>
                    <w:top w:w="0" w:type="dxa"/>
                    <w:left w:w="28" w:type="dxa"/>
                    <w:bottom w:w="0" w:type="dxa"/>
                    <w:right w:w="28" w:type="dxa"/>
                  </w:tcMar>
                  <w:vAlign w:val="center"/>
                </w:tcPr>
                <w:p w14:paraId="56F7FFE1">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color w:val="auto"/>
                      <w:spacing w:val="0"/>
                      <w:sz w:val="18"/>
                      <w:szCs w:val="18"/>
                      <w:lang w:val="en-US" w:eastAsia="zh-CN"/>
                    </w:rPr>
                  </w:pPr>
                  <w:r>
                    <w:rPr>
                      <w:rFonts w:hint="eastAsia"/>
                      <w:color w:val="auto"/>
                      <w:spacing w:val="0"/>
                      <w:sz w:val="18"/>
                      <w:szCs w:val="18"/>
                      <w:lang w:val="en-US" w:eastAsia="zh-CN"/>
                    </w:rPr>
                    <w:t>符合</w:t>
                  </w:r>
                </w:p>
              </w:tc>
            </w:tr>
            <w:tr w14:paraId="7071E3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675" w:type="dxa"/>
                  <w:tcBorders>
                    <w:tl2br w:val="nil"/>
                    <w:tr2bl w:val="nil"/>
                  </w:tcBorders>
                  <w:tcMar>
                    <w:top w:w="0" w:type="dxa"/>
                    <w:left w:w="28" w:type="dxa"/>
                    <w:bottom w:w="0" w:type="dxa"/>
                    <w:right w:w="28" w:type="dxa"/>
                  </w:tcMar>
                  <w:vAlign w:val="center"/>
                </w:tcPr>
                <w:p w14:paraId="776D527F">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pacing w:val="0"/>
                      <w:sz w:val="18"/>
                      <w:szCs w:val="18"/>
                    </w:rPr>
                  </w:pPr>
                  <w:r>
                    <w:rPr>
                      <w:color w:val="auto"/>
                      <w:spacing w:val="0"/>
                      <w:sz w:val="18"/>
                      <w:szCs w:val="18"/>
                    </w:rPr>
                    <w:t>污染治理措施</w:t>
                  </w:r>
                </w:p>
              </w:tc>
              <w:tc>
                <w:tcPr>
                  <w:tcW w:w="4155" w:type="dxa"/>
                  <w:tcBorders>
                    <w:tl2br w:val="nil"/>
                    <w:tr2bl w:val="nil"/>
                  </w:tcBorders>
                  <w:tcMar>
                    <w:top w:w="0" w:type="dxa"/>
                    <w:left w:w="28" w:type="dxa"/>
                    <w:bottom w:w="0" w:type="dxa"/>
                    <w:right w:w="28" w:type="dxa"/>
                  </w:tcMar>
                  <w:vAlign w:val="center"/>
                </w:tcPr>
                <w:p w14:paraId="3A98D6F7">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①废水：在污水管网接入集聚区污水处理厂之前，各单位按</w:t>
                  </w:r>
                  <w:r>
                    <w:rPr>
                      <w:rFonts w:ascii="Times New Roman" w:hAnsi="Times New Roman" w:eastAsia="Times New Roman"/>
                      <w:color w:val="auto"/>
                      <w:spacing w:val="0"/>
                      <w:sz w:val="18"/>
                      <w:szCs w:val="18"/>
                    </w:rPr>
                    <w:t>“</w:t>
                  </w:r>
                  <w:r>
                    <w:rPr>
                      <w:color w:val="auto"/>
                      <w:spacing w:val="0"/>
                      <w:sz w:val="18"/>
                      <w:szCs w:val="18"/>
                    </w:rPr>
                    <w:t>三同时</w:t>
                  </w:r>
                  <w:r>
                    <w:rPr>
                      <w:rFonts w:ascii="Times New Roman" w:hAnsi="Times New Roman" w:eastAsia="Times New Roman"/>
                      <w:color w:val="auto"/>
                      <w:spacing w:val="0"/>
                      <w:sz w:val="18"/>
                      <w:szCs w:val="18"/>
                    </w:rPr>
                    <w:t>”</w:t>
                  </w:r>
                  <w:r>
                    <w:rPr>
                      <w:color w:val="auto"/>
                      <w:spacing w:val="0"/>
                      <w:sz w:val="18"/>
                      <w:szCs w:val="18"/>
                    </w:rPr>
                    <w:t>要求，在车间排放口和厂区总排放口将污水处理达到</w:t>
                  </w:r>
                  <w:r>
                    <w:rPr>
                      <w:rFonts w:ascii="Times New Roman" w:hAnsi="Times New Roman" w:eastAsia="Times New Roman"/>
                      <w:color w:val="auto"/>
                      <w:spacing w:val="0"/>
                      <w:sz w:val="18"/>
                      <w:szCs w:val="18"/>
                    </w:rPr>
                    <w:t>GB8978-1996</w:t>
                  </w:r>
                  <w:r>
                    <w:rPr>
                      <w:color w:val="auto"/>
                      <w:spacing w:val="0"/>
                      <w:sz w:val="18"/>
                      <w:szCs w:val="18"/>
                    </w:rPr>
                    <w:t>表</w:t>
                  </w:r>
                  <w:r>
                    <w:rPr>
                      <w:rFonts w:ascii="Times New Roman" w:hAnsi="Times New Roman" w:eastAsia="Times New Roman"/>
                      <w:color w:val="auto"/>
                      <w:spacing w:val="0"/>
                      <w:sz w:val="18"/>
                      <w:szCs w:val="18"/>
                    </w:rPr>
                    <w:t>1</w:t>
                  </w:r>
                  <w:r>
                    <w:rPr>
                      <w:color w:val="auto"/>
                      <w:spacing w:val="0"/>
                      <w:sz w:val="18"/>
                      <w:szCs w:val="18"/>
                    </w:rPr>
                    <w:t>标准限值和表</w:t>
                  </w:r>
                  <w:r>
                    <w:rPr>
                      <w:rFonts w:ascii="Times New Roman" w:hAnsi="Times New Roman" w:eastAsia="Times New Roman"/>
                      <w:color w:val="auto"/>
                      <w:spacing w:val="0"/>
                      <w:sz w:val="18"/>
                      <w:szCs w:val="18"/>
                    </w:rPr>
                    <w:t>4</w:t>
                  </w:r>
                  <w:r>
                    <w:rPr>
                      <w:color w:val="auto"/>
                      <w:spacing w:val="0"/>
                      <w:sz w:val="18"/>
                      <w:szCs w:val="18"/>
                    </w:rPr>
                    <w:t>一级标准回用、不外排；在污水管网接入集聚区污水处理厂之后，各单位污水按</w:t>
                  </w:r>
                  <w:r>
                    <w:rPr>
                      <w:rFonts w:ascii="Times New Roman" w:hAnsi="Times New Roman" w:eastAsia="Times New Roman"/>
                      <w:color w:val="auto"/>
                      <w:spacing w:val="0"/>
                      <w:sz w:val="18"/>
                      <w:szCs w:val="18"/>
                    </w:rPr>
                    <w:t>“</w:t>
                  </w:r>
                  <w:r>
                    <w:rPr>
                      <w:color w:val="auto"/>
                      <w:spacing w:val="0"/>
                      <w:sz w:val="18"/>
                      <w:szCs w:val="18"/>
                    </w:rPr>
                    <w:t>三同时</w:t>
                  </w:r>
                  <w:r>
                    <w:rPr>
                      <w:rFonts w:ascii="Times New Roman" w:hAnsi="Times New Roman" w:eastAsia="Times New Roman"/>
                      <w:color w:val="auto"/>
                      <w:spacing w:val="0"/>
                      <w:sz w:val="18"/>
                      <w:szCs w:val="18"/>
                    </w:rPr>
                    <w:t>”</w:t>
                  </w:r>
                  <w:r>
                    <w:rPr>
                      <w:color w:val="auto"/>
                      <w:spacing w:val="0"/>
                      <w:sz w:val="18"/>
                      <w:szCs w:val="18"/>
                    </w:rPr>
                    <w:t>要求，在车间或厂内将污水处理达</w:t>
                  </w:r>
                  <w:r>
                    <w:rPr>
                      <w:rFonts w:ascii="Times New Roman" w:hAnsi="Times New Roman" w:eastAsia="Times New Roman"/>
                      <w:color w:val="auto"/>
                      <w:spacing w:val="0"/>
                      <w:sz w:val="18"/>
                      <w:szCs w:val="18"/>
                    </w:rPr>
                    <w:t>GB8978-1996</w:t>
                  </w:r>
                  <w:r>
                    <w:rPr>
                      <w:color w:val="auto"/>
                      <w:spacing w:val="0"/>
                      <w:sz w:val="18"/>
                      <w:szCs w:val="18"/>
                    </w:rPr>
                    <w:t>表</w:t>
                  </w:r>
                  <w:r>
                    <w:rPr>
                      <w:rFonts w:ascii="Times New Roman" w:hAnsi="Times New Roman" w:eastAsia="Times New Roman"/>
                      <w:color w:val="auto"/>
                      <w:spacing w:val="0"/>
                      <w:sz w:val="18"/>
                      <w:szCs w:val="18"/>
                    </w:rPr>
                    <w:t>1</w:t>
                  </w:r>
                  <w:r>
                    <w:rPr>
                      <w:color w:val="auto"/>
                      <w:spacing w:val="0"/>
                      <w:sz w:val="18"/>
                      <w:szCs w:val="18"/>
                    </w:rPr>
                    <w:t>标准限值和表</w:t>
                  </w:r>
                  <w:r>
                    <w:rPr>
                      <w:rFonts w:ascii="Times New Roman" w:hAnsi="Times New Roman" w:eastAsia="Times New Roman"/>
                      <w:color w:val="auto"/>
                      <w:spacing w:val="0"/>
                      <w:sz w:val="18"/>
                      <w:szCs w:val="18"/>
                    </w:rPr>
                    <w:t>4</w:t>
                  </w:r>
                  <w:r>
                    <w:rPr>
                      <w:color w:val="auto"/>
                      <w:spacing w:val="0"/>
                      <w:sz w:val="18"/>
                      <w:szCs w:val="18"/>
                    </w:rPr>
                    <w:t>三级标准并达到污水处理厂进水水质要求。</w:t>
                  </w:r>
                </w:p>
                <w:p w14:paraId="0E941C46">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②废气：尽量采用清洁能源，如电力、天然气等以取代燃煤和燃重油锅炉；工业废气排放达到《大气污染物综合排放标准》（</w:t>
                  </w:r>
                  <w:r>
                    <w:rPr>
                      <w:rFonts w:ascii="Times New Roman" w:eastAsia="Times New Roman"/>
                      <w:color w:val="auto"/>
                      <w:spacing w:val="0"/>
                      <w:sz w:val="18"/>
                      <w:szCs w:val="18"/>
                    </w:rPr>
                    <w:t>GB16297-1996</w:t>
                  </w:r>
                  <w:r>
                    <w:rPr>
                      <w:color w:val="auto"/>
                      <w:spacing w:val="0"/>
                      <w:sz w:val="18"/>
                      <w:szCs w:val="18"/>
                    </w:rPr>
                    <w:t>）表</w:t>
                  </w:r>
                  <w:r>
                    <w:rPr>
                      <w:rFonts w:ascii="Times New Roman" w:eastAsia="Times New Roman"/>
                      <w:color w:val="auto"/>
                      <w:spacing w:val="0"/>
                      <w:sz w:val="18"/>
                      <w:szCs w:val="18"/>
                    </w:rPr>
                    <w:t>2</w:t>
                  </w:r>
                  <w:r>
                    <w:rPr>
                      <w:color w:val="auto"/>
                      <w:spacing w:val="0"/>
                      <w:sz w:val="18"/>
                      <w:szCs w:val="18"/>
                    </w:rPr>
                    <w:t>中二级标准；工业炉窑执行《工业窑炉大气污染物排放标准》（</w:t>
                  </w:r>
                  <w:r>
                    <w:rPr>
                      <w:rFonts w:ascii="Times New Roman" w:eastAsia="Times New Roman"/>
                      <w:color w:val="auto"/>
                      <w:spacing w:val="0"/>
                      <w:sz w:val="18"/>
                      <w:szCs w:val="18"/>
                    </w:rPr>
                    <w:t>GB9078-1996</w:t>
                  </w:r>
                  <w:r>
                    <w:rPr>
                      <w:color w:val="auto"/>
                      <w:spacing w:val="0"/>
                      <w:sz w:val="18"/>
                      <w:szCs w:val="18"/>
                    </w:rPr>
                    <w:t>）表</w:t>
                  </w:r>
                  <w:r>
                    <w:rPr>
                      <w:rFonts w:ascii="Times New Roman" w:eastAsia="Times New Roman"/>
                      <w:color w:val="auto"/>
                      <w:spacing w:val="0"/>
                      <w:sz w:val="18"/>
                      <w:szCs w:val="18"/>
                    </w:rPr>
                    <w:t>2</w:t>
                  </w:r>
                  <w:r>
                    <w:rPr>
                      <w:color w:val="auto"/>
                      <w:spacing w:val="0"/>
                      <w:sz w:val="18"/>
                      <w:szCs w:val="18"/>
                    </w:rPr>
                    <w:t>、表</w:t>
                  </w:r>
                  <w:r>
                    <w:rPr>
                      <w:rFonts w:ascii="Times New Roman" w:eastAsia="Times New Roman"/>
                      <w:color w:val="auto"/>
                      <w:spacing w:val="0"/>
                      <w:sz w:val="18"/>
                      <w:szCs w:val="18"/>
                    </w:rPr>
                    <w:t>4</w:t>
                  </w:r>
                  <w:r>
                    <w:rPr>
                      <w:color w:val="auto"/>
                      <w:spacing w:val="0"/>
                      <w:sz w:val="18"/>
                      <w:szCs w:val="18"/>
                    </w:rPr>
                    <w:t>中二级标准排放限值；各排污单位根据大气污染物的性质采取各类除尘、吸收净化等工程措施和装置对工艺粉尘、各类废气进行有效地收集和处理；对无组织排放的大气污染物，单项环评应设置卫生防护距离。</w:t>
                  </w:r>
                </w:p>
                <w:p w14:paraId="12034270">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③噪声：工业企业厂界噪声达到《工业企业厂界环境噪声排放标准》（</w:t>
                  </w:r>
                  <w:r>
                    <w:rPr>
                      <w:rFonts w:ascii="Times New Roman" w:eastAsia="Times New Roman"/>
                      <w:color w:val="auto"/>
                      <w:spacing w:val="0"/>
                      <w:sz w:val="18"/>
                      <w:szCs w:val="18"/>
                    </w:rPr>
                    <w:t>GB12348-2008</w:t>
                  </w:r>
                  <w:r>
                    <w:rPr>
                      <w:color w:val="auto"/>
                      <w:spacing w:val="0"/>
                      <w:sz w:val="18"/>
                      <w:szCs w:val="18"/>
                    </w:rPr>
                    <w:t>）</w:t>
                  </w:r>
                  <w:r>
                    <w:rPr>
                      <w:rFonts w:ascii="Times New Roman" w:eastAsia="Times New Roman"/>
                      <w:color w:val="auto"/>
                      <w:spacing w:val="0"/>
                      <w:sz w:val="18"/>
                      <w:szCs w:val="18"/>
                    </w:rPr>
                    <w:t>3</w:t>
                  </w:r>
                  <w:r>
                    <w:rPr>
                      <w:color w:val="auto"/>
                      <w:spacing w:val="0"/>
                      <w:sz w:val="18"/>
                      <w:szCs w:val="18"/>
                    </w:rPr>
                    <w:t>类标准。</w:t>
                  </w:r>
                </w:p>
                <w:p w14:paraId="760D6F6D">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④固体废物：一般工业固体废物综合利用率</w:t>
                  </w:r>
                  <w:r>
                    <w:rPr>
                      <w:rFonts w:ascii="Times New Roman" w:hAnsi="Times New Roman" w:eastAsia="Times New Roman"/>
                      <w:color w:val="auto"/>
                      <w:spacing w:val="0"/>
                      <w:sz w:val="18"/>
                      <w:szCs w:val="18"/>
                    </w:rPr>
                    <w:t>≥85%</w:t>
                  </w:r>
                  <w:r>
                    <w:rPr>
                      <w:color w:val="auto"/>
                      <w:spacing w:val="0"/>
                      <w:sz w:val="18"/>
                      <w:szCs w:val="18"/>
                    </w:rPr>
                    <w:t>；危险固废达到《危险废物贮存污染控制标</w:t>
                  </w:r>
                  <w:r>
                    <w:rPr>
                      <w:color w:val="auto"/>
                      <w:spacing w:val="0"/>
                      <w:w w:val="100"/>
                      <w:sz w:val="18"/>
                      <w:szCs w:val="18"/>
                    </w:rPr>
                    <w:t>准》</w:t>
                  </w:r>
                  <w:r>
                    <w:rPr>
                      <w:rFonts w:ascii="Times New Roman" w:hAnsi="Times New Roman" w:eastAsia="Times New Roman"/>
                      <w:color w:val="auto"/>
                      <w:spacing w:val="0"/>
                      <w:w w:val="100"/>
                      <w:sz w:val="18"/>
                      <w:szCs w:val="18"/>
                    </w:rPr>
                    <w:t>GB18597-2001</w:t>
                  </w:r>
                  <w:r>
                    <w:rPr>
                      <w:color w:val="auto"/>
                      <w:spacing w:val="0"/>
                      <w:w w:val="100"/>
                      <w:sz w:val="18"/>
                      <w:szCs w:val="18"/>
                    </w:rPr>
                    <w:t>），危险固废</w:t>
                  </w:r>
                  <w:r>
                    <w:rPr>
                      <w:color w:val="auto"/>
                      <w:spacing w:val="0"/>
                      <w:sz w:val="18"/>
                      <w:szCs w:val="18"/>
                    </w:rPr>
                    <w:t>处理率达到</w:t>
                  </w:r>
                  <w:r>
                    <w:rPr>
                      <w:rFonts w:ascii="Times New Roman" w:eastAsia="Times New Roman"/>
                      <w:color w:val="auto"/>
                      <w:spacing w:val="0"/>
                      <w:sz w:val="18"/>
                      <w:szCs w:val="18"/>
                    </w:rPr>
                    <w:t>100</w:t>
                  </w:r>
                  <w:r>
                    <w:rPr>
                      <w:rFonts w:hint="eastAsia" w:eastAsia="宋体"/>
                      <w:color w:val="auto"/>
                      <w:spacing w:val="0"/>
                      <w:sz w:val="18"/>
                      <w:szCs w:val="18"/>
                      <w:lang w:val="en-US" w:eastAsia="zh-CN"/>
                    </w:rPr>
                    <w:t>%</w:t>
                  </w:r>
                  <w:r>
                    <w:rPr>
                      <w:color w:val="auto"/>
                      <w:spacing w:val="0"/>
                      <w:sz w:val="18"/>
                      <w:szCs w:val="18"/>
                    </w:rPr>
                    <w:t>。</w:t>
                  </w:r>
                </w:p>
              </w:tc>
              <w:tc>
                <w:tcPr>
                  <w:tcW w:w="2904" w:type="dxa"/>
                  <w:tcBorders>
                    <w:tl2br w:val="nil"/>
                    <w:tr2bl w:val="nil"/>
                  </w:tcBorders>
                  <w:tcMar>
                    <w:top w:w="0" w:type="dxa"/>
                    <w:left w:w="28" w:type="dxa"/>
                    <w:bottom w:w="0" w:type="dxa"/>
                    <w:right w:w="28" w:type="dxa"/>
                  </w:tcMar>
                  <w:vAlign w:val="center"/>
                </w:tcPr>
                <w:p w14:paraId="3DC2AAFF">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①根据现场调查，目前园区污水处理厂</w:t>
                  </w:r>
                  <w:r>
                    <w:rPr>
                      <w:rFonts w:hint="eastAsia"/>
                      <w:color w:val="auto"/>
                      <w:spacing w:val="0"/>
                      <w:sz w:val="18"/>
                      <w:szCs w:val="18"/>
                      <w:lang w:val="en-US" w:eastAsia="zh-CN"/>
                    </w:rPr>
                    <w:t>已建成并投入使用</w:t>
                  </w:r>
                  <w:r>
                    <w:rPr>
                      <w:color w:val="auto"/>
                      <w:spacing w:val="0"/>
                      <w:sz w:val="18"/>
                      <w:szCs w:val="18"/>
                    </w:rPr>
                    <w:t>，污水管网已接入园区污水处理厂。</w:t>
                  </w:r>
                  <w:r>
                    <w:rPr>
                      <w:color w:val="auto"/>
                      <w:spacing w:val="0"/>
                      <w:sz w:val="18"/>
                      <w:szCs w:val="18"/>
                      <w:highlight w:val="none"/>
                    </w:rPr>
                    <w:t>本项目喷淋塔喷淋水</w:t>
                  </w:r>
                  <w:r>
                    <w:rPr>
                      <w:rFonts w:hint="eastAsia"/>
                      <w:color w:val="auto"/>
                      <w:spacing w:val="0"/>
                      <w:sz w:val="18"/>
                      <w:szCs w:val="18"/>
                      <w:highlight w:val="none"/>
                      <w:lang w:eastAsia="zh-CN"/>
                    </w:rPr>
                    <w:t>、</w:t>
                  </w:r>
                  <w:r>
                    <w:rPr>
                      <w:rFonts w:hint="eastAsia"/>
                      <w:color w:val="auto"/>
                      <w:spacing w:val="0"/>
                      <w:sz w:val="18"/>
                      <w:szCs w:val="18"/>
                      <w:highlight w:val="none"/>
                      <w:lang w:val="en-US" w:eastAsia="zh-CN"/>
                    </w:rPr>
                    <w:t>冷却水循环使用，定期更换，更换废水作为粘土砂混料用水全部回用，不外排</w:t>
                  </w:r>
                  <w:r>
                    <w:rPr>
                      <w:color w:val="auto"/>
                      <w:spacing w:val="0"/>
                      <w:sz w:val="18"/>
                      <w:szCs w:val="18"/>
                      <w:highlight w:val="none"/>
                    </w:rPr>
                    <w:t>；</w:t>
                  </w:r>
                  <w:r>
                    <w:rPr>
                      <w:color w:val="auto"/>
                      <w:spacing w:val="0"/>
                      <w:sz w:val="18"/>
                      <w:szCs w:val="18"/>
                    </w:rPr>
                    <w:t>生活污水经化粪池预处理后纳入园区污水处理厂统一处理，可满足</w:t>
                  </w:r>
                  <w:r>
                    <w:rPr>
                      <w:rFonts w:ascii="Times New Roman" w:eastAsia="Times New Roman"/>
                      <w:color w:val="auto"/>
                      <w:spacing w:val="0"/>
                      <w:sz w:val="18"/>
                      <w:szCs w:val="18"/>
                    </w:rPr>
                    <w:t>GB8978-1996</w:t>
                  </w:r>
                  <w:r>
                    <w:rPr>
                      <w:color w:val="auto"/>
                      <w:spacing w:val="0"/>
                      <w:sz w:val="18"/>
                      <w:szCs w:val="18"/>
                    </w:rPr>
                    <w:t>表</w:t>
                  </w:r>
                  <w:r>
                    <w:rPr>
                      <w:rFonts w:ascii="Times New Roman" w:eastAsia="Times New Roman"/>
                      <w:color w:val="auto"/>
                      <w:spacing w:val="0"/>
                      <w:sz w:val="18"/>
                      <w:szCs w:val="18"/>
                    </w:rPr>
                    <w:t>4</w:t>
                  </w:r>
                  <w:r>
                    <w:rPr>
                      <w:color w:val="auto"/>
                      <w:spacing w:val="0"/>
                      <w:sz w:val="18"/>
                      <w:szCs w:val="18"/>
                    </w:rPr>
                    <w:t>三级标准</w:t>
                  </w:r>
                  <w:r>
                    <w:rPr>
                      <w:rFonts w:hint="eastAsia"/>
                      <w:color w:val="auto"/>
                      <w:spacing w:val="0"/>
                      <w:sz w:val="18"/>
                      <w:szCs w:val="18"/>
                      <w:lang w:val="en-US" w:eastAsia="zh-CN"/>
                    </w:rPr>
                    <w:t>和《污水排入城镇下水道水质标准》(GB/T31962-2015)表1中B级标准</w:t>
                  </w:r>
                  <w:r>
                    <w:rPr>
                      <w:color w:val="auto"/>
                      <w:spacing w:val="0"/>
                      <w:sz w:val="18"/>
                      <w:szCs w:val="18"/>
                    </w:rPr>
                    <w:t>。</w:t>
                  </w:r>
                </w:p>
                <w:p w14:paraId="7FA7961A">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②本项目采用电、天然气等清洁能源；针对不同的工序，本项目废气经收集后采用袋式除尘器、活性炭吸附装置等相应的净化设施，废气排放</w:t>
                  </w:r>
                  <w:r>
                    <w:rPr>
                      <w:rFonts w:hint="eastAsia"/>
                      <w:color w:val="auto"/>
                      <w:spacing w:val="0"/>
                      <w:sz w:val="18"/>
                      <w:szCs w:val="18"/>
                      <w:lang w:val="en-US" w:eastAsia="zh-CN"/>
                    </w:rPr>
                    <w:t>符合本评价报告表3-7~表3-12相关标准</w:t>
                  </w:r>
                  <w:r>
                    <w:rPr>
                      <w:color w:val="auto"/>
                      <w:spacing w:val="0"/>
                      <w:sz w:val="18"/>
                      <w:szCs w:val="18"/>
                    </w:rPr>
                    <w:t>。</w:t>
                  </w:r>
                </w:p>
                <w:p w14:paraId="11147992">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color w:val="auto"/>
                      <w:spacing w:val="0"/>
                      <w:sz w:val="18"/>
                      <w:szCs w:val="18"/>
                    </w:rPr>
                  </w:pPr>
                  <w:r>
                    <w:rPr>
                      <w:color w:val="auto"/>
                      <w:spacing w:val="0"/>
                      <w:sz w:val="18"/>
                      <w:szCs w:val="18"/>
                    </w:rPr>
                    <w:t>③项目设备基础减振、墙体隔声等措施后，项目厂界噪声可达到《工业企业厂界环境噪声排放标准》</w:t>
                  </w:r>
                  <w:r>
                    <w:rPr>
                      <w:rFonts w:hint="eastAsia"/>
                      <w:color w:val="auto"/>
                      <w:spacing w:val="0"/>
                      <w:sz w:val="18"/>
                      <w:szCs w:val="18"/>
                      <w:lang w:eastAsia="zh-CN"/>
                    </w:rPr>
                    <w:t>。</w:t>
                  </w:r>
                  <w:r>
                    <w:rPr>
                      <w:rFonts w:ascii="Times New Roman" w:eastAsia="Times New Roman"/>
                      <w:color w:val="auto"/>
                      <w:spacing w:val="0"/>
                      <w:sz w:val="18"/>
                      <w:szCs w:val="18"/>
                    </w:rPr>
                    <w:t>(GB12348-2008</w:t>
                  </w:r>
                  <w:r>
                    <w:rPr>
                      <w:color w:val="auto"/>
                      <w:spacing w:val="0"/>
                      <w:sz w:val="18"/>
                      <w:szCs w:val="18"/>
                    </w:rPr>
                    <w:t>）中</w:t>
                  </w:r>
                  <w:r>
                    <w:rPr>
                      <w:rFonts w:ascii="Times New Roman" w:eastAsia="Times New Roman"/>
                      <w:color w:val="auto"/>
                      <w:spacing w:val="0"/>
                      <w:sz w:val="18"/>
                      <w:szCs w:val="18"/>
                    </w:rPr>
                    <w:t>3</w:t>
                  </w:r>
                  <w:r>
                    <w:rPr>
                      <w:color w:val="auto"/>
                      <w:spacing w:val="0"/>
                      <w:sz w:val="18"/>
                      <w:szCs w:val="18"/>
                    </w:rPr>
                    <w:t>类标准要求。</w:t>
                  </w:r>
                </w:p>
                <w:p w14:paraId="57E759C0">
                  <w:pPr>
                    <w:pStyle w:val="57"/>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hint="eastAsia" w:eastAsia="宋体"/>
                      <w:color w:val="auto"/>
                      <w:spacing w:val="0"/>
                      <w:sz w:val="18"/>
                      <w:szCs w:val="18"/>
                      <w:lang w:eastAsia="zh-CN"/>
                    </w:rPr>
                  </w:pPr>
                  <w:r>
                    <w:rPr>
                      <w:color w:val="auto"/>
                      <w:spacing w:val="0"/>
                      <w:sz w:val="18"/>
                      <w:szCs w:val="18"/>
                    </w:rPr>
                    <w:t>④项目配套建设一般固废暂存间和危险废物暂存间，各类固废均分类收集、妥善处置，避免二次污染。一般固废</w:t>
                  </w:r>
                  <w:r>
                    <w:rPr>
                      <w:rFonts w:hint="eastAsia"/>
                      <w:color w:val="auto"/>
                      <w:spacing w:val="0"/>
                      <w:sz w:val="18"/>
                      <w:szCs w:val="18"/>
                      <w:lang w:val="en-US" w:eastAsia="zh-CN"/>
                    </w:rPr>
                    <w:t>符合</w:t>
                  </w:r>
                  <w:r>
                    <w:rPr>
                      <w:rFonts w:hint="eastAsia"/>
                      <w:color w:val="auto"/>
                      <w:spacing w:val="0"/>
                      <w:sz w:val="18"/>
                      <w:szCs w:val="18"/>
                    </w:rPr>
                    <w:t>《一般工业固体废物贮存和填埋污染控制标准》(GB18599-2020)中标准要求</w:t>
                  </w:r>
                  <w:r>
                    <w:rPr>
                      <w:rFonts w:hint="eastAsia"/>
                      <w:color w:val="auto"/>
                      <w:spacing w:val="0"/>
                      <w:sz w:val="18"/>
                      <w:szCs w:val="18"/>
                      <w:lang w:eastAsia="zh-CN"/>
                    </w:rPr>
                    <w:t>，</w:t>
                  </w:r>
                  <w:r>
                    <w:rPr>
                      <w:rFonts w:hint="eastAsia"/>
                      <w:color w:val="auto"/>
                      <w:spacing w:val="0"/>
                      <w:sz w:val="18"/>
                      <w:szCs w:val="18"/>
                    </w:rPr>
                    <w:t>危险废物</w:t>
                  </w:r>
                  <w:r>
                    <w:rPr>
                      <w:rFonts w:hint="eastAsia"/>
                      <w:color w:val="auto"/>
                      <w:spacing w:val="0"/>
                      <w:sz w:val="18"/>
                      <w:szCs w:val="18"/>
                      <w:lang w:val="en-US" w:eastAsia="zh-CN"/>
                    </w:rPr>
                    <w:t>符合</w:t>
                  </w:r>
                  <w:r>
                    <w:rPr>
                      <w:rFonts w:hint="eastAsia"/>
                      <w:color w:val="auto"/>
                      <w:spacing w:val="0"/>
                      <w:sz w:val="18"/>
                      <w:szCs w:val="18"/>
                    </w:rPr>
                    <w:t>《危险废物贮存污染控制标准》（GB18597-2023）</w:t>
                  </w:r>
                  <w:r>
                    <w:rPr>
                      <w:rFonts w:hint="eastAsia"/>
                      <w:color w:val="auto"/>
                      <w:spacing w:val="0"/>
                      <w:sz w:val="18"/>
                      <w:szCs w:val="18"/>
                      <w:lang w:eastAsia="zh-CN"/>
                    </w:rPr>
                    <w:t>。</w:t>
                  </w:r>
                </w:p>
              </w:tc>
              <w:tc>
                <w:tcPr>
                  <w:tcW w:w="726" w:type="dxa"/>
                  <w:tcBorders>
                    <w:tl2br w:val="nil"/>
                    <w:tr2bl w:val="nil"/>
                  </w:tcBorders>
                  <w:tcMar>
                    <w:top w:w="0" w:type="dxa"/>
                    <w:left w:w="28" w:type="dxa"/>
                    <w:bottom w:w="0" w:type="dxa"/>
                    <w:right w:w="28" w:type="dxa"/>
                  </w:tcMar>
                  <w:vAlign w:val="center"/>
                </w:tcPr>
                <w:p w14:paraId="07E3D0EF">
                  <w:pPr>
                    <w:pStyle w:val="5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color w:val="auto"/>
                      <w:spacing w:val="0"/>
                      <w:sz w:val="18"/>
                      <w:szCs w:val="18"/>
                      <w:lang w:val="en-US" w:eastAsia="zh-CN"/>
                    </w:rPr>
                  </w:pPr>
                  <w:r>
                    <w:rPr>
                      <w:rFonts w:hint="eastAsia"/>
                      <w:color w:val="auto"/>
                      <w:spacing w:val="0"/>
                      <w:sz w:val="18"/>
                      <w:szCs w:val="18"/>
                      <w:lang w:val="en-US" w:eastAsia="zh-CN"/>
                    </w:rPr>
                    <w:t>符合</w:t>
                  </w:r>
                </w:p>
              </w:tc>
            </w:tr>
          </w:tbl>
          <w:p w14:paraId="5B15212E">
            <w:pPr>
              <w:pStyle w:val="18"/>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0" w:firstLineChars="0"/>
              <w:textAlignment w:val="auto"/>
              <w:rPr>
                <w:rFonts w:hint="eastAsia"/>
                <w:b/>
                <w:bCs/>
                <w:color w:val="auto"/>
                <w:kern w:val="0"/>
                <w:sz w:val="24"/>
                <w:lang w:val="en-US" w:eastAsia="zh-CN"/>
              </w:rPr>
            </w:pPr>
          </w:p>
          <w:p w14:paraId="2FD7771B">
            <w:pPr>
              <w:pStyle w:val="18"/>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0" w:firstLineChars="0"/>
              <w:textAlignment w:val="auto"/>
              <w:rPr>
                <w:rFonts w:hint="eastAsia"/>
                <w:b/>
                <w:bCs/>
                <w:color w:val="auto"/>
                <w:kern w:val="0"/>
                <w:sz w:val="24"/>
                <w:lang w:val="en-US" w:eastAsia="zh-CN"/>
              </w:rPr>
            </w:pPr>
          </w:p>
          <w:p w14:paraId="6CC96BF9">
            <w:pPr>
              <w:pStyle w:val="18"/>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0" w:firstLineChars="0"/>
              <w:textAlignment w:val="auto"/>
              <w:rPr>
                <w:rFonts w:hint="default"/>
                <w:b/>
                <w:bCs/>
                <w:color w:val="auto"/>
                <w:kern w:val="0"/>
                <w:sz w:val="24"/>
                <w:lang w:val="en-US" w:eastAsia="zh-CN"/>
              </w:rPr>
            </w:pPr>
            <w:r>
              <w:rPr>
                <w:rFonts w:hint="eastAsia"/>
                <w:b/>
                <w:bCs/>
                <w:color w:val="auto"/>
                <w:kern w:val="0"/>
                <w:sz w:val="24"/>
                <w:lang w:val="en-US" w:eastAsia="zh-CN"/>
              </w:rPr>
              <w:t>5、</w:t>
            </w:r>
            <w:r>
              <w:rPr>
                <w:rFonts w:hint="default"/>
                <w:b/>
                <w:bCs/>
                <w:color w:val="auto"/>
                <w:kern w:val="0"/>
                <w:sz w:val="24"/>
                <w:lang w:val="en-US" w:eastAsia="zh-CN"/>
              </w:rPr>
              <w:t>园区基础设施的可依托性分析</w:t>
            </w:r>
          </w:p>
          <w:p w14:paraId="10B995F6">
            <w:pPr>
              <w:pStyle w:val="166"/>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b/>
                <w:bCs/>
                <w:color w:val="auto"/>
                <w:sz w:val="24"/>
                <w:szCs w:val="24"/>
              </w:rPr>
            </w:pPr>
            <w:r>
              <w:rPr>
                <w:b/>
                <w:bCs/>
                <w:color w:val="auto"/>
                <w:sz w:val="24"/>
                <w:szCs w:val="24"/>
              </w:rPr>
              <w:t>（</w:t>
            </w:r>
            <w:r>
              <w:rPr>
                <w:rFonts w:hint="eastAsia"/>
                <w:b/>
                <w:bCs/>
                <w:color w:val="auto"/>
                <w:sz w:val="24"/>
                <w:szCs w:val="24"/>
                <w:lang w:val="en-US" w:eastAsia="zh-CN"/>
              </w:rPr>
              <w:t>1</w:t>
            </w:r>
            <w:r>
              <w:rPr>
                <w:b/>
                <w:bCs/>
                <w:color w:val="auto"/>
                <w:sz w:val="24"/>
                <w:szCs w:val="24"/>
              </w:rPr>
              <w:t>）园区污水管网的可依托性</w:t>
            </w:r>
          </w:p>
          <w:p w14:paraId="0C59DDEF">
            <w:pPr>
              <w:pStyle w:val="166"/>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color w:val="auto"/>
                <w:sz w:val="24"/>
                <w:szCs w:val="24"/>
              </w:rPr>
            </w:pPr>
            <w:r>
              <w:rPr>
                <w:rFonts w:hint="eastAsia"/>
                <w:color w:val="auto"/>
                <w:sz w:val="24"/>
                <w:szCs w:val="24"/>
                <w:highlight w:val="none"/>
                <w:lang w:val="en-US" w:eastAsia="zh-CN"/>
              </w:rPr>
              <w:t>根据现场调查，目前园区中心大道、内环大道、三阳路已铺设市政污水管网，污水管径DN500-800mm，已接入上京工业园污水处理厂。本项目生活污水排入西侧中心大道市政污水管网，最终</w:t>
            </w:r>
            <w:r>
              <w:rPr>
                <w:rFonts w:hint="eastAsia"/>
                <w:color w:val="auto"/>
                <w:sz w:val="24"/>
                <w:szCs w:val="24"/>
                <w:lang w:val="en-US" w:eastAsia="zh-CN"/>
              </w:rPr>
              <w:t>汇入上京工业园污水处理厂处理，上京工业园污水处理厂已于2024年9月投入使用，项目污水排放走向见附图13</w:t>
            </w:r>
            <w:r>
              <w:rPr>
                <w:color w:val="auto"/>
                <w:sz w:val="24"/>
                <w:szCs w:val="24"/>
              </w:rPr>
              <w:t>。</w:t>
            </w:r>
          </w:p>
          <w:p w14:paraId="318E89C2">
            <w:pPr>
              <w:autoSpaceDE w:val="0"/>
              <w:autoSpaceDN w:val="0"/>
              <w:adjustRightInd w:val="0"/>
              <w:spacing w:line="360" w:lineRule="auto"/>
              <w:ind w:firstLine="482" w:firstLineChars="200"/>
              <w:jc w:val="left"/>
              <w:rPr>
                <w:rFonts w:hint="default"/>
                <w:b/>
                <w:bCs/>
                <w:color w:val="auto"/>
                <w:kern w:val="0"/>
                <w:sz w:val="24"/>
                <w:szCs w:val="24"/>
                <w:lang w:val="en-US" w:eastAsia="zh-CN"/>
              </w:rPr>
            </w:pPr>
            <w:r>
              <w:rPr>
                <w:rFonts w:hint="default"/>
                <w:b/>
                <w:bCs/>
                <w:color w:val="auto"/>
                <w:kern w:val="0"/>
                <w:sz w:val="24"/>
                <w:szCs w:val="24"/>
                <w:lang w:val="en-US" w:eastAsia="zh-CN"/>
              </w:rPr>
              <w:t>（</w:t>
            </w:r>
            <w:r>
              <w:rPr>
                <w:rFonts w:hint="eastAsia"/>
                <w:b/>
                <w:bCs/>
                <w:color w:val="auto"/>
                <w:kern w:val="0"/>
                <w:sz w:val="24"/>
                <w:szCs w:val="24"/>
                <w:lang w:val="en-US" w:eastAsia="zh-CN"/>
              </w:rPr>
              <w:t>2</w:t>
            </w:r>
            <w:r>
              <w:rPr>
                <w:rFonts w:hint="default"/>
                <w:b/>
                <w:bCs/>
                <w:color w:val="auto"/>
                <w:kern w:val="0"/>
                <w:sz w:val="24"/>
                <w:szCs w:val="24"/>
                <w:lang w:val="en-US" w:eastAsia="zh-CN"/>
              </w:rPr>
              <w:t>）园区天然气供应的可依托性</w:t>
            </w:r>
          </w:p>
          <w:p w14:paraId="2DDC5268">
            <w:pPr>
              <w:autoSpaceDE w:val="0"/>
              <w:autoSpaceDN w:val="0"/>
              <w:adjustRightInd w:val="0"/>
              <w:spacing w:line="360" w:lineRule="auto"/>
              <w:ind w:firstLine="480" w:firstLineChars="200"/>
              <w:jc w:val="left"/>
              <w:rPr>
                <w:rFonts w:hint="default"/>
                <w:color w:val="auto"/>
                <w:kern w:val="0"/>
                <w:sz w:val="24"/>
                <w:szCs w:val="24"/>
                <w:lang w:val="en-US" w:eastAsia="zh-CN"/>
              </w:rPr>
            </w:pPr>
            <w:r>
              <w:rPr>
                <w:rFonts w:hint="default"/>
                <w:color w:val="auto"/>
                <w:kern w:val="0"/>
                <w:sz w:val="24"/>
                <w:szCs w:val="24"/>
                <w:lang w:val="en-US" w:eastAsia="zh-CN"/>
              </w:rPr>
              <w:t>本项目</w:t>
            </w:r>
            <w:r>
              <w:rPr>
                <w:rFonts w:hint="eastAsia"/>
                <w:color w:val="auto"/>
                <w:kern w:val="0"/>
                <w:sz w:val="24"/>
                <w:szCs w:val="24"/>
                <w:lang w:val="en-US" w:eastAsia="zh-CN"/>
              </w:rPr>
              <w:t>所在区域</w:t>
            </w:r>
            <w:r>
              <w:rPr>
                <w:rFonts w:hint="default"/>
                <w:color w:val="auto"/>
                <w:kern w:val="0"/>
                <w:sz w:val="24"/>
                <w:szCs w:val="24"/>
                <w:lang w:val="en-US" w:eastAsia="zh-CN"/>
              </w:rPr>
              <w:t>已铺设了燃气管道，</w:t>
            </w:r>
            <w:r>
              <w:rPr>
                <w:rFonts w:hint="eastAsia"/>
                <w:color w:val="auto"/>
                <w:kern w:val="0"/>
                <w:sz w:val="24"/>
                <w:szCs w:val="24"/>
                <w:lang w:val="en-US" w:eastAsia="zh-CN"/>
              </w:rPr>
              <w:t>项目所需天然气可从中心大道</w:t>
            </w:r>
            <w:r>
              <w:rPr>
                <w:rFonts w:hint="default"/>
                <w:color w:val="auto"/>
                <w:kern w:val="0"/>
                <w:sz w:val="24"/>
                <w:szCs w:val="24"/>
                <w:lang w:val="en-US" w:eastAsia="zh-CN"/>
              </w:rPr>
              <w:t>市政天然气管道引入厂区，供气有保障。</w:t>
            </w:r>
          </w:p>
          <w:p w14:paraId="7F60083F">
            <w:pPr>
              <w:autoSpaceDE w:val="0"/>
              <w:autoSpaceDN w:val="0"/>
              <w:adjustRightInd w:val="0"/>
              <w:spacing w:line="360" w:lineRule="auto"/>
              <w:ind w:firstLine="482" w:firstLineChars="200"/>
              <w:jc w:val="left"/>
              <w:rPr>
                <w:rFonts w:hint="default"/>
                <w:color w:val="auto"/>
                <w:kern w:val="0"/>
                <w:sz w:val="24"/>
                <w:szCs w:val="24"/>
                <w:lang w:val="en-US" w:eastAsia="zh-CN"/>
              </w:rPr>
            </w:pPr>
            <w:r>
              <w:rPr>
                <w:rFonts w:hint="default"/>
                <w:b/>
                <w:bCs/>
                <w:color w:val="auto"/>
                <w:kern w:val="0"/>
                <w:sz w:val="24"/>
                <w:szCs w:val="24"/>
                <w:lang w:val="en-US" w:eastAsia="zh-CN"/>
              </w:rPr>
              <w:t>（</w:t>
            </w:r>
            <w:r>
              <w:rPr>
                <w:rFonts w:hint="eastAsia"/>
                <w:b/>
                <w:bCs/>
                <w:color w:val="auto"/>
                <w:kern w:val="0"/>
                <w:sz w:val="24"/>
                <w:szCs w:val="24"/>
                <w:lang w:val="en-US" w:eastAsia="zh-CN"/>
              </w:rPr>
              <w:t>3</w:t>
            </w:r>
            <w:r>
              <w:rPr>
                <w:rFonts w:hint="default"/>
                <w:b/>
                <w:bCs/>
                <w:color w:val="auto"/>
                <w:kern w:val="0"/>
                <w:sz w:val="24"/>
                <w:szCs w:val="24"/>
                <w:lang w:val="en-US" w:eastAsia="zh-CN"/>
              </w:rPr>
              <w:t>）园区</w:t>
            </w:r>
            <w:r>
              <w:rPr>
                <w:rFonts w:hint="eastAsia"/>
                <w:b/>
                <w:bCs/>
                <w:color w:val="auto"/>
                <w:kern w:val="0"/>
                <w:sz w:val="24"/>
                <w:szCs w:val="24"/>
                <w:lang w:val="en-US" w:eastAsia="zh-CN"/>
              </w:rPr>
              <w:t>给水工程</w:t>
            </w:r>
          </w:p>
          <w:p w14:paraId="3B5247F4">
            <w:pPr>
              <w:autoSpaceDE w:val="0"/>
              <w:autoSpaceDN w:val="0"/>
              <w:adjustRightInd w:val="0"/>
              <w:spacing w:line="360" w:lineRule="auto"/>
              <w:ind w:firstLine="480" w:firstLineChars="200"/>
              <w:jc w:val="left"/>
              <w:rPr>
                <w:rFonts w:hint="default"/>
                <w:color w:val="auto"/>
                <w:kern w:val="0"/>
                <w:sz w:val="24"/>
                <w:lang w:val="en-US" w:eastAsia="zh-CN"/>
              </w:rPr>
            </w:pPr>
            <w:r>
              <w:rPr>
                <w:rFonts w:hint="eastAsia"/>
                <w:color w:val="auto"/>
                <w:kern w:val="0"/>
                <w:sz w:val="24"/>
                <w:szCs w:val="24"/>
                <w:lang w:val="en-US" w:eastAsia="zh-CN"/>
              </w:rPr>
              <w:t>园区</w:t>
            </w:r>
            <w:r>
              <w:rPr>
                <w:rFonts w:hint="default"/>
                <w:color w:val="auto"/>
                <w:kern w:val="0"/>
                <w:sz w:val="24"/>
                <w:szCs w:val="24"/>
                <w:lang w:val="en-US" w:eastAsia="zh-CN"/>
              </w:rPr>
              <w:t>给水干管主要沿356国道、内环大道、中心大道和安中路布置，管径为DN400～DN500，给水支管DN200～DN300，给水支管与给水主管相衔接，构成区域内的供水支网。</w:t>
            </w:r>
            <w:r>
              <w:rPr>
                <w:rFonts w:hint="eastAsia"/>
                <w:color w:val="auto"/>
                <w:kern w:val="0"/>
                <w:sz w:val="24"/>
                <w:szCs w:val="24"/>
                <w:lang w:val="en-US" w:eastAsia="zh-CN"/>
              </w:rPr>
              <w:t>项目西侧中心大道已铺设市政给水管道，项目用水有保障</w:t>
            </w:r>
            <w:r>
              <w:rPr>
                <w:rFonts w:hint="default"/>
                <w:color w:val="auto"/>
                <w:kern w:val="0"/>
                <w:sz w:val="24"/>
                <w:szCs w:val="24"/>
                <w:lang w:val="en-US" w:eastAsia="zh-CN"/>
              </w:rPr>
              <w:t>。</w:t>
            </w:r>
          </w:p>
        </w:tc>
      </w:tr>
      <w:tr w14:paraId="00335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2" w:type="pct"/>
            <w:vAlign w:val="center"/>
          </w:tcPr>
          <w:p w14:paraId="5BC8B210">
            <w:pPr>
              <w:autoSpaceDE w:val="0"/>
              <w:autoSpaceDN w:val="0"/>
              <w:adjustRightInd w:val="0"/>
              <w:snapToGrid w:val="0"/>
              <w:jc w:val="center"/>
              <w:rPr>
                <w:color w:val="auto"/>
                <w:kern w:val="0"/>
                <w:sz w:val="24"/>
                <w:szCs w:val="24"/>
              </w:rPr>
            </w:pPr>
            <w:r>
              <w:rPr>
                <w:color w:val="auto"/>
                <w:kern w:val="0"/>
                <w:sz w:val="24"/>
                <w:szCs w:val="24"/>
              </w:rPr>
              <w:t>其他符合性分析</w:t>
            </w:r>
          </w:p>
        </w:tc>
        <w:tc>
          <w:tcPr>
            <w:tcW w:w="4577" w:type="pct"/>
            <w:gridSpan w:val="4"/>
            <w:vAlign w:val="center"/>
          </w:tcPr>
          <w:p w14:paraId="3D63F1E5">
            <w:pPr>
              <w:snapToGrid w:val="0"/>
              <w:spacing w:before="120" w:beforeLines="50" w:line="360" w:lineRule="auto"/>
              <w:rPr>
                <w:b/>
                <w:color w:val="auto"/>
                <w:sz w:val="24"/>
                <w:szCs w:val="24"/>
              </w:rPr>
            </w:pPr>
            <w:r>
              <w:rPr>
                <w:b/>
                <w:color w:val="auto"/>
                <w:sz w:val="24"/>
                <w:szCs w:val="24"/>
              </w:rPr>
              <w:t>1、产业政策分析</w:t>
            </w:r>
          </w:p>
          <w:p w14:paraId="56D38D83">
            <w:pPr>
              <w:autoSpaceDE w:val="0"/>
              <w:autoSpaceDN w:val="0"/>
              <w:adjustRightInd w:val="0"/>
              <w:spacing w:line="360" w:lineRule="auto"/>
              <w:ind w:firstLine="480" w:firstLineChars="200"/>
              <w:jc w:val="left"/>
              <w:rPr>
                <w:rFonts w:hint="eastAsia"/>
                <w:color w:val="auto"/>
                <w:sz w:val="24"/>
                <w:szCs w:val="24"/>
                <w:highlight w:val="none"/>
              </w:rPr>
            </w:pPr>
            <w:r>
              <w:rPr>
                <w:rFonts w:hint="eastAsia"/>
                <w:color w:val="auto"/>
                <w:sz w:val="24"/>
                <w:szCs w:val="24"/>
                <w:highlight w:val="none"/>
              </w:rPr>
              <w:t>经检索《产业结构调整指导目录》（20</w:t>
            </w:r>
            <w:r>
              <w:rPr>
                <w:rFonts w:hint="eastAsia"/>
                <w:color w:val="auto"/>
                <w:sz w:val="24"/>
                <w:szCs w:val="24"/>
                <w:highlight w:val="none"/>
                <w:lang w:val="en-US" w:eastAsia="zh-CN"/>
              </w:rPr>
              <w:t>24</w:t>
            </w:r>
            <w:r>
              <w:rPr>
                <w:rFonts w:hint="eastAsia"/>
                <w:color w:val="auto"/>
                <w:sz w:val="24"/>
                <w:szCs w:val="24"/>
                <w:highlight w:val="none"/>
              </w:rPr>
              <w:t>年本），本项目硅溶胶熔模铸造和压铸工艺属于鼓励类；项目主要采用钢壳中频电炉等铸造工艺设备，不属于落后工艺设备，生产的产品不属于落后产品。且本项目已通过大田县发展和改革局的备案，备案编号：闽发改备</w:t>
            </w:r>
            <w:r>
              <w:rPr>
                <w:rFonts w:hint="eastAsia"/>
                <w:color w:val="auto"/>
                <w:sz w:val="24"/>
                <w:szCs w:val="24"/>
                <w:highlight w:val="none"/>
                <w:lang w:eastAsia="zh-CN"/>
              </w:rPr>
              <w:t>〔2022〕</w:t>
            </w:r>
            <w:r>
              <w:rPr>
                <w:rFonts w:hint="eastAsia"/>
                <w:color w:val="auto"/>
                <w:sz w:val="24"/>
                <w:szCs w:val="24"/>
                <w:highlight w:val="none"/>
              </w:rPr>
              <w:t>G120011号，因此本项目符合当前相关产业政策的要求。</w:t>
            </w:r>
          </w:p>
          <w:p w14:paraId="4CDE91C0">
            <w:pPr>
              <w:autoSpaceDE w:val="0"/>
              <w:autoSpaceDN w:val="0"/>
              <w:adjustRightInd w:val="0"/>
              <w:spacing w:line="360" w:lineRule="auto"/>
              <w:jc w:val="center"/>
              <w:rPr>
                <w:rFonts w:hint="eastAsia"/>
                <w:b/>
                <w:bCs/>
                <w:color w:val="auto"/>
                <w:sz w:val="24"/>
                <w:szCs w:val="24"/>
                <w:highlight w:val="none"/>
              </w:rPr>
            </w:pPr>
            <w:r>
              <w:rPr>
                <w:rFonts w:hint="eastAsia"/>
                <w:b/>
                <w:bCs/>
                <w:color w:val="auto"/>
                <w:sz w:val="24"/>
                <w:szCs w:val="24"/>
                <w:highlight w:val="none"/>
              </w:rPr>
              <w:t>表1-</w:t>
            </w:r>
            <w:r>
              <w:rPr>
                <w:rFonts w:hint="eastAsia"/>
                <w:b/>
                <w:bCs/>
                <w:color w:val="auto"/>
                <w:sz w:val="24"/>
                <w:szCs w:val="24"/>
                <w:highlight w:val="none"/>
                <w:lang w:val="en-US" w:eastAsia="zh-CN"/>
              </w:rPr>
              <w:t>4</w:t>
            </w:r>
            <w:r>
              <w:rPr>
                <w:rFonts w:hint="eastAsia"/>
                <w:b/>
                <w:bCs/>
                <w:color w:val="auto"/>
                <w:sz w:val="24"/>
                <w:szCs w:val="24"/>
                <w:highlight w:val="none"/>
              </w:rPr>
              <w:t xml:space="preserve"> 项目与《产业结构调整指导目录》（20</w:t>
            </w:r>
            <w:r>
              <w:rPr>
                <w:rFonts w:hint="eastAsia"/>
                <w:b/>
                <w:bCs/>
                <w:color w:val="auto"/>
                <w:sz w:val="24"/>
                <w:szCs w:val="24"/>
                <w:highlight w:val="none"/>
                <w:lang w:val="en-US" w:eastAsia="zh-CN"/>
              </w:rPr>
              <w:t>24</w:t>
            </w:r>
            <w:r>
              <w:rPr>
                <w:rFonts w:hint="eastAsia"/>
                <w:b/>
                <w:bCs/>
                <w:color w:val="auto"/>
                <w:sz w:val="24"/>
                <w:szCs w:val="24"/>
                <w:highlight w:val="none"/>
              </w:rPr>
              <w:t>年本）的符合性分析</w:t>
            </w:r>
          </w:p>
          <w:tbl>
            <w:tblPr>
              <w:tblStyle w:val="29"/>
              <w:tblW w:w="4989"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2"/>
              <w:gridCol w:w="4155"/>
              <w:gridCol w:w="2524"/>
              <w:gridCol w:w="936"/>
            </w:tblGrid>
            <w:tr w14:paraId="27EB3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66" w:type="pct"/>
                  <w:tcBorders>
                    <w:tl2br w:val="nil"/>
                    <w:tr2bl w:val="nil"/>
                  </w:tcBorders>
                  <w:shd w:val="clear" w:color="auto" w:fill="auto"/>
                  <w:vAlign w:val="center"/>
                </w:tcPr>
                <w:p w14:paraId="5C0BB888">
                  <w:pPr>
                    <w:keepNext w:val="0"/>
                    <w:keepLines w:val="0"/>
                    <w:widowControl/>
                    <w:suppressLineNumbers w:val="0"/>
                    <w:jc w:val="center"/>
                    <w:rPr>
                      <w:b/>
                      <w:bCs/>
                      <w:color w:val="auto"/>
                      <w:sz w:val="21"/>
                      <w:szCs w:val="21"/>
                    </w:rPr>
                  </w:pPr>
                  <w:r>
                    <w:rPr>
                      <w:rStyle w:val="125"/>
                      <w:b/>
                      <w:bCs/>
                      <w:color w:val="auto"/>
                      <w:sz w:val="21"/>
                      <w:szCs w:val="21"/>
                      <w:lang w:val="en-US" w:eastAsia="zh-CN" w:bidi="ar"/>
                    </w:rPr>
                    <w:t>类别</w:t>
                  </w:r>
                </w:p>
              </w:tc>
              <w:tc>
                <w:tcPr>
                  <w:tcW w:w="2417" w:type="pct"/>
                  <w:tcBorders>
                    <w:tl2br w:val="nil"/>
                    <w:tr2bl w:val="nil"/>
                  </w:tcBorders>
                  <w:shd w:val="clear" w:color="auto" w:fill="auto"/>
                  <w:vAlign w:val="center"/>
                </w:tcPr>
                <w:p w14:paraId="268994FE">
                  <w:pPr>
                    <w:keepNext w:val="0"/>
                    <w:keepLines w:val="0"/>
                    <w:widowControl/>
                    <w:suppressLineNumbers w:val="0"/>
                    <w:jc w:val="center"/>
                    <w:rPr>
                      <w:b/>
                      <w:bCs/>
                      <w:color w:val="auto"/>
                      <w:sz w:val="21"/>
                      <w:szCs w:val="21"/>
                    </w:rPr>
                  </w:pPr>
                  <w:r>
                    <w:rPr>
                      <w:rStyle w:val="125"/>
                      <w:b/>
                      <w:bCs/>
                      <w:color w:val="auto"/>
                      <w:sz w:val="21"/>
                      <w:szCs w:val="21"/>
                      <w:lang w:val="en-US" w:eastAsia="zh-CN" w:bidi="ar"/>
                    </w:rPr>
                    <w:t>《产业结构调整指导目录》（</w:t>
                  </w:r>
                  <w:r>
                    <w:rPr>
                      <w:rStyle w:val="126"/>
                      <w:b/>
                      <w:bCs/>
                      <w:color w:val="auto"/>
                      <w:sz w:val="21"/>
                      <w:szCs w:val="21"/>
                      <w:lang w:val="en-US" w:eastAsia="zh-CN" w:bidi="ar"/>
                    </w:rPr>
                    <w:t>20</w:t>
                  </w:r>
                  <w:r>
                    <w:rPr>
                      <w:rStyle w:val="126"/>
                      <w:rFonts w:hint="eastAsia"/>
                      <w:b/>
                      <w:bCs/>
                      <w:color w:val="auto"/>
                      <w:sz w:val="21"/>
                      <w:szCs w:val="21"/>
                      <w:lang w:val="en-US" w:eastAsia="zh-CN" w:bidi="ar"/>
                    </w:rPr>
                    <w:t>24</w:t>
                  </w:r>
                  <w:r>
                    <w:rPr>
                      <w:rStyle w:val="125"/>
                      <w:b/>
                      <w:bCs/>
                      <w:color w:val="auto"/>
                      <w:sz w:val="21"/>
                      <w:szCs w:val="21"/>
                      <w:lang w:val="en-US" w:eastAsia="zh-CN" w:bidi="ar"/>
                    </w:rPr>
                    <w:t>年本）相关内容</w:t>
                  </w:r>
                </w:p>
              </w:tc>
              <w:tc>
                <w:tcPr>
                  <w:tcW w:w="1470" w:type="pct"/>
                  <w:tcBorders>
                    <w:tl2br w:val="nil"/>
                    <w:tr2bl w:val="nil"/>
                  </w:tcBorders>
                  <w:shd w:val="clear" w:color="auto" w:fill="auto"/>
                  <w:vAlign w:val="center"/>
                </w:tcPr>
                <w:p w14:paraId="4F9C81FE">
                  <w:pPr>
                    <w:keepNext w:val="0"/>
                    <w:keepLines w:val="0"/>
                    <w:widowControl/>
                    <w:suppressLineNumbers w:val="0"/>
                    <w:jc w:val="center"/>
                    <w:rPr>
                      <w:b/>
                      <w:bCs/>
                      <w:color w:val="auto"/>
                      <w:sz w:val="21"/>
                      <w:szCs w:val="21"/>
                    </w:rPr>
                  </w:pPr>
                  <w:r>
                    <w:rPr>
                      <w:rStyle w:val="125"/>
                      <w:b/>
                      <w:bCs/>
                      <w:color w:val="auto"/>
                      <w:sz w:val="21"/>
                      <w:szCs w:val="21"/>
                      <w:lang w:val="en-US" w:eastAsia="zh-CN" w:bidi="ar"/>
                    </w:rPr>
                    <w:t>本项目</w:t>
                  </w:r>
                </w:p>
              </w:tc>
              <w:tc>
                <w:tcPr>
                  <w:tcW w:w="545" w:type="pct"/>
                  <w:tcBorders>
                    <w:tl2br w:val="nil"/>
                    <w:tr2bl w:val="nil"/>
                  </w:tcBorders>
                  <w:shd w:val="clear" w:color="auto" w:fill="auto"/>
                  <w:vAlign w:val="center"/>
                </w:tcPr>
                <w:p w14:paraId="35B0E874">
                  <w:pPr>
                    <w:keepNext w:val="0"/>
                    <w:keepLines w:val="0"/>
                    <w:widowControl/>
                    <w:suppressLineNumbers w:val="0"/>
                    <w:jc w:val="center"/>
                    <w:rPr>
                      <w:rFonts w:hint="eastAsia" w:eastAsiaTheme="minorEastAsia"/>
                      <w:b/>
                      <w:bCs/>
                      <w:color w:val="auto"/>
                      <w:sz w:val="21"/>
                      <w:szCs w:val="21"/>
                      <w:lang w:val="en-US" w:eastAsia="zh-CN"/>
                    </w:rPr>
                  </w:pPr>
                  <w:r>
                    <w:rPr>
                      <w:rFonts w:hint="eastAsia"/>
                      <w:b/>
                      <w:bCs/>
                      <w:color w:val="auto"/>
                      <w:sz w:val="21"/>
                      <w:szCs w:val="21"/>
                      <w:lang w:val="en-US" w:eastAsia="zh-CN"/>
                    </w:rPr>
                    <w:t>符合性</w:t>
                  </w:r>
                </w:p>
              </w:tc>
            </w:tr>
            <w:tr w14:paraId="72D65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66" w:type="pct"/>
                  <w:tcBorders>
                    <w:tl2br w:val="nil"/>
                    <w:tr2bl w:val="nil"/>
                  </w:tcBorders>
                  <w:shd w:val="clear" w:color="auto" w:fill="auto"/>
                  <w:vAlign w:val="center"/>
                </w:tcPr>
                <w:p w14:paraId="514FA8EE">
                  <w:pPr>
                    <w:keepNext w:val="0"/>
                    <w:keepLines w:val="0"/>
                    <w:widowControl/>
                    <w:suppressLineNumbers w:val="0"/>
                    <w:jc w:val="left"/>
                    <w:rPr>
                      <w:color w:val="auto"/>
                      <w:sz w:val="21"/>
                      <w:szCs w:val="21"/>
                    </w:rPr>
                  </w:pPr>
                  <w:r>
                    <w:rPr>
                      <w:rStyle w:val="125"/>
                      <w:color w:val="auto"/>
                      <w:sz w:val="21"/>
                      <w:szCs w:val="21"/>
                      <w:lang w:val="en-US" w:eastAsia="zh-CN" w:bidi="ar"/>
                    </w:rPr>
                    <w:t>鼓励类</w:t>
                  </w:r>
                </w:p>
              </w:tc>
              <w:tc>
                <w:tcPr>
                  <w:tcW w:w="2417" w:type="pct"/>
                  <w:tcBorders>
                    <w:tl2br w:val="nil"/>
                    <w:tr2bl w:val="nil"/>
                  </w:tcBorders>
                  <w:shd w:val="clear" w:color="auto" w:fill="auto"/>
                  <w:vAlign w:val="center"/>
                </w:tcPr>
                <w:p w14:paraId="7E863E40">
                  <w:pPr>
                    <w:keepNext w:val="0"/>
                    <w:keepLines w:val="0"/>
                    <w:widowControl/>
                    <w:suppressLineNumbers w:val="0"/>
                    <w:jc w:val="left"/>
                    <w:rPr>
                      <w:rStyle w:val="125"/>
                      <w:color w:val="auto"/>
                      <w:sz w:val="21"/>
                      <w:szCs w:val="21"/>
                      <w:lang w:val="en-US" w:eastAsia="zh-CN" w:bidi="ar"/>
                    </w:rPr>
                  </w:pPr>
                  <w:r>
                    <w:rPr>
                      <w:rStyle w:val="125"/>
                      <w:color w:val="auto"/>
                      <w:sz w:val="21"/>
                      <w:szCs w:val="21"/>
                      <w:lang w:val="en-US" w:eastAsia="zh-CN" w:bidi="ar"/>
                    </w:rPr>
                    <w:t>十四、机械</w:t>
                  </w:r>
                </w:p>
                <w:p w14:paraId="436645A1">
                  <w:pPr>
                    <w:keepNext w:val="0"/>
                    <w:keepLines w:val="0"/>
                    <w:widowControl/>
                    <w:suppressLineNumbers w:val="0"/>
                    <w:jc w:val="left"/>
                    <w:rPr>
                      <w:color w:val="auto"/>
                      <w:sz w:val="21"/>
                      <w:szCs w:val="21"/>
                    </w:rPr>
                  </w:pPr>
                  <w:r>
                    <w:rPr>
                      <w:rStyle w:val="126"/>
                      <w:rFonts w:hint="eastAsia"/>
                      <w:color w:val="auto"/>
                      <w:sz w:val="21"/>
                      <w:szCs w:val="21"/>
                      <w:lang w:val="en-US" w:eastAsia="zh-CN" w:bidi="ar"/>
                    </w:rPr>
                    <w:t>4．铸造装备：高紧实度粘土砂铸造成套装备，高效自硬砂铸造成套设备，消失模/V法/实型铸造工艺及装备，壳型铸造、精密组芯造型、硅溶胶熔模精密铸造工艺及装备，砂型3D打印/切削快速成型工艺与装备，轻合金高压/低压/挤压/差压/半固态等铸造工艺与装备，自动化智能制芯设备，外热风水冷长炉龄大吨位（10吨/小时以上）冲天炉，高温合金真空熔炼定向凝固设备，钛合金真空感应熔化设备，金属液自动化转运及定量浇注设备，金属液（铸铁、铸铝）短流程铸造工艺与设备，铸件高效自动化清理成套设备，铸造专用机器人；铸造用树脂砂、粘土砂等再生循环利用技术及设备，环保树脂、无机粘结剂造型和制芯技术及设备</w:t>
                  </w:r>
                </w:p>
              </w:tc>
              <w:tc>
                <w:tcPr>
                  <w:tcW w:w="1470" w:type="pct"/>
                  <w:tcBorders>
                    <w:tl2br w:val="nil"/>
                    <w:tr2bl w:val="nil"/>
                  </w:tcBorders>
                  <w:shd w:val="clear" w:color="auto" w:fill="auto"/>
                  <w:vAlign w:val="center"/>
                </w:tcPr>
                <w:p w14:paraId="0CA4D5A4">
                  <w:pPr>
                    <w:keepNext w:val="0"/>
                    <w:keepLines w:val="0"/>
                    <w:widowControl/>
                    <w:suppressLineNumbers w:val="0"/>
                    <w:jc w:val="left"/>
                    <w:rPr>
                      <w:color w:val="auto"/>
                      <w:sz w:val="21"/>
                      <w:szCs w:val="21"/>
                      <w:highlight w:val="none"/>
                    </w:rPr>
                  </w:pPr>
                  <w:r>
                    <w:rPr>
                      <w:rStyle w:val="125"/>
                      <w:color w:val="auto"/>
                      <w:sz w:val="21"/>
                      <w:szCs w:val="21"/>
                      <w:highlight w:val="none"/>
                      <w:lang w:val="en-US" w:eastAsia="zh-CN" w:bidi="ar"/>
                    </w:rPr>
                    <w:t>本项目粘土砂铸造拟设置粘土砂高紧实度造型自动生产线及配套砂处理系统；树脂自硬砂铸造配套高效成套设备及配套砂处理系统；项目采用硅溶胶熔模铸造和压铸等特种铸造技术。</w:t>
                  </w:r>
                </w:p>
              </w:tc>
              <w:tc>
                <w:tcPr>
                  <w:tcW w:w="545" w:type="pct"/>
                  <w:tcBorders>
                    <w:tl2br w:val="nil"/>
                    <w:tr2bl w:val="nil"/>
                  </w:tcBorders>
                  <w:shd w:val="clear" w:color="auto" w:fill="auto"/>
                  <w:vAlign w:val="center"/>
                </w:tcPr>
                <w:p w14:paraId="4A151C2E">
                  <w:pPr>
                    <w:keepNext w:val="0"/>
                    <w:keepLines w:val="0"/>
                    <w:widowControl/>
                    <w:suppressLineNumbers w:val="0"/>
                    <w:jc w:val="center"/>
                    <w:rPr>
                      <w:color w:val="auto"/>
                      <w:sz w:val="21"/>
                      <w:szCs w:val="21"/>
                    </w:rPr>
                  </w:pPr>
                  <w:r>
                    <w:rPr>
                      <w:rStyle w:val="125"/>
                      <w:rFonts w:hint="eastAsia"/>
                      <w:color w:val="auto"/>
                      <w:sz w:val="21"/>
                      <w:szCs w:val="21"/>
                      <w:lang w:val="en-US" w:eastAsia="zh-CN" w:bidi="ar"/>
                    </w:rPr>
                    <w:t>符合</w:t>
                  </w:r>
                </w:p>
              </w:tc>
            </w:tr>
            <w:tr w14:paraId="38518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tcBorders>
                    <w:tl2br w:val="nil"/>
                    <w:tr2bl w:val="nil"/>
                  </w:tcBorders>
                  <w:shd w:val="clear" w:color="auto" w:fill="auto"/>
                  <w:vAlign w:val="center"/>
                </w:tcPr>
                <w:p w14:paraId="2701851D">
                  <w:pPr>
                    <w:keepNext w:val="0"/>
                    <w:keepLines w:val="0"/>
                    <w:widowControl/>
                    <w:suppressLineNumbers w:val="0"/>
                    <w:jc w:val="left"/>
                    <w:rPr>
                      <w:color w:val="auto"/>
                      <w:sz w:val="21"/>
                      <w:szCs w:val="21"/>
                    </w:rPr>
                  </w:pPr>
                  <w:r>
                    <w:rPr>
                      <w:rStyle w:val="125"/>
                      <w:color w:val="auto"/>
                      <w:sz w:val="21"/>
                      <w:szCs w:val="21"/>
                      <w:lang w:val="en-US" w:eastAsia="zh-CN" w:bidi="ar"/>
                    </w:rPr>
                    <w:t>限制类</w:t>
                  </w:r>
                </w:p>
              </w:tc>
              <w:tc>
                <w:tcPr>
                  <w:tcW w:w="2417" w:type="pct"/>
                  <w:tcBorders>
                    <w:tl2br w:val="nil"/>
                    <w:tr2bl w:val="nil"/>
                  </w:tcBorders>
                  <w:shd w:val="clear" w:color="auto" w:fill="auto"/>
                  <w:vAlign w:val="center"/>
                </w:tcPr>
                <w:p w14:paraId="1473EFD8">
                  <w:pPr>
                    <w:keepNext w:val="0"/>
                    <w:keepLines w:val="0"/>
                    <w:widowControl/>
                    <w:suppressLineNumbers w:val="0"/>
                    <w:jc w:val="left"/>
                    <w:rPr>
                      <w:rStyle w:val="125"/>
                      <w:color w:val="auto"/>
                      <w:sz w:val="21"/>
                      <w:szCs w:val="21"/>
                      <w:lang w:val="en-US" w:eastAsia="zh-CN" w:bidi="ar"/>
                    </w:rPr>
                  </w:pPr>
                  <w:r>
                    <w:rPr>
                      <w:rStyle w:val="125"/>
                      <w:color w:val="auto"/>
                      <w:sz w:val="21"/>
                      <w:szCs w:val="21"/>
                      <w:lang w:val="en-US" w:eastAsia="zh-CN" w:bidi="ar"/>
                    </w:rPr>
                    <w:t>十一、机械</w:t>
                  </w:r>
                </w:p>
                <w:p w14:paraId="4D33058D">
                  <w:pPr>
                    <w:keepNext w:val="0"/>
                    <w:keepLines w:val="0"/>
                    <w:widowControl/>
                    <w:suppressLineNumbers w:val="0"/>
                    <w:jc w:val="left"/>
                    <w:rPr>
                      <w:color w:val="auto"/>
                      <w:sz w:val="21"/>
                      <w:szCs w:val="21"/>
                    </w:rPr>
                  </w:pPr>
                  <w:r>
                    <w:rPr>
                      <w:rStyle w:val="126"/>
                      <w:rFonts w:hint="eastAsia"/>
                      <w:color w:val="auto"/>
                      <w:sz w:val="21"/>
                      <w:szCs w:val="21"/>
                      <w:lang w:val="en-US" w:eastAsia="zh-CN" w:bidi="ar"/>
                    </w:rPr>
                    <w:t>46．不采用自动化造型设备的粘土砂型铸造项目、水玻璃熔模精密铸造项目、规模小于20万吨/年的离心球墨铸铁管项目、规模小于3万吨/年的离心灰铸铁管项目</w:t>
                  </w:r>
                </w:p>
              </w:tc>
              <w:tc>
                <w:tcPr>
                  <w:tcW w:w="1470" w:type="pct"/>
                  <w:tcBorders>
                    <w:tl2br w:val="nil"/>
                    <w:tr2bl w:val="nil"/>
                  </w:tcBorders>
                  <w:shd w:val="clear" w:color="auto" w:fill="auto"/>
                  <w:vAlign w:val="center"/>
                </w:tcPr>
                <w:p w14:paraId="58F010B2">
                  <w:pPr>
                    <w:keepNext w:val="0"/>
                    <w:keepLines w:val="0"/>
                    <w:widowControl/>
                    <w:suppressLineNumbers w:val="0"/>
                    <w:jc w:val="left"/>
                    <w:rPr>
                      <w:color w:val="auto"/>
                      <w:sz w:val="21"/>
                      <w:szCs w:val="21"/>
                      <w:highlight w:val="none"/>
                    </w:rPr>
                  </w:pPr>
                  <w:r>
                    <w:rPr>
                      <w:rStyle w:val="125"/>
                      <w:color w:val="auto"/>
                      <w:sz w:val="21"/>
                      <w:szCs w:val="21"/>
                      <w:highlight w:val="none"/>
                      <w:lang w:val="en-US" w:eastAsia="zh-CN" w:bidi="ar"/>
                    </w:rPr>
                    <w:t>项目粘土砂</w:t>
                  </w:r>
                  <w:r>
                    <w:rPr>
                      <w:rStyle w:val="125"/>
                      <w:rFonts w:hint="eastAsia"/>
                      <w:color w:val="auto"/>
                      <w:sz w:val="21"/>
                      <w:szCs w:val="21"/>
                      <w:highlight w:val="none"/>
                      <w:lang w:val="en-US" w:eastAsia="zh-CN" w:bidi="ar"/>
                    </w:rPr>
                    <w:t>铸造</w:t>
                  </w:r>
                  <w:r>
                    <w:rPr>
                      <w:rStyle w:val="125"/>
                      <w:color w:val="auto"/>
                      <w:sz w:val="21"/>
                      <w:szCs w:val="21"/>
                      <w:highlight w:val="none"/>
                      <w:lang w:val="en-US" w:eastAsia="zh-CN" w:bidi="ar"/>
                    </w:rPr>
                    <w:t>配套自动造型线，熔模铸造采用硅胶熔模铸造，不涉及限制类设备及工艺。</w:t>
                  </w:r>
                </w:p>
              </w:tc>
              <w:tc>
                <w:tcPr>
                  <w:tcW w:w="545" w:type="pct"/>
                  <w:tcBorders>
                    <w:tl2br w:val="nil"/>
                    <w:tr2bl w:val="nil"/>
                  </w:tcBorders>
                  <w:shd w:val="clear" w:color="auto" w:fill="auto"/>
                  <w:vAlign w:val="center"/>
                </w:tcPr>
                <w:p w14:paraId="1BA3ACAA">
                  <w:pPr>
                    <w:keepNext w:val="0"/>
                    <w:keepLines w:val="0"/>
                    <w:widowControl/>
                    <w:suppressLineNumbers w:val="0"/>
                    <w:jc w:val="left"/>
                    <w:rPr>
                      <w:color w:val="auto"/>
                      <w:sz w:val="21"/>
                      <w:szCs w:val="21"/>
                    </w:rPr>
                  </w:pPr>
                  <w:r>
                    <w:rPr>
                      <w:rStyle w:val="125"/>
                      <w:color w:val="auto"/>
                      <w:sz w:val="21"/>
                      <w:szCs w:val="21"/>
                      <w:lang w:val="en-US" w:eastAsia="zh-CN" w:bidi="ar"/>
                    </w:rPr>
                    <w:t>不属于</w:t>
                  </w:r>
                </w:p>
              </w:tc>
            </w:tr>
            <w:tr w14:paraId="1DCD4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vMerge w:val="restart"/>
                  <w:tcBorders>
                    <w:tl2br w:val="nil"/>
                    <w:tr2bl w:val="nil"/>
                  </w:tcBorders>
                  <w:shd w:val="clear" w:color="auto" w:fill="auto"/>
                  <w:vAlign w:val="center"/>
                </w:tcPr>
                <w:p w14:paraId="7C73E312">
                  <w:pPr>
                    <w:keepNext w:val="0"/>
                    <w:keepLines w:val="0"/>
                    <w:widowControl/>
                    <w:suppressLineNumbers w:val="0"/>
                    <w:jc w:val="left"/>
                    <w:rPr>
                      <w:color w:val="auto"/>
                      <w:sz w:val="21"/>
                      <w:szCs w:val="21"/>
                    </w:rPr>
                  </w:pPr>
                  <w:r>
                    <w:rPr>
                      <w:rStyle w:val="125"/>
                      <w:color w:val="auto"/>
                      <w:sz w:val="21"/>
                      <w:szCs w:val="21"/>
                      <w:lang w:val="en-US" w:eastAsia="zh-CN" w:bidi="ar"/>
                    </w:rPr>
                    <w:t>淘汰类</w:t>
                  </w:r>
                </w:p>
              </w:tc>
              <w:tc>
                <w:tcPr>
                  <w:tcW w:w="2417" w:type="pct"/>
                  <w:tcBorders>
                    <w:tl2br w:val="nil"/>
                    <w:tr2bl w:val="nil"/>
                  </w:tcBorders>
                  <w:shd w:val="clear" w:color="auto" w:fill="auto"/>
                  <w:vAlign w:val="center"/>
                </w:tcPr>
                <w:p w14:paraId="58670649">
                  <w:pPr>
                    <w:keepNext w:val="0"/>
                    <w:keepLines w:val="0"/>
                    <w:widowControl/>
                    <w:suppressLineNumbers w:val="0"/>
                    <w:jc w:val="left"/>
                    <w:rPr>
                      <w:rStyle w:val="125"/>
                      <w:color w:val="auto"/>
                      <w:sz w:val="21"/>
                      <w:szCs w:val="21"/>
                      <w:lang w:val="en-US" w:eastAsia="zh-CN" w:bidi="ar"/>
                    </w:rPr>
                  </w:pPr>
                  <w:r>
                    <w:rPr>
                      <w:rStyle w:val="125"/>
                      <w:color w:val="auto"/>
                      <w:sz w:val="21"/>
                      <w:szCs w:val="21"/>
                      <w:lang w:val="en-US" w:eastAsia="zh-CN" w:bidi="ar"/>
                    </w:rPr>
                    <w:t>十、机械</w:t>
                  </w:r>
                </w:p>
                <w:p w14:paraId="53F757E9">
                  <w:pPr>
                    <w:keepNext w:val="0"/>
                    <w:keepLines w:val="0"/>
                    <w:widowControl/>
                    <w:suppressLineNumbers w:val="0"/>
                    <w:jc w:val="left"/>
                    <w:rPr>
                      <w:rStyle w:val="126"/>
                      <w:rFonts w:hint="eastAsia"/>
                      <w:color w:val="auto"/>
                      <w:sz w:val="21"/>
                      <w:szCs w:val="21"/>
                      <w:lang w:val="en-US" w:eastAsia="zh-CN" w:bidi="ar"/>
                    </w:rPr>
                  </w:pPr>
                  <w:r>
                    <w:rPr>
                      <w:rStyle w:val="126"/>
                      <w:rFonts w:hint="eastAsia"/>
                      <w:color w:val="auto"/>
                      <w:sz w:val="21"/>
                      <w:szCs w:val="21"/>
                      <w:lang w:val="en-US" w:eastAsia="zh-CN" w:bidi="ar"/>
                    </w:rPr>
                    <w:t>11、砂型铸造粘土烘干砂型及型芯</w:t>
                  </w:r>
                </w:p>
                <w:p w14:paraId="12476CA5">
                  <w:pPr>
                    <w:keepNext w:val="0"/>
                    <w:keepLines w:val="0"/>
                    <w:widowControl/>
                    <w:numPr>
                      <w:ilvl w:val="0"/>
                      <w:numId w:val="0"/>
                    </w:numPr>
                    <w:suppressLineNumbers w:val="0"/>
                    <w:jc w:val="left"/>
                    <w:rPr>
                      <w:rStyle w:val="126"/>
                      <w:rFonts w:hint="eastAsia"/>
                      <w:color w:val="auto"/>
                      <w:sz w:val="21"/>
                      <w:szCs w:val="21"/>
                      <w:lang w:val="en-US" w:eastAsia="zh-CN" w:bidi="ar"/>
                    </w:rPr>
                  </w:pPr>
                  <w:r>
                    <w:rPr>
                      <w:rStyle w:val="126"/>
                      <w:rFonts w:hint="eastAsia"/>
                      <w:color w:val="auto"/>
                      <w:sz w:val="21"/>
                      <w:szCs w:val="21"/>
                      <w:lang w:val="en-US" w:eastAsia="zh-CN" w:bidi="ar"/>
                    </w:rPr>
                    <w:t>13、砂型铸造油砂制芯</w:t>
                  </w:r>
                </w:p>
                <w:p w14:paraId="7C841180">
                  <w:pPr>
                    <w:keepNext w:val="0"/>
                    <w:keepLines w:val="0"/>
                    <w:widowControl/>
                    <w:numPr>
                      <w:ilvl w:val="0"/>
                      <w:numId w:val="0"/>
                    </w:numPr>
                    <w:suppressLineNumbers w:val="0"/>
                    <w:jc w:val="left"/>
                    <w:rPr>
                      <w:rStyle w:val="126"/>
                      <w:rFonts w:hint="eastAsia"/>
                      <w:color w:val="auto"/>
                      <w:sz w:val="21"/>
                      <w:szCs w:val="21"/>
                      <w:lang w:val="en-US" w:eastAsia="zh-CN" w:bidi="ar"/>
                    </w:rPr>
                  </w:pPr>
                  <w:r>
                    <w:rPr>
                      <w:rStyle w:val="126"/>
                      <w:rFonts w:hint="eastAsia"/>
                      <w:color w:val="auto"/>
                      <w:sz w:val="21"/>
                      <w:szCs w:val="21"/>
                      <w:lang w:val="en-US" w:eastAsia="zh-CN" w:bidi="ar"/>
                    </w:rPr>
                    <w:t>23、无磁轭（≥0.25吨）铝壳中频感应电炉</w:t>
                  </w:r>
                </w:p>
                <w:p w14:paraId="5FB35B89">
                  <w:pPr>
                    <w:keepNext w:val="0"/>
                    <w:keepLines w:val="0"/>
                    <w:widowControl/>
                    <w:numPr>
                      <w:ilvl w:val="0"/>
                      <w:numId w:val="0"/>
                    </w:numPr>
                    <w:suppressLineNumbers w:val="0"/>
                    <w:jc w:val="left"/>
                    <w:rPr>
                      <w:rStyle w:val="125"/>
                      <w:color w:val="auto"/>
                      <w:sz w:val="21"/>
                      <w:szCs w:val="21"/>
                      <w:lang w:val="en-US" w:eastAsia="zh-CN" w:bidi="ar"/>
                    </w:rPr>
                  </w:pPr>
                  <w:r>
                    <w:rPr>
                      <w:rStyle w:val="126"/>
                      <w:rFonts w:hint="eastAsia"/>
                      <w:color w:val="auto"/>
                      <w:sz w:val="21"/>
                      <w:szCs w:val="21"/>
                      <w:lang w:val="en-US" w:eastAsia="zh-CN" w:bidi="ar"/>
                    </w:rPr>
                    <w:t>24、无芯工频感应电炉</w:t>
                  </w:r>
                </w:p>
              </w:tc>
              <w:tc>
                <w:tcPr>
                  <w:tcW w:w="1470" w:type="pct"/>
                  <w:tcBorders>
                    <w:tl2br w:val="nil"/>
                    <w:tr2bl w:val="nil"/>
                  </w:tcBorders>
                  <w:shd w:val="clear" w:color="auto" w:fill="auto"/>
                  <w:vAlign w:val="center"/>
                </w:tcPr>
                <w:p w14:paraId="3EAFC1CF">
                  <w:pPr>
                    <w:keepNext w:val="0"/>
                    <w:keepLines w:val="0"/>
                    <w:widowControl/>
                    <w:suppressLineNumbers w:val="0"/>
                    <w:jc w:val="left"/>
                    <w:rPr>
                      <w:color w:val="auto"/>
                      <w:sz w:val="21"/>
                      <w:szCs w:val="21"/>
                      <w:highlight w:val="none"/>
                    </w:rPr>
                  </w:pPr>
                  <w:r>
                    <w:rPr>
                      <w:rStyle w:val="125"/>
                      <w:rFonts w:hint="eastAsia"/>
                      <w:color w:val="auto"/>
                      <w:sz w:val="21"/>
                      <w:szCs w:val="21"/>
                      <w:highlight w:val="none"/>
                      <w:lang w:val="en-US" w:eastAsia="zh-CN" w:bidi="ar"/>
                    </w:rPr>
                    <w:t>本项目不涉及粘土烘干砂芯及型芯工艺，不涉及油砂制芯工艺，使用的</w:t>
                  </w:r>
                  <w:r>
                    <w:rPr>
                      <w:rStyle w:val="125"/>
                      <w:color w:val="auto"/>
                      <w:sz w:val="21"/>
                      <w:szCs w:val="21"/>
                      <w:highlight w:val="none"/>
                      <w:lang w:val="en-US" w:eastAsia="zh-CN" w:bidi="ar"/>
                    </w:rPr>
                    <w:t>熔化炉</w:t>
                  </w:r>
                  <w:r>
                    <w:rPr>
                      <w:rStyle w:val="125"/>
                      <w:rFonts w:hint="eastAsia"/>
                      <w:color w:val="auto"/>
                      <w:sz w:val="21"/>
                      <w:szCs w:val="21"/>
                      <w:highlight w:val="none"/>
                      <w:lang w:val="en-US" w:eastAsia="zh-CN" w:bidi="ar"/>
                    </w:rPr>
                    <w:t>均</w:t>
                  </w:r>
                  <w:r>
                    <w:rPr>
                      <w:rStyle w:val="125"/>
                      <w:color w:val="auto"/>
                      <w:sz w:val="21"/>
                      <w:szCs w:val="21"/>
                      <w:highlight w:val="none"/>
                      <w:lang w:val="en-US" w:eastAsia="zh-CN" w:bidi="ar"/>
                    </w:rPr>
                    <w:t>为钢壳中频电炉，项目</w:t>
                  </w:r>
                  <w:r>
                    <w:rPr>
                      <w:rStyle w:val="125"/>
                      <w:rFonts w:hint="eastAsia"/>
                      <w:color w:val="auto"/>
                      <w:sz w:val="21"/>
                      <w:szCs w:val="21"/>
                      <w:highlight w:val="none"/>
                      <w:lang w:val="en-US" w:eastAsia="zh-CN" w:bidi="ar"/>
                    </w:rPr>
                    <w:t>生产过程</w:t>
                  </w:r>
                  <w:r>
                    <w:rPr>
                      <w:rStyle w:val="125"/>
                      <w:color w:val="auto"/>
                      <w:sz w:val="21"/>
                      <w:szCs w:val="21"/>
                      <w:highlight w:val="none"/>
                      <w:lang w:val="en-US" w:eastAsia="zh-CN" w:bidi="ar"/>
                    </w:rPr>
                    <w:t>不涉及</w:t>
                  </w:r>
                  <w:r>
                    <w:rPr>
                      <w:rStyle w:val="125"/>
                      <w:rFonts w:hint="eastAsia"/>
                      <w:color w:val="auto"/>
                      <w:sz w:val="21"/>
                      <w:szCs w:val="21"/>
                      <w:highlight w:val="none"/>
                      <w:lang w:val="en-US" w:eastAsia="zh-CN" w:bidi="ar"/>
                    </w:rPr>
                    <w:t>淘汰工艺</w:t>
                  </w:r>
                  <w:r>
                    <w:rPr>
                      <w:rStyle w:val="125"/>
                      <w:color w:val="auto"/>
                      <w:sz w:val="21"/>
                      <w:szCs w:val="21"/>
                      <w:highlight w:val="none"/>
                      <w:lang w:val="en-US" w:eastAsia="zh-CN" w:bidi="ar"/>
                    </w:rPr>
                    <w:t>。</w:t>
                  </w:r>
                </w:p>
              </w:tc>
              <w:tc>
                <w:tcPr>
                  <w:tcW w:w="545" w:type="pct"/>
                  <w:tcBorders>
                    <w:tl2br w:val="nil"/>
                    <w:tr2bl w:val="nil"/>
                  </w:tcBorders>
                  <w:shd w:val="clear" w:color="auto" w:fill="auto"/>
                  <w:vAlign w:val="center"/>
                </w:tcPr>
                <w:p w14:paraId="6F29E594">
                  <w:pPr>
                    <w:keepNext w:val="0"/>
                    <w:keepLines w:val="0"/>
                    <w:widowControl/>
                    <w:suppressLineNumbers w:val="0"/>
                    <w:jc w:val="left"/>
                    <w:rPr>
                      <w:color w:val="auto"/>
                      <w:sz w:val="21"/>
                      <w:szCs w:val="21"/>
                    </w:rPr>
                  </w:pPr>
                  <w:r>
                    <w:rPr>
                      <w:rStyle w:val="125"/>
                      <w:color w:val="auto"/>
                      <w:sz w:val="21"/>
                      <w:szCs w:val="21"/>
                      <w:lang w:val="en-US" w:eastAsia="zh-CN" w:bidi="ar"/>
                    </w:rPr>
                    <w:t>不属于</w:t>
                  </w:r>
                </w:p>
              </w:tc>
            </w:tr>
            <w:tr w14:paraId="357D0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vMerge w:val="continue"/>
                  <w:tcBorders>
                    <w:tl2br w:val="nil"/>
                    <w:tr2bl w:val="nil"/>
                  </w:tcBorders>
                  <w:shd w:val="clear" w:color="auto" w:fill="auto"/>
                  <w:vAlign w:val="center"/>
                </w:tcPr>
                <w:p w14:paraId="55EAED2A">
                  <w:pPr>
                    <w:keepNext w:val="0"/>
                    <w:keepLines w:val="0"/>
                    <w:widowControl/>
                    <w:suppressLineNumbers w:val="0"/>
                    <w:jc w:val="left"/>
                    <w:rPr>
                      <w:rStyle w:val="125"/>
                      <w:color w:val="auto"/>
                      <w:sz w:val="21"/>
                      <w:szCs w:val="21"/>
                      <w:lang w:val="en-US" w:eastAsia="zh-CN" w:bidi="ar"/>
                    </w:rPr>
                  </w:pPr>
                </w:p>
              </w:tc>
              <w:tc>
                <w:tcPr>
                  <w:tcW w:w="2417" w:type="pct"/>
                  <w:tcBorders>
                    <w:tl2br w:val="nil"/>
                    <w:tr2bl w:val="nil"/>
                  </w:tcBorders>
                  <w:shd w:val="clear" w:color="auto" w:fill="auto"/>
                  <w:vAlign w:val="center"/>
                </w:tcPr>
                <w:p w14:paraId="3E71AB75">
                  <w:pPr>
                    <w:keepNext w:val="0"/>
                    <w:keepLines w:val="0"/>
                    <w:widowControl/>
                    <w:numPr>
                      <w:ilvl w:val="0"/>
                      <w:numId w:val="8"/>
                    </w:numPr>
                    <w:suppressLineNumbers w:val="0"/>
                    <w:jc w:val="left"/>
                    <w:rPr>
                      <w:rStyle w:val="126"/>
                      <w:rFonts w:hint="eastAsia"/>
                      <w:color w:val="auto"/>
                      <w:sz w:val="21"/>
                      <w:szCs w:val="21"/>
                      <w:lang w:val="en-US" w:eastAsia="zh-CN" w:bidi="ar"/>
                    </w:rPr>
                  </w:pPr>
                  <w:r>
                    <w:rPr>
                      <w:rStyle w:val="126"/>
                      <w:rFonts w:hint="eastAsia"/>
                      <w:color w:val="auto"/>
                      <w:sz w:val="21"/>
                      <w:szCs w:val="21"/>
                      <w:lang w:val="en-US" w:eastAsia="zh-CN" w:bidi="ar"/>
                    </w:rPr>
                    <w:t>落后产品</w:t>
                  </w:r>
                </w:p>
                <w:p w14:paraId="77C41E80">
                  <w:pPr>
                    <w:keepNext w:val="0"/>
                    <w:keepLines w:val="0"/>
                    <w:widowControl/>
                    <w:numPr>
                      <w:ilvl w:val="0"/>
                      <w:numId w:val="0"/>
                    </w:numPr>
                    <w:suppressLineNumbers w:val="0"/>
                    <w:jc w:val="left"/>
                    <w:rPr>
                      <w:rStyle w:val="126"/>
                      <w:rFonts w:hint="default"/>
                      <w:color w:val="auto"/>
                      <w:sz w:val="21"/>
                      <w:szCs w:val="21"/>
                      <w:lang w:val="en-US" w:eastAsia="zh-CN" w:bidi="ar"/>
                    </w:rPr>
                  </w:pPr>
                  <w:r>
                    <w:rPr>
                      <w:rStyle w:val="126"/>
                      <w:rFonts w:hint="eastAsia"/>
                      <w:color w:val="auto"/>
                      <w:sz w:val="21"/>
                      <w:szCs w:val="21"/>
                      <w:lang w:val="en-US" w:eastAsia="zh-CN" w:bidi="ar"/>
                    </w:rPr>
                    <w:t>（十）消防</w:t>
                  </w:r>
                </w:p>
                <w:p w14:paraId="4BB0831D">
                  <w:pPr>
                    <w:keepNext w:val="0"/>
                    <w:keepLines w:val="0"/>
                    <w:widowControl/>
                    <w:numPr>
                      <w:ilvl w:val="0"/>
                      <w:numId w:val="0"/>
                    </w:numPr>
                    <w:suppressLineNumbers w:val="0"/>
                    <w:jc w:val="left"/>
                    <w:rPr>
                      <w:rStyle w:val="126"/>
                      <w:rFonts w:hint="default"/>
                      <w:color w:val="auto"/>
                      <w:sz w:val="21"/>
                      <w:szCs w:val="21"/>
                      <w:lang w:val="en-US" w:eastAsia="zh-CN" w:bidi="ar"/>
                    </w:rPr>
                  </w:pPr>
                  <w:r>
                    <w:rPr>
                      <w:rStyle w:val="126"/>
                      <w:rFonts w:hint="default"/>
                      <w:color w:val="auto"/>
                      <w:sz w:val="21"/>
                      <w:szCs w:val="21"/>
                      <w:lang w:val="en-US" w:eastAsia="zh-CN" w:bidi="ar"/>
                    </w:rPr>
                    <w:t>3．PVC衬里消防水带</w:t>
                  </w:r>
                </w:p>
              </w:tc>
              <w:tc>
                <w:tcPr>
                  <w:tcW w:w="1470" w:type="pct"/>
                  <w:tcBorders>
                    <w:tl2br w:val="nil"/>
                    <w:tr2bl w:val="nil"/>
                  </w:tcBorders>
                  <w:shd w:val="clear" w:color="auto" w:fill="auto"/>
                  <w:vAlign w:val="center"/>
                </w:tcPr>
                <w:p w14:paraId="74D13648">
                  <w:pPr>
                    <w:keepNext w:val="0"/>
                    <w:keepLines w:val="0"/>
                    <w:widowControl/>
                    <w:suppressLineNumbers w:val="0"/>
                    <w:jc w:val="left"/>
                    <w:rPr>
                      <w:rStyle w:val="125"/>
                      <w:rFonts w:hint="default"/>
                      <w:color w:val="auto"/>
                      <w:sz w:val="21"/>
                      <w:szCs w:val="21"/>
                      <w:lang w:val="en-US" w:eastAsia="zh-CN" w:bidi="ar"/>
                    </w:rPr>
                  </w:pPr>
                  <w:r>
                    <w:rPr>
                      <w:rStyle w:val="125"/>
                      <w:rFonts w:hint="default" w:ascii="Times New Roman" w:hAnsi="Times New Roman" w:cs="Times New Roman"/>
                      <w:color w:val="auto"/>
                      <w:sz w:val="21"/>
                      <w:szCs w:val="21"/>
                      <w:lang w:val="en-US" w:eastAsia="zh-CN" w:bidi="ar"/>
                    </w:rPr>
                    <w:t>本项目</w:t>
                  </w:r>
                  <w:r>
                    <w:rPr>
                      <w:rStyle w:val="125"/>
                      <w:rFonts w:hint="eastAsia" w:cs="Times New Roman"/>
                      <w:color w:val="auto"/>
                      <w:sz w:val="21"/>
                      <w:szCs w:val="21"/>
                      <w:lang w:val="en-US" w:eastAsia="zh-CN" w:bidi="ar"/>
                    </w:rPr>
                    <w:t>消防栓箱中的</w:t>
                  </w:r>
                  <w:r>
                    <w:rPr>
                      <w:rStyle w:val="125"/>
                      <w:rFonts w:hint="default" w:ascii="Times New Roman" w:hAnsi="Times New Roman" w:cs="Times New Roman"/>
                      <w:color w:val="auto"/>
                      <w:sz w:val="21"/>
                      <w:szCs w:val="21"/>
                      <w:lang w:val="en-US" w:eastAsia="zh-CN" w:bidi="ar"/>
                    </w:rPr>
                    <w:t>消防水带为TPU</w:t>
                  </w:r>
                  <w:r>
                    <w:rPr>
                      <w:rStyle w:val="126"/>
                      <w:rFonts w:hint="default"/>
                      <w:color w:val="auto"/>
                      <w:sz w:val="21"/>
                      <w:szCs w:val="21"/>
                      <w:lang w:val="en-US" w:eastAsia="zh-CN" w:bidi="ar"/>
                    </w:rPr>
                    <w:t>衬里</w:t>
                  </w:r>
                  <w:r>
                    <w:rPr>
                      <w:rStyle w:val="125"/>
                      <w:rFonts w:hint="default" w:ascii="Times New Roman" w:hAnsi="Times New Roman" w:cs="Times New Roman"/>
                      <w:color w:val="auto"/>
                      <w:sz w:val="21"/>
                      <w:szCs w:val="21"/>
                      <w:lang w:val="en-US" w:eastAsia="zh-CN" w:bidi="ar"/>
                    </w:rPr>
                    <w:t>水带</w:t>
                  </w:r>
                  <w:r>
                    <w:rPr>
                      <w:rStyle w:val="125"/>
                      <w:rFonts w:hint="eastAsia" w:cs="Times New Roman"/>
                      <w:color w:val="auto"/>
                      <w:sz w:val="21"/>
                      <w:szCs w:val="21"/>
                      <w:lang w:val="en-US" w:eastAsia="zh-CN" w:bidi="ar"/>
                    </w:rPr>
                    <w:t>。</w:t>
                  </w:r>
                </w:p>
              </w:tc>
              <w:tc>
                <w:tcPr>
                  <w:tcW w:w="545" w:type="pct"/>
                  <w:tcBorders>
                    <w:tl2br w:val="nil"/>
                    <w:tr2bl w:val="nil"/>
                  </w:tcBorders>
                  <w:shd w:val="clear" w:color="auto" w:fill="auto"/>
                  <w:vAlign w:val="center"/>
                </w:tcPr>
                <w:p w14:paraId="4B7AFCF9">
                  <w:pPr>
                    <w:keepNext w:val="0"/>
                    <w:keepLines w:val="0"/>
                    <w:widowControl/>
                    <w:suppressLineNumbers w:val="0"/>
                    <w:jc w:val="left"/>
                    <w:rPr>
                      <w:rStyle w:val="125"/>
                      <w:rFonts w:hint="default"/>
                      <w:color w:val="auto"/>
                      <w:sz w:val="21"/>
                      <w:szCs w:val="21"/>
                      <w:lang w:val="en-US" w:eastAsia="zh-CN" w:bidi="ar"/>
                    </w:rPr>
                  </w:pPr>
                  <w:r>
                    <w:rPr>
                      <w:rStyle w:val="125"/>
                      <w:rFonts w:hint="eastAsia"/>
                      <w:color w:val="auto"/>
                      <w:sz w:val="21"/>
                      <w:szCs w:val="21"/>
                      <w:lang w:val="en-US" w:eastAsia="zh-CN" w:bidi="ar"/>
                    </w:rPr>
                    <w:t>不属于</w:t>
                  </w:r>
                </w:p>
              </w:tc>
            </w:tr>
          </w:tbl>
          <w:p w14:paraId="64E4A86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b/>
                <w:bCs/>
                <w:color w:val="auto"/>
                <w:kern w:val="0"/>
                <w:sz w:val="24"/>
                <w:szCs w:val="24"/>
              </w:rPr>
            </w:pPr>
            <w:r>
              <w:rPr>
                <w:rFonts w:hint="eastAsia" w:cs="Times New Roman"/>
                <w:b/>
                <w:bCs/>
                <w:color w:val="auto"/>
                <w:kern w:val="0"/>
                <w:sz w:val="24"/>
                <w:szCs w:val="24"/>
                <w:lang w:val="en-US" w:eastAsia="zh-CN"/>
              </w:rPr>
              <w:t>2</w:t>
            </w:r>
            <w:r>
              <w:rPr>
                <w:rFonts w:hint="eastAsia" w:ascii="Times New Roman" w:hAnsi="Times New Roman" w:eastAsia="宋体" w:cs="Times New Roman"/>
                <w:b/>
                <w:bCs/>
                <w:color w:val="auto"/>
                <w:kern w:val="0"/>
                <w:sz w:val="24"/>
                <w:szCs w:val="24"/>
              </w:rPr>
              <w:t>、周围环境相容性分析</w:t>
            </w:r>
          </w:p>
          <w:p w14:paraId="331CFA7E">
            <w:pPr>
              <w:autoSpaceDE w:val="0"/>
              <w:autoSpaceDN w:val="0"/>
              <w:adjustRightInd w:val="0"/>
              <w:spacing w:line="360" w:lineRule="auto"/>
              <w:ind w:firstLine="480" w:firstLineChars="200"/>
              <w:jc w:val="left"/>
              <w:rPr>
                <w:rFonts w:hint="eastAsia"/>
                <w:color w:val="auto"/>
                <w:sz w:val="24"/>
                <w:szCs w:val="24"/>
              </w:rPr>
            </w:pPr>
            <w:r>
              <w:rPr>
                <w:rFonts w:hint="eastAsia"/>
                <w:color w:val="auto"/>
                <w:sz w:val="24"/>
                <w:szCs w:val="24"/>
              </w:rPr>
              <w:t>项目位于</w:t>
            </w:r>
            <w:r>
              <w:rPr>
                <w:rFonts w:hint="eastAsia"/>
                <w:color w:val="auto"/>
                <w:kern w:val="0"/>
                <w:sz w:val="24"/>
              </w:rPr>
              <w:t>大田县福建（大田）机械铸造产业集聚区15号宗地</w:t>
            </w:r>
            <w:r>
              <w:rPr>
                <w:rFonts w:hint="eastAsia"/>
                <w:color w:val="auto"/>
                <w:sz w:val="24"/>
                <w:szCs w:val="24"/>
              </w:rPr>
              <w:t>，根据现场踏</w:t>
            </w:r>
            <w:r>
              <w:rPr>
                <w:rFonts w:hint="eastAsia"/>
                <w:color w:val="auto"/>
                <w:sz w:val="24"/>
                <w:szCs w:val="24"/>
                <w:lang w:val="en-US" w:eastAsia="zh-CN"/>
              </w:rPr>
              <w:t>看</w:t>
            </w:r>
            <w:r>
              <w:rPr>
                <w:rFonts w:hint="eastAsia"/>
                <w:color w:val="auto"/>
                <w:sz w:val="24"/>
                <w:szCs w:val="24"/>
              </w:rPr>
              <w:t>，项目周边均为工业</w:t>
            </w:r>
            <w:r>
              <w:rPr>
                <w:rFonts w:hint="eastAsia"/>
                <w:color w:val="auto"/>
                <w:sz w:val="24"/>
                <w:szCs w:val="24"/>
                <w:lang w:val="en-US" w:eastAsia="zh-CN"/>
              </w:rPr>
              <w:t>企业</w:t>
            </w:r>
            <w:r>
              <w:rPr>
                <w:rFonts w:hint="eastAsia"/>
                <w:color w:val="auto"/>
                <w:sz w:val="24"/>
                <w:szCs w:val="24"/>
                <w:lang w:eastAsia="zh-CN"/>
              </w:rPr>
              <w:t>、</w:t>
            </w:r>
            <w:r>
              <w:rPr>
                <w:rFonts w:hint="eastAsia"/>
                <w:color w:val="auto"/>
                <w:sz w:val="24"/>
                <w:szCs w:val="24"/>
              </w:rPr>
              <w:t>空地，</w:t>
            </w:r>
            <w:r>
              <w:rPr>
                <w:rFonts w:hint="eastAsia"/>
                <w:color w:val="auto"/>
                <w:sz w:val="24"/>
                <w:szCs w:val="24"/>
                <w:lang w:val="en-US" w:eastAsia="zh-CN"/>
              </w:rPr>
              <w:t>周边500m范围无居民区等环境敏感区，距离最近的大气环境保护目标主要为西南侧750m三阳村</w:t>
            </w:r>
            <w:r>
              <w:rPr>
                <w:rFonts w:hint="eastAsia"/>
                <w:color w:val="auto"/>
                <w:sz w:val="24"/>
                <w:szCs w:val="24"/>
              </w:rPr>
              <w:t>。项目主要从事</w:t>
            </w:r>
            <w:r>
              <w:rPr>
                <w:rFonts w:hint="eastAsia"/>
                <w:color w:val="auto"/>
                <w:sz w:val="24"/>
                <w:szCs w:val="24"/>
                <w:lang w:val="en-US" w:eastAsia="zh-CN"/>
              </w:rPr>
              <w:t>精密</w:t>
            </w:r>
            <w:r>
              <w:rPr>
                <w:rFonts w:hint="eastAsia"/>
                <w:color w:val="auto"/>
                <w:kern w:val="0"/>
                <w:sz w:val="24"/>
                <w:lang w:val="en-US" w:eastAsia="zh-CN"/>
              </w:rPr>
              <w:t>铸件、消防产品生产</w:t>
            </w:r>
            <w:r>
              <w:rPr>
                <w:rFonts w:hint="eastAsia"/>
                <w:color w:val="auto"/>
                <w:sz w:val="24"/>
                <w:szCs w:val="24"/>
              </w:rPr>
              <w:t>，</w:t>
            </w:r>
            <w:r>
              <w:rPr>
                <w:rFonts w:hint="eastAsia"/>
                <w:color w:val="auto"/>
                <w:sz w:val="24"/>
                <w:szCs w:val="24"/>
                <w:highlight w:val="none"/>
                <w:lang w:val="en-US" w:eastAsia="zh-CN"/>
              </w:rPr>
              <w:t>无生产废水排放</w:t>
            </w:r>
            <w:r>
              <w:rPr>
                <w:rFonts w:hint="eastAsia"/>
                <w:color w:val="auto"/>
                <w:sz w:val="24"/>
                <w:szCs w:val="24"/>
                <w:lang w:val="en-US" w:eastAsia="zh-CN"/>
              </w:rPr>
              <w:t>，新增</w:t>
            </w:r>
            <w:r>
              <w:rPr>
                <w:rFonts w:hint="eastAsia"/>
                <w:color w:val="auto"/>
                <w:sz w:val="24"/>
                <w:szCs w:val="24"/>
              </w:rPr>
              <w:t>生活污水经化粪池处理后排入市政污水管网，对周边地表水影响不大；废气、噪声经采取相应的治理措施治理达标后排放，对周边</w:t>
            </w:r>
            <w:r>
              <w:rPr>
                <w:rFonts w:hint="eastAsia"/>
                <w:color w:val="auto"/>
                <w:sz w:val="24"/>
                <w:szCs w:val="24"/>
                <w:lang w:val="en-US" w:eastAsia="zh-CN"/>
              </w:rPr>
              <w:t>环境</w:t>
            </w:r>
            <w:r>
              <w:rPr>
                <w:rFonts w:hint="eastAsia"/>
                <w:color w:val="auto"/>
                <w:sz w:val="24"/>
                <w:szCs w:val="24"/>
              </w:rPr>
              <w:t>影响</w:t>
            </w:r>
            <w:r>
              <w:rPr>
                <w:rFonts w:hint="eastAsia"/>
                <w:color w:val="auto"/>
                <w:sz w:val="24"/>
                <w:szCs w:val="24"/>
                <w:lang w:val="en-US" w:eastAsia="zh-CN"/>
              </w:rPr>
              <w:t>较小</w:t>
            </w:r>
            <w:r>
              <w:rPr>
                <w:rFonts w:hint="eastAsia"/>
                <w:color w:val="auto"/>
                <w:sz w:val="24"/>
                <w:szCs w:val="24"/>
              </w:rPr>
              <w:t>；固体废物均能得到合理的处置，无对外环境排放。因此，本项目建设与周边环境基本相容。</w:t>
            </w:r>
          </w:p>
          <w:p w14:paraId="79C27868">
            <w:pPr>
              <w:autoSpaceDE w:val="0"/>
              <w:autoSpaceDN w:val="0"/>
              <w:adjustRightInd w:val="0"/>
              <w:snapToGrid w:val="0"/>
              <w:spacing w:line="360" w:lineRule="auto"/>
              <w:rPr>
                <w:rFonts w:hint="default" w:ascii="Times New Roman" w:hAnsi="Times New Roman" w:eastAsia="宋体" w:cs="Times New Roman"/>
                <w:b/>
                <w:bCs/>
                <w:color w:val="auto"/>
                <w:kern w:val="0"/>
                <w:sz w:val="24"/>
                <w:szCs w:val="24"/>
              </w:rPr>
            </w:pPr>
            <w:r>
              <w:rPr>
                <w:rFonts w:hint="eastAsia"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rPr>
              <w:t>、</w:t>
            </w:r>
            <w:r>
              <w:rPr>
                <w:rFonts w:hint="default" w:ascii="Times New Roman" w:hAnsi="Times New Roman" w:eastAsia="宋体" w:cs="Times New Roman"/>
                <w:b/>
                <w:bCs/>
                <w:color w:val="auto"/>
                <w:kern w:val="0"/>
                <w:sz w:val="24"/>
                <w:szCs w:val="24"/>
                <w:lang w:val="en-US" w:eastAsia="zh-CN"/>
              </w:rPr>
              <w:t>生态环境分区管控</w:t>
            </w:r>
            <w:r>
              <w:rPr>
                <w:rFonts w:hint="default" w:ascii="Times New Roman" w:hAnsi="Times New Roman" w:eastAsia="宋体" w:cs="Times New Roman"/>
                <w:b/>
                <w:bCs/>
                <w:color w:val="auto"/>
                <w:kern w:val="0"/>
                <w:sz w:val="24"/>
                <w:szCs w:val="24"/>
              </w:rPr>
              <w:t>要求符合性分析</w:t>
            </w:r>
          </w:p>
          <w:p w14:paraId="3492164F">
            <w:pPr>
              <w:spacing w:line="360" w:lineRule="auto"/>
              <w:ind w:firstLine="480" w:firstLineChars="200"/>
              <w:rPr>
                <w:color w:val="auto"/>
                <w:kern w:val="0"/>
                <w:sz w:val="24"/>
                <w:szCs w:val="24"/>
              </w:rPr>
            </w:pPr>
            <w:r>
              <w:rPr>
                <w:color w:val="auto"/>
                <w:kern w:val="0"/>
                <w:sz w:val="24"/>
                <w:szCs w:val="24"/>
              </w:rPr>
              <w:t>（1）生态保护红线符合性分析</w:t>
            </w:r>
          </w:p>
          <w:p w14:paraId="636E9729">
            <w:pPr>
              <w:pStyle w:val="3"/>
              <w:spacing w:before="0" w:after="0" w:line="360" w:lineRule="auto"/>
              <w:ind w:firstLine="480"/>
              <w:rPr>
                <w:rFonts w:eastAsia="宋体"/>
                <w:b w:val="0"/>
                <w:bCs/>
                <w:color w:val="auto"/>
                <w:sz w:val="24"/>
                <w:szCs w:val="24"/>
              </w:rPr>
            </w:pPr>
            <w:r>
              <w:rPr>
                <w:rFonts w:eastAsia="宋体"/>
                <w:b w:val="0"/>
                <w:color w:val="auto"/>
                <w:sz w:val="24"/>
                <w:szCs w:val="24"/>
              </w:rPr>
              <w:t>本项目位于</w:t>
            </w:r>
            <w:r>
              <w:rPr>
                <w:rFonts w:hint="eastAsia" w:eastAsia="宋体"/>
                <w:b w:val="0"/>
                <w:color w:val="auto"/>
                <w:sz w:val="24"/>
                <w:szCs w:val="24"/>
              </w:rPr>
              <w:t>福建（大田）机械铸造产业集聚</w:t>
            </w:r>
            <w:r>
              <w:rPr>
                <w:rFonts w:hint="default" w:ascii="Times New Roman" w:hAnsi="Times New Roman" w:eastAsia="宋体" w:cs="Times New Roman"/>
                <w:b w:val="0"/>
                <w:color w:val="auto"/>
                <w:sz w:val="24"/>
                <w:szCs w:val="24"/>
              </w:rPr>
              <w:t>区15号</w:t>
            </w:r>
            <w:r>
              <w:rPr>
                <w:rFonts w:hint="eastAsia" w:eastAsia="宋体"/>
                <w:b w:val="0"/>
                <w:color w:val="auto"/>
                <w:sz w:val="24"/>
                <w:szCs w:val="24"/>
              </w:rPr>
              <w:t>宗地</w:t>
            </w:r>
            <w:r>
              <w:rPr>
                <w:rFonts w:eastAsia="宋体"/>
                <w:b w:val="0"/>
                <w:color w:val="auto"/>
                <w:sz w:val="24"/>
                <w:szCs w:val="24"/>
              </w:rPr>
              <w:t>，</w:t>
            </w:r>
            <w:r>
              <w:rPr>
                <w:rFonts w:hint="eastAsia" w:eastAsia="宋体"/>
                <w:b w:val="0"/>
                <w:color w:val="auto"/>
                <w:sz w:val="24"/>
                <w:szCs w:val="24"/>
                <w:lang w:val="en-US" w:eastAsia="zh-CN"/>
              </w:rPr>
              <w:t>用地范围</w:t>
            </w:r>
            <w:r>
              <w:rPr>
                <w:rFonts w:eastAsia="宋体"/>
                <w:b w:val="0"/>
                <w:color w:val="auto"/>
                <w:sz w:val="24"/>
                <w:szCs w:val="24"/>
              </w:rPr>
              <w:t>不涉及国家公园、自然保护区、风景名胜区、饮用水水源地、水产种质资源保护区、森林公园、生态公益林、水源涵养地、水土流失重点预防区等禁止开发区域，符合</w:t>
            </w:r>
            <w:r>
              <w:rPr>
                <w:rFonts w:hint="eastAsia" w:eastAsia="宋体"/>
                <w:b w:val="0"/>
                <w:color w:val="auto"/>
                <w:sz w:val="24"/>
                <w:szCs w:val="24"/>
                <w:lang w:val="en-US" w:eastAsia="zh-CN"/>
              </w:rPr>
              <w:t>大田县</w:t>
            </w:r>
            <w:r>
              <w:rPr>
                <w:rFonts w:eastAsia="宋体"/>
                <w:b w:val="0"/>
                <w:color w:val="auto"/>
                <w:sz w:val="24"/>
                <w:szCs w:val="24"/>
              </w:rPr>
              <w:t>生态保护红线和生态控制线管控要求。</w:t>
            </w:r>
          </w:p>
          <w:p w14:paraId="24A9DE28">
            <w:pPr>
              <w:spacing w:line="360" w:lineRule="auto"/>
              <w:ind w:firstLine="480" w:firstLineChars="200"/>
              <w:rPr>
                <w:color w:val="auto"/>
                <w:kern w:val="0"/>
                <w:sz w:val="24"/>
                <w:szCs w:val="24"/>
              </w:rPr>
            </w:pPr>
            <w:r>
              <w:rPr>
                <w:color w:val="auto"/>
                <w:kern w:val="0"/>
                <w:sz w:val="24"/>
                <w:szCs w:val="24"/>
              </w:rPr>
              <w:t>（2）环境质量底线符合性分析</w:t>
            </w:r>
          </w:p>
          <w:p w14:paraId="1C10678D">
            <w:pPr>
              <w:spacing w:line="360" w:lineRule="auto"/>
              <w:ind w:firstLine="480" w:firstLineChars="200"/>
              <w:rPr>
                <w:rFonts w:hint="eastAsia"/>
                <w:color w:val="auto"/>
                <w:kern w:val="0"/>
                <w:sz w:val="24"/>
                <w:szCs w:val="24"/>
                <w:lang w:eastAsia="zh-CN"/>
              </w:rPr>
            </w:pPr>
            <w:r>
              <w:rPr>
                <w:rFonts w:hint="eastAsia"/>
                <w:color w:val="auto"/>
                <w:kern w:val="0"/>
                <w:sz w:val="24"/>
                <w:szCs w:val="24"/>
              </w:rPr>
              <w:t>项目所在区域的环境质量底线为：环境空气质量目标为《环境空气质量标准》 （GB3095-2012）二级，水环境质量目标为《地表水环境质量标准》(GB3838-2002)表1中Ⅲ类标准，声环境质量目标为《声环境质量标准》（GB3096-2008）3类标准。</w:t>
            </w:r>
            <w:r>
              <w:rPr>
                <w:rFonts w:hint="eastAsia"/>
                <w:color w:val="auto"/>
                <w:kern w:val="0"/>
                <w:sz w:val="24"/>
                <w:szCs w:val="24"/>
                <w:lang w:val="en-US" w:eastAsia="zh-CN"/>
              </w:rPr>
              <w:t>根据区域环境质量现状调查，项目所在区域环境空气质量符合</w:t>
            </w:r>
            <w:r>
              <w:rPr>
                <w:color w:val="auto"/>
                <w:kern w:val="0"/>
                <w:sz w:val="24"/>
                <w:szCs w:val="24"/>
              </w:rPr>
              <w:t>《环境空气质量标准》（GB3095-2012）及修改单的二级标准</w:t>
            </w:r>
            <w:r>
              <w:rPr>
                <w:rFonts w:hint="eastAsia"/>
                <w:color w:val="auto"/>
                <w:kern w:val="0"/>
                <w:sz w:val="24"/>
                <w:szCs w:val="24"/>
                <w:lang w:eastAsia="zh-CN"/>
              </w:rPr>
              <w:t>、</w:t>
            </w:r>
            <w:r>
              <w:rPr>
                <w:rFonts w:hint="eastAsia"/>
                <w:color w:val="auto"/>
                <w:kern w:val="0"/>
                <w:sz w:val="24"/>
                <w:szCs w:val="24"/>
                <w:lang w:val="en-US" w:eastAsia="zh-CN"/>
              </w:rPr>
              <w:t>地表水环境质量符合</w:t>
            </w:r>
            <w:r>
              <w:rPr>
                <w:rFonts w:hint="eastAsia"/>
                <w:color w:val="auto"/>
                <w:sz w:val="24"/>
                <w:szCs w:val="24"/>
              </w:rPr>
              <w:t>《地表水环境质量标准》（GB3838-2002）Ⅲ类标准</w:t>
            </w:r>
            <w:r>
              <w:rPr>
                <w:rFonts w:hint="eastAsia"/>
                <w:color w:val="auto"/>
                <w:sz w:val="24"/>
                <w:szCs w:val="24"/>
                <w:lang w:eastAsia="zh-CN"/>
              </w:rPr>
              <w:t>，</w:t>
            </w:r>
            <w:r>
              <w:rPr>
                <w:color w:val="auto"/>
                <w:kern w:val="0"/>
                <w:sz w:val="24"/>
                <w:szCs w:val="24"/>
              </w:rPr>
              <w:t>周边声环境符合《声环境质量标准》（GB3096-2008）中的</w:t>
            </w:r>
            <w:r>
              <w:rPr>
                <w:rFonts w:hint="eastAsia"/>
                <w:color w:val="auto"/>
                <w:kern w:val="0"/>
                <w:sz w:val="24"/>
                <w:szCs w:val="24"/>
                <w:lang w:val="en-US" w:eastAsia="zh-CN"/>
              </w:rPr>
              <w:t>3</w:t>
            </w:r>
            <w:r>
              <w:rPr>
                <w:color w:val="auto"/>
                <w:kern w:val="0"/>
                <w:sz w:val="24"/>
                <w:szCs w:val="24"/>
              </w:rPr>
              <w:t>类标准</w:t>
            </w:r>
            <w:r>
              <w:rPr>
                <w:rFonts w:hint="eastAsia"/>
                <w:color w:val="auto"/>
                <w:kern w:val="0"/>
                <w:sz w:val="24"/>
                <w:szCs w:val="24"/>
                <w:lang w:eastAsia="zh-CN"/>
              </w:rPr>
              <w:t>，</w:t>
            </w:r>
            <w:r>
              <w:rPr>
                <w:color w:val="auto"/>
                <w:kern w:val="0"/>
                <w:sz w:val="24"/>
                <w:szCs w:val="24"/>
              </w:rPr>
              <w:t>项目所在区域环境质量现状良好</w:t>
            </w:r>
            <w:r>
              <w:rPr>
                <w:rFonts w:hint="eastAsia"/>
                <w:color w:val="auto"/>
                <w:kern w:val="0"/>
                <w:sz w:val="24"/>
                <w:szCs w:val="24"/>
                <w:lang w:eastAsia="zh-CN"/>
              </w:rPr>
              <w:t>。</w:t>
            </w:r>
          </w:p>
          <w:p w14:paraId="3DA6E5EB">
            <w:pPr>
              <w:spacing w:line="360" w:lineRule="auto"/>
              <w:ind w:firstLine="480" w:firstLineChars="200"/>
              <w:rPr>
                <w:rFonts w:hint="eastAsia"/>
                <w:color w:val="auto"/>
                <w:kern w:val="0"/>
                <w:sz w:val="24"/>
                <w:szCs w:val="24"/>
                <w:lang w:eastAsia="zh-CN"/>
              </w:rPr>
            </w:pPr>
            <w:r>
              <w:rPr>
                <w:rFonts w:hint="eastAsia"/>
                <w:color w:val="auto"/>
                <w:kern w:val="0"/>
                <w:sz w:val="24"/>
                <w:szCs w:val="24"/>
                <w:lang w:eastAsia="zh-CN"/>
              </w:rPr>
              <w:t>项目生活污水</w:t>
            </w:r>
            <w:r>
              <w:rPr>
                <w:rFonts w:hint="eastAsia"/>
                <w:color w:val="auto"/>
                <w:kern w:val="0"/>
                <w:sz w:val="24"/>
                <w:szCs w:val="24"/>
                <w:lang w:val="en-US" w:eastAsia="zh-CN"/>
              </w:rPr>
              <w:t>经</w:t>
            </w:r>
            <w:r>
              <w:rPr>
                <w:rFonts w:hint="eastAsia"/>
                <w:color w:val="auto"/>
                <w:kern w:val="0"/>
                <w:sz w:val="24"/>
                <w:szCs w:val="24"/>
                <w:lang w:eastAsia="zh-CN"/>
              </w:rPr>
              <w:t>化粪池处理后排</w:t>
            </w:r>
            <w:r>
              <w:rPr>
                <w:rFonts w:hint="eastAsia"/>
                <w:color w:val="auto"/>
                <w:kern w:val="0"/>
                <w:sz w:val="24"/>
                <w:szCs w:val="24"/>
                <w:lang w:val="en-US" w:eastAsia="zh-CN"/>
              </w:rPr>
              <w:t>市政污水管网汇入园区</w:t>
            </w:r>
            <w:r>
              <w:rPr>
                <w:rFonts w:hint="eastAsia"/>
                <w:color w:val="auto"/>
                <w:kern w:val="0"/>
                <w:sz w:val="24"/>
                <w:szCs w:val="24"/>
                <w:lang w:eastAsia="zh-CN"/>
              </w:rPr>
              <w:t>污水处理厂进一步处理，</w:t>
            </w:r>
            <w:r>
              <w:rPr>
                <w:rFonts w:hint="eastAsia"/>
                <w:color w:val="auto"/>
                <w:kern w:val="0"/>
                <w:sz w:val="24"/>
                <w:szCs w:val="24"/>
                <w:lang w:val="en-US" w:eastAsia="zh-CN"/>
              </w:rPr>
              <w:t>生产废水循环使用，定期更换，更换废水回用于粘土砂造型混料用水，不外排</w:t>
            </w:r>
            <w:r>
              <w:rPr>
                <w:rFonts w:hint="eastAsia"/>
                <w:color w:val="auto"/>
                <w:kern w:val="0"/>
                <w:sz w:val="24"/>
                <w:szCs w:val="24"/>
                <w:lang w:eastAsia="zh-CN"/>
              </w:rPr>
              <w:t>；</w:t>
            </w:r>
            <w:r>
              <w:rPr>
                <w:rFonts w:hint="eastAsia"/>
                <w:color w:val="auto"/>
                <w:kern w:val="0"/>
                <w:sz w:val="24"/>
                <w:szCs w:val="24"/>
                <w:lang w:val="en-US" w:eastAsia="zh-CN"/>
              </w:rPr>
              <w:t>各废气污染源</w:t>
            </w:r>
            <w:r>
              <w:rPr>
                <w:rFonts w:hint="eastAsia"/>
                <w:color w:val="auto"/>
                <w:kern w:val="0"/>
                <w:sz w:val="24"/>
                <w:szCs w:val="24"/>
                <w:lang w:eastAsia="zh-CN"/>
              </w:rPr>
              <w:t>通过采取有效的废气收集、</w:t>
            </w:r>
            <w:r>
              <w:rPr>
                <w:rFonts w:hint="eastAsia"/>
                <w:color w:val="auto"/>
                <w:kern w:val="0"/>
                <w:sz w:val="24"/>
                <w:szCs w:val="24"/>
                <w:lang w:val="en-US" w:eastAsia="zh-CN"/>
              </w:rPr>
              <w:t>净化</w:t>
            </w:r>
            <w:r>
              <w:rPr>
                <w:rFonts w:hint="eastAsia"/>
                <w:color w:val="auto"/>
                <w:kern w:val="0"/>
                <w:sz w:val="24"/>
                <w:szCs w:val="24"/>
                <w:lang w:eastAsia="zh-CN"/>
              </w:rPr>
              <w:t>措施，减少无组织废气排放量，确保各项废气达标排放；本项目设备定期维护</w:t>
            </w:r>
            <w:r>
              <w:rPr>
                <w:rFonts w:hint="eastAsia"/>
                <w:color w:val="auto"/>
                <w:kern w:val="0"/>
                <w:sz w:val="24"/>
                <w:szCs w:val="24"/>
                <w:lang w:val="en-US" w:eastAsia="zh-CN"/>
              </w:rPr>
              <w:t>检修</w:t>
            </w:r>
            <w:r>
              <w:rPr>
                <w:rFonts w:hint="eastAsia"/>
                <w:color w:val="auto"/>
                <w:kern w:val="0"/>
                <w:sz w:val="24"/>
                <w:szCs w:val="24"/>
                <w:lang w:eastAsia="zh-CN"/>
              </w:rPr>
              <w:t>，且设备布局合理，落实各项降噪措施后，项目噪声对周围环境污染影响较小；项目各类固废妥善、合理处置，避免造成二次污染。</w:t>
            </w:r>
          </w:p>
          <w:p w14:paraId="23BC6B57">
            <w:pPr>
              <w:spacing w:line="360" w:lineRule="auto"/>
              <w:ind w:firstLine="480" w:firstLineChars="200"/>
              <w:rPr>
                <w:color w:val="auto"/>
                <w:kern w:val="0"/>
                <w:sz w:val="24"/>
                <w:szCs w:val="24"/>
              </w:rPr>
            </w:pPr>
            <w:r>
              <w:rPr>
                <w:rFonts w:hint="eastAsia"/>
                <w:color w:val="auto"/>
                <w:kern w:val="0"/>
                <w:sz w:val="24"/>
                <w:szCs w:val="24"/>
                <w:lang w:val="en-US" w:eastAsia="zh-CN"/>
              </w:rPr>
              <w:t>本项目</w:t>
            </w:r>
            <w:r>
              <w:rPr>
                <w:color w:val="auto"/>
                <w:kern w:val="0"/>
                <w:sz w:val="24"/>
                <w:szCs w:val="24"/>
              </w:rPr>
              <w:t>采取本评价提出的环保措施后，项目污染物</w:t>
            </w:r>
            <w:r>
              <w:rPr>
                <w:rFonts w:hint="eastAsia"/>
                <w:color w:val="auto"/>
                <w:kern w:val="0"/>
                <w:sz w:val="24"/>
                <w:szCs w:val="24"/>
                <w:lang w:val="en-US" w:eastAsia="zh-CN"/>
              </w:rPr>
              <w:t>均可达标排放，</w:t>
            </w:r>
            <w:r>
              <w:rPr>
                <w:color w:val="auto"/>
                <w:kern w:val="0"/>
                <w:sz w:val="24"/>
                <w:szCs w:val="24"/>
              </w:rPr>
              <w:t>不会对区域环境质量底线造成冲击。</w:t>
            </w:r>
          </w:p>
          <w:p w14:paraId="0E6EB509">
            <w:pPr>
              <w:spacing w:line="360" w:lineRule="auto"/>
              <w:ind w:firstLine="480" w:firstLineChars="200"/>
              <w:rPr>
                <w:color w:val="auto"/>
                <w:kern w:val="0"/>
                <w:sz w:val="24"/>
                <w:szCs w:val="24"/>
              </w:rPr>
            </w:pPr>
            <w:r>
              <w:rPr>
                <w:color w:val="auto"/>
                <w:kern w:val="0"/>
                <w:sz w:val="24"/>
                <w:szCs w:val="24"/>
              </w:rPr>
              <w:t>（3）资源利用上线符合性分析</w:t>
            </w:r>
          </w:p>
          <w:p w14:paraId="4823D83C">
            <w:pPr>
              <w:spacing w:line="360" w:lineRule="auto"/>
              <w:ind w:firstLine="480" w:firstLineChars="200"/>
              <w:rPr>
                <w:color w:val="auto"/>
                <w:kern w:val="0"/>
                <w:sz w:val="24"/>
                <w:szCs w:val="24"/>
              </w:rPr>
            </w:pPr>
            <w:r>
              <w:rPr>
                <w:rFonts w:hint="eastAsia"/>
                <w:color w:val="auto"/>
                <w:kern w:val="0"/>
                <w:sz w:val="24"/>
                <w:szCs w:val="24"/>
              </w:rPr>
              <w:t>本项目位于</w:t>
            </w:r>
            <w:r>
              <w:rPr>
                <w:rFonts w:hint="eastAsia" w:eastAsia="宋体"/>
                <w:b w:val="0"/>
                <w:color w:val="auto"/>
                <w:sz w:val="24"/>
                <w:szCs w:val="24"/>
              </w:rPr>
              <w:t>福建</w:t>
            </w:r>
            <w:r>
              <w:rPr>
                <w:rFonts w:hint="eastAsia"/>
                <w:b w:val="0"/>
                <w:color w:val="auto"/>
                <w:sz w:val="24"/>
                <w:szCs w:val="24"/>
                <w:lang w:val="en-US" w:eastAsia="zh-CN"/>
              </w:rPr>
              <w:t>(</w:t>
            </w:r>
            <w:r>
              <w:rPr>
                <w:rFonts w:hint="eastAsia" w:eastAsia="宋体"/>
                <w:b w:val="0"/>
                <w:color w:val="auto"/>
                <w:sz w:val="24"/>
                <w:szCs w:val="24"/>
              </w:rPr>
              <w:t>大田</w:t>
            </w:r>
            <w:r>
              <w:rPr>
                <w:rFonts w:hint="eastAsia"/>
                <w:b w:val="0"/>
                <w:color w:val="auto"/>
                <w:sz w:val="24"/>
                <w:szCs w:val="24"/>
                <w:lang w:val="en-US" w:eastAsia="zh-CN"/>
              </w:rPr>
              <w:t>)</w:t>
            </w:r>
            <w:r>
              <w:rPr>
                <w:rFonts w:hint="eastAsia" w:eastAsia="宋体"/>
                <w:b w:val="0"/>
                <w:color w:val="auto"/>
                <w:sz w:val="24"/>
                <w:szCs w:val="24"/>
              </w:rPr>
              <w:t>机械铸造产业集聚区15号宗地</w:t>
            </w:r>
            <w:r>
              <w:rPr>
                <w:rFonts w:hint="eastAsia"/>
                <w:b w:val="0"/>
                <w:color w:val="auto"/>
                <w:sz w:val="24"/>
                <w:szCs w:val="24"/>
                <w:lang w:eastAsia="zh-CN"/>
              </w:rPr>
              <w:t>，</w:t>
            </w:r>
            <w:r>
              <w:rPr>
                <w:rFonts w:hint="default" w:ascii="Times New Roman" w:hAnsi="Times New Roman" w:cs="Times New Roman"/>
                <w:b w:val="0"/>
                <w:color w:val="auto"/>
                <w:sz w:val="24"/>
                <w:szCs w:val="24"/>
                <w:lang w:val="en-US" w:eastAsia="zh-CN"/>
              </w:rPr>
              <w:t>占地面积</w:t>
            </w:r>
            <w:r>
              <w:rPr>
                <w:rFonts w:hint="default" w:ascii="Times New Roman" w:hAnsi="Times New Roman" w:cs="Times New Roman"/>
                <w:color w:val="auto"/>
                <w:sz w:val="24"/>
                <w:szCs w:val="24"/>
                <w:highlight w:val="none"/>
              </w:rPr>
              <w:t>24445.37</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选址</w:t>
            </w:r>
            <w:r>
              <w:rPr>
                <w:rFonts w:hint="default" w:ascii="Times New Roman" w:hAnsi="Times New Roman" w:cs="Times New Roman"/>
                <w:color w:val="auto"/>
                <w:kern w:val="0"/>
                <w:sz w:val="24"/>
                <w:szCs w:val="24"/>
                <w:lang w:val="en-US" w:eastAsia="zh-CN"/>
              </w:rPr>
              <w:t>位于城镇开发边界内，且</w:t>
            </w:r>
            <w:r>
              <w:rPr>
                <w:rFonts w:hint="default" w:ascii="Times New Roman" w:hAnsi="Times New Roman" w:cs="Times New Roman"/>
                <w:color w:val="auto"/>
                <w:kern w:val="0"/>
                <w:sz w:val="24"/>
                <w:szCs w:val="24"/>
              </w:rPr>
              <w:t>属于工业区</w:t>
            </w:r>
            <w:r>
              <w:rPr>
                <w:rFonts w:hint="default" w:ascii="Times New Roman" w:hAnsi="Times New Roman" w:cs="Times New Roman"/>
                <w:color w:val="auto"/>
                <w:kern w:val="0"/>
                <w:sz w:val="24"/>
                <w:szCs w:val="24"/>
                <w:lang w:val="en-US" w:eastAsia="zh-CN"/>
              </w:rPr>
              <w:t>内</w:t>
            </w:r>
            <w:r>
              <w:rPr>
                <w:rFonts w:hint="default" w:ascii="Times New Roman" w:hAnsi="Times New Roman" w:cs="Times New Roman"/>
                <w:color w:val="auto"/>
                <w:kern w:val="0"/>
                <w:sz w:val="24"/>
                <w:szCs w:val="24"/>
              </w:rPr>
              <w:t>规划</w:t>
            </w:r>
            <w:r>
              <w:rPr>
                <w:rFonts w:hint="default" w:ascii="Times New Roman" w:hAnsi="Times New Roman" w:cs="Times New Roman"/>
                <w:color w:val="auto"/>
                <w:kern w:val="0"/>
                <w:sz w:val="24"/>
                <w:szCs w:val="24"/>
                <w:lang w:val="en-US" w:eastAsia="zh-CN"/>
              </w:rPr>
              <w:t>的</w:t>
            </w:r>
            <w:r>
              <w:rPr>
                <w:rFonts w:hint="default" w:ascii="Times New Roman" w:hAnsi="Times New Roman" w:cs="Times New Roman"/>
                <w:color w:val="auto"/>
                <w:kern w:val="0"/>
                <w:sz w:val="24"/>
                <w:szCs w:val="24"/>
              </w:rPr>
              <w:t>工业用地</w:t>
            </w:r>
            <w:r>
              <w:rPr>
                <w:rFonts w:hint="default" w:ascii="Times New Roman" w:hAnsi="Times New Roman" w:cs="Times New Roman"/>
                <w:color w:val="auto"/>
                <w:kern w:val="0"/>
                <w:sz w:val="24"/>
                <w:szCs w:val="24"/>
                <w:lang w:eastAsia="zh-CN"/>
              </w:rPr>
              <w:t>，未突</w:t>
            </w:r>
            <w:r>
              <w:rPr>
                <w:rFonts w:hint="eastAsia"/>
                <w:color w:val="auto"/>
                <w:kern w:val="0"/>
                <w:sz w:val="24"/>
                <w:szCs w:val="24"/>
                <w:lang w:eastAsia="zh-CN"/>
              </w:rPr>
              <w:t>破区域土地资源利用上线</w:t>
            </w:r>
            <w:r>
              <w:rPr>
                <w:color w:val="auto"/>
                <w:kern w:val="0"/>
                <w:sz w:val="24"/>
                <w:szCs w:val="24"/>
              </w:rPr>
              <w:t>。</w:t>
            </w:r>
          </w:p>
          <w:p w14:paraId="222B57F5">
            <w:pPr>
              <w:spacing w:line="360" w:lineRule="auto"/>
              <w:ind w:firstLine="480" w:firstLineChars="200"/>
              <w:rPr>
                <w:color w:val="auto"/>
                <w:kern w:val="0"/>
                <w:sz w:val="24"/>
                <w:szCs w:val="24"/>
              </w:rPr>
            </w:pPr>
            <w:r>
              <w:rPr>
                <w:rFonts w:hint="eastAsia"/>
                <w:color w:val="auto"/>
                <w:kern w:val="0"/>
                <w:sz w:val="24"/>
                <w:szCs w:val="24"/>
                <w:lang w:val="en-US" w:eastAsia="zh-CN"/>
              </w:rPr>
              <w:t>项目使用电能、天然气等能源，均属于清洁能源，</w:t>
            </w:r>
            <w:r>
              <w:rPr>
                <w:color w:val="auto"/>
                <w:kern w:val="0"/>
                <w:sz w:val="24"/>
                <w:szCs w:val="24"/>
              </w:rPr>
              <w:t>不属于高耗能和资源消耗型企业。项目建成运营后通过内部管理、设备选择、污染治理等多方面采取合理可行的防治措施，以“节能、降耗、减污”为目标，有效</w:t>
            </w:r>
            <w:r>
              <w:rPr>
                <w:rFonts w:hint="eastAsia"/>
                <w:color w:val="auto"/>
                <w:kern w:val="0"/>
                <w:sz w:val="24"/>
                <w:szCs w:val="24"/>
                <w:lang w:val="en-US" w:eastAsia="zh-CN"/>
              </w:rPr>
              <w:t>地</w:t>
            </w:r>
            <w:r>
              <w:rPr>
                <w:color w:val="auto"/>
                <w:kern w:val="0"/>
                <w:sz w:val="24"/>
                <w:szCs w:val="24"/>
              </w:rPr>
              <w:t>控制污染，项目的水、电等资源利用不会突破区域的资源利用上线。</w:t>
            </w:r>
          </w:p>
          <w:p w14:paraId="73DA0387">
            <w:pPr>
              <w:spacing w:line="360" w:lineRule="auto"/>
              <w:ind w:firstLine="480" w:firstLineChars="200"/>
              <w:rPr>
                <w:color w:val="auto"/>
                <w:kern w:val="0"/>
                <w:sz w:val="24"/>
                <w:szCs w:val="24"/>
              </w:rPr>
            </w:pPr>
            <w:r>
              <w:rPr>
                <w:color w:val="auto"/>
                <w:kern w:val="0"/>
                <w:sz w:val="24"/>
                <w:szCs w:val="24"/>
              </w:rPr>
              <w:t>（4）与环境准入负面清单的对照</w:t>
            </w:r>
          </w:p>
          <w:p w14:paraId="0DC654B9">
            <w:pPr>
              <w:spacing w:line="360" w:lineRule="auto"/>
              <w:ind w:firstLine="480" w:firstLineChars="200"/>
              <w:rPr>
                <w:color w:val="auto"/>
                <w:kern w:val="0"/>
                <w:sz w:val="24"/>
                <w:szCs w:val="24"/>
              </w:rPr>
            </w:pPr>
            <w:r>
              <w:rPr>
                <w:color w:val="auto"/>
                <w:sz w:val="24"/>
                <w:szCs w:val="24"/>
              </w:rPr>
              <w:t>根据《</w:t>
            </w:r>
            <w:r>
              <w:rPr>
                <w:rFonts w:hint="eastAsia"/>
                <w:color w:val="auto"/>
                <w:sz w:val="24"/>
                <w:szCs w:val="24"/>
              </w:rPr>
              <w:t>三明市2023年生态环境分区管控动态更新成果</w:t>
            </w:r>
            <w:r>
              <w:rPr>
                <w:color w:val="auto"/>
                <w:sz w:val="24"/>
                <w:szCs w:val="24"/>
              </w:rPr>
              <w:t>》和福建省生态环境分区管控数据应用平台</w:t>
            </w:r>
            <w:r>
              <w:rPr>
                <w:rFonts w:hint="eastAsia"/>
                <w:color w:val="auto"/>
                <w:sz w:val="24"/>
                <w:szCs w:val="24"/>
              </w:rPr>
              <w:t>查询</w:t>
            </w:r>
            <w:r>
              <w:rPr>
                <w:color w:val="auto"/>
                <w:sz w:val="24"/>
                <w:szCs w:val="24"/>
              </w:rPr>
              <w:t>结果</w:t>
            </w:r>
            <w:r>
              <w:rPr>
                <w:rFonts w:hint="eastAsia"/>
                <w:color w:val="auto"/>
                <w:sz w:val="24"/>
                <w:szCs w:val="24"/>
              </w:rPr>
              <w:t>（见图</w:t>
            </w:r>
            <w:r>
              <w:rPr>
                <w:rFonts w:hint="eastAsia"/>
                <w:color w:val="auto"/>
                <w:sz w:val="24"/>
                <w:szCs w:val="24"/>
                <w:lang w:val="en-US" w:eastAsia="zh-CN"/>
              </w:rPr>
              <w:t>1-1、</w:t>
            </w:r>
            <w:r>
              <w:rPr>
                <w:rFonts w:hint="eastAsia"/>
                <w:color w:val="auto"/>
                <w:sz w:val="24"/>
                <w:szCs w:val="24"/>
                <w:highlight w:val="none"/>
                <w:lang w:val="en-US" w:eastAsia="zh-CN"/>
              </w:rPr>
              <w:t>附件七</w:t>
            </w:r>
            <w:r>
              <w:rPr>
                <w:rFonts w:hint="eastAsia"/>
                <w:color w:val="auto"/>
                <w:sz w:val="24"/>
                <w:szCs w:val="24"/>
              </w:rPr>
              <w:t>）</w:t>
            </w:r>
            <w:r>
              <w:rPr>
                <w:color w:val="auto"/>
                <w:sz w:val="24"/>
                <w:szCs w:val="24"/>
              </w:rPr>
              <w:t>，本项目</w:t>
            </w:r>
            <w:r>
              <w:rPr>
                <w:rFonts w:hint="eastAsia"/>
                <w:color w:val="auto"/>
                <w:sz w:val="24"/>
                <w:szCs w:val="24"/>
              </w:rPr>
              <w:t>涉及</w:t>
            </w:r>
            <w:r>
              <w:rPr>
                <w:rFonts w:hint="eastAsia"/>
                <w:color w:val="auto"/>
                <w:sz w:val="24"/>
                <w:szCs w:val="24"/>
                <w:lang w:val="en-US" w:eastAsia="zh-CN"/>
              </w:rPr>
              <w:t>1</w:t>
            </w:r>
            <w:r>
              <w:rPr>
                <w:rFonts w:hint="eastAsia"/>
                <w:color w:val="auto"/>
                <w:sz w:val="24"/>
                <w:szCs w:val="24"/>
              </w:rPr>
              <w:t>个生态环境管控单元，其中重点管控单元</w:t>
            </w:r>
            <w:r>
              <w:rPr>
                <w:rFonts w:hint="eastAsia"/>
                <w:color w:val="auto"/>
                <w:sz w:val="24"/>
                <w:szCs w:val="24"/>
                <w:lang w:val="en-US" w:eastAsia="zh-CN"/>
              </w:rPr>
              <w:t>1</w:t>
            </w:r>
            <w:r>
              <w:rPr>
                <w:rFonts w:hint="eastAsia"/>
                <w:color w:val="auto"/>
                <w:sz w:val="24"/>
                <w:szCs w:val="24"/>
              </w:rPr>
              <w:t>个</w:t>
            </w:r>
            <w:r>
              <w:rPr>
                <w:color w:val="auto"/>
                <w:sz w:val="24"/>
                <w:szCs w:val="24"/>
              </w:rPr>
              <w:t>，生态环境准入管控要求详见表</w:t>
            </w:r>
            <w:r>
              <w:rPr>
                <w:rFonts w:hint="eastAsia"/>
                <w:color w:val="auto"/>
                <w:sz w:val="24"/>
                <w:szCs w:val="24"/>
              </w:rPr>
              <w:t>1-</w:t>
            </w:r>
            <w:r>
              <w:rPr>
                <w:rFonts w:hint="eastAsia"/>
                <w:color w:val="auto"/>
                <w:sz w:val="24"/>
                <w:szCs w:val="24"/>
                <w:lang w:val="en-US" w:eastAsia="zh-CN"/>
              </w:rPr>
              <w:t>5</w:t>
            </w:r>
            <w:r>
              <w:rPr>
                <w:color w:val="auto"/>
                <w:kern w:val="0"/>
                <w:sz w:val="24"/>
                <w:szCs w:val="24"/>
              </w:rPr>
              <w:t>。</w:t>
            </w:r>
          </w:p>
          <w:p w14:paraId="0CACE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表1-</w:t>
            </w:r>
            <w:r>
              <w:rPr>
                <w:rFonts w:hint="eastAsia"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rPr>
              <w:t xml:space="preserve">  项目与生态环境准入管控要求对照表</w:t>
            </w:r>
          </w:p>
          <w:tbl>
            <w:tblPr>
              <w:tblStyle w:val="30"/>
              <w:tblW w:w="843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5"/>
              <w:gridCol w:w="714"/>
              <w:gridCol w:w="3929"/>
              <w:gridCol w:w="2888"/>
            </w:tblGrid>
            <w:tr w14:paraId="7D5CF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Align w:val="center"/>
                </w:tcPr>
                <w:p w14:paraId="605849BB">
                  <w:pPr>
                    <w:jc w:val="center"/>
                    <w:rPr>
                      <w:b/>
                      <w:color w:val="auto"/>
                      <w:sz w:val="21"/>
                      <w:szCs w:val="21"/>
                    </w:rPr>
                  </w:pPr>
                  <w:r>
                    <w:rPr>
                      <w:b/>
                      <w:color w:val="auto"/>
                      <w:sz w:val="21"/>
                      <w:szCs w:val="21"/>
                    </w:rPr>
                    <w:t>环境管控单元</w:t>
                  </w:r>
                </w:p>
              </w:tc>
              <w:tc>
                <w:tcPr>
                  <w:tcW w:w="2751" w:type="pct"/>
                  <w:gridSpan w:val="2"/>
                  <w:vAlign w:val="center"/>
                </w:tcPr>
                <w:p w14:paraId="36116586">
                  <w:pPr>
                    <w:jc w:val="center"/>
                    <w:rPr>
                      <w:b/>
                      <w:color w:val="auto"/>
                      <w:sz w:val="21"/>
                      <w:szCs w:val="21"/>
                    </w:rPr>
                  </w:pPr>
                  <w:r>
                    <w:rPr>
                      <w:b/>
                      <w:color w:val="auto"/>
                      <w:sz w:val="21"/>
                      <w:szCs w:val="21"/>
                    </w:rPr>
                    <w:t>管控要求</w:t>
                  </w:r>
                </w:p>
              </w:tc>
              <w:tc>
                <w:tcPr>
                  <w:tcW w:w="1711" w:type="pct"/>
                  <w:vAlign w:val="center"/>
                </w:tcPr>
                <w:p w14:paraId="5470904F">
                  <w:pPr>
                    <w:jc w:val="center"/>
                    <w:rPr>
                      <w:b/>
                      <w:color w:val="auto"/>
                      <w:sz w:val="21"/>
                      <w:szCs w:val="21"/>
                    </w:rPr>
                  </w:pPr>
                  <w:r>
                    <w:rPr>
                      <w:b/>
                      <w:color w:val="auto"/>
                      <w:sz w:val="21"/>
                      <w:szCs w:val="21"/>
                    </w:rPr>
                    <w:t>符合性分析</w:t>
                  </w:r>
                </w:p>
              </w:tc>
            </w:tr>
            <w:tr w14:paraId="23F25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36" w:type="pct"/>
                  <w:vMerge w:val="restart"/>
                  <w:vAlign w:val="center"/>
                </w:tcPr>
                <w:p w14:paraId="736C057E">
                  <w:pPr>
                    <w:jc w:val="center"/>
                    <w:rPr>
                      <w:rFonts w:hint="eastAsia"/>
                      <w:color w:val="auto"/>
                      <w:sz w:val="21"/>
                      <w:szCs w:val="21"/>
                    </w:rPr>
                  </w:pPr>
                  <w:r>
                    <w:rPr>
                      <w:rFonts w:hint="eastAsia"/>
                      <w:color w:val="auto"/>
                      <w:sz w:val="21"/>
                      <w:szCs w:val="21"/>
                    </w:rPr>
                    <w:t>福建大田经济开发区</w:t>
                  </w:r>
                </w:p>
                <w:p w14:paraId="4FCF5ECB">
                  <w:pPr>
                    <w:jc w:val="center"/>
                    <w:rPr>
                      <w:rFonts w:hint="eastAsia"/>
                      <w:color w:val="auto"/>
                      <w:sz w:val="21"/>
                      <w:szCs w:val="21"/>
                    </w:rPr>
                  </w:pPr>
                  <w:r>
                    <w:rPr>
                      <w:rFonts w:hint="eastAsia"/>
                      <w:color w:val="auto"/>
                      <w:sz w:val="21"/>
                      <w:szCs w:val="21"/>
                    </w:rPr>
                    <w:t>ZH35042520001</w:t>
                  </w:r>
                </w:p>
              </w:tc>
              <w:tc>
                <w:tcPr>
                  <w:tcW w:w="423" w:type="pct"/>
                  <w:vAlign w:val="center"/>
                </w:tcPr>
                <w:p w14:paraId="121BA830">
                  <w:pPr>
                    <w:widowControl/>
                    <w:adjustRightInd w:val="0"/>
                    <w:snapToGrid w:val="0"/>
                    <w:spacing w:line="240" w:lineRule="exact"/>
                    <w:jc w:val="center"/>
                    <w:rPr>
                      <w:color w:val="auto"/>
                      <w:kern w:val="0"/>
                      <w:sz w:val="21"/>
                      <w:szCs w:val="21"/>
                    </w:rPr>
                  </w:pPr>
                  <w:r>
                    <w:rPr>
                      <w:color w:val="auto"/>
                      <w:kern w:val="0"/>
                      <w:sz w:val="21"/>
                      <w:szCs w:val="21"/>
                    </w:rPr>
                    <w:t>空间布局约束</w:t>
                  </w:r>
                </w:p>
              </w:tc>
              <w:tc>
                <w:tcPr>
                  <w:tcW w:w="2328" w:type="pct"/>
                  <w:vAlign w:val="center"/>
                </w:tcPr>
                <w:p w14:paraId="5E30B70C">
                  <w:pPr>
                    <w:rPr>
                      <w:rFonts w:hint="eastAsia"/>
                      <w:color w:val="auto"/>
                      <w:vertAlign w:val="baseline"/>
                      <w:lang w:val="en-US" w:eastAsia="zh-CN"/>
                    </w:rPr>
                  </w:pPr>
                  <w:r>
                    <w:rPr>
                      <w:rFonts w:hint="eastAsia"/>
                      <w:color w:val="auto"/>
                      <w:vertAlign w:val="baseline"/>
                      <w:lang w:val="en-US" w:eastAsia="zh-CN"/>
                    </w:rPr>
                    <w:t>1.禁止新建、扩建电镀等增加重金属排放量的项目，避免重金属对均溪河流域的影响。</w:t>
                  </w:r>
                </w:p>
                <w:p w14:paraId="7D7D85C0">
                  <w:pPr>
                    <w:rPr>
                      <w:rFonts w:hint="eastAsia"/>
                      <w:color w:val="auto"/>
                      <w:vertAlign w:val="baseline"/>
                      <w:lang w:val="en-US" w:eastAsia="zh-CN"/>
                    </w:rPr>
                  </w:pPr>
                  <w:r>
                    <w:rPr>
                      <w:rFonts w:hint="eastAsia"/>
                      <w:color w:val="auto"/>
                      <w:vertAlign w:val="baseline"/>
                      <w:lang w:val="en-US" w:eastAsia="zh-CN"/>
                    </w:rPr>
                    <w:t>2.与园区规划产业不符的现有项目不得扩建，并逐步引导关停并转，对用地进行重新整合和开发。</w:t>
                  </w:r>
                </w:p>
                <w:p w14:paraId="226D4890">
                  <w:pPr>
                    <w:rPr>
                      <w:color w:val="auto"/>
                      <w:kern w:val="0"/>
                      <w:sz w:val="21"/>
                      <w:szCs w:val="21"/>
                    </w:rPr>
                  </w:pPr>
                  <w:r>
                    <w:rPr>
                      <w:rFonts w:hint="eastAsia"/>
                      <w:color w:val="auto"/>
                      <w:vertAlign w:val="baseline"/>
                      <w:lang w:val="en-US" w:eastAsia="zh-CN"/>
                    </w:rPr>
                    <w:t>3.居住用地周边禁止布局潜在废气扰民的建设项目。</w:t>
                  </w:r>
                </w:p>
              </w:tc>
              <w:tc>
                <w:tcPr>
                  <w:tcW w:w="1711" w:type="pct"/>
                  <w:vAlign w:val="center"/>
                </w:tcPr>
                <w:p w14:paraId="63A3F4C7">
                  <w:pPr>
                    <w:jc w:val="center"/>
                    <w:rPr>
                      <w:color w:val="auto"/>
                      <w:sz w:val="21"/>
                      <w:szCs w:val="21"/>
                      <w:highlight w:val="yellow"/>
                    </w:rPr>
                  </w:pPr>
                  <w:r>
                    <w:rPr>
                      <w:rFonts w:hint="default" w:ascii="Times New Roman" w:hAnsi="Times New Roman" w:cs="Times New Roman"/>
                      <w:color w:val="auto"/>
                      <w:sz w:val="21"/>
                      <w:szCs w:val="21"/>
                      <w:highlight w:val="none"/>
                      <w:lang w:eastAsia="zh-CN"/>
                    </w:rPr>
                    <w:t>本项目</w:t>
                  </w:r>
                  <w:r>
                    <w:rPr>
                      <w:rFonts w:hint="eastAsia" w:cs="Times New Roman"/>
                      <w:color w:val="auto"/>
                      <w:sz w:val="21"/>
                      <w:szCs w:val="21"/>
                      <w:highlight w:val="none"/>
                      <w:lang w:val="en-US" w:eastAsia="zh-CN"/>
                    </w:rPr>
                    <w:t>属于新建项目，主要从事精密铸件、消防产品生产，不涉及电镀工艺，不涉及重金属排放</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符合</w:t>
                  </w:r>
                  <w:r>
                    <w:rPr>
                      <w:rFonts w:hint="eastAsia" w:ascii="Times New Roman" w:hAnsi="Times New Roman" w:cs="Times New Roman"/>
                      <w:color w:val="auto"/>
                      <w:sz w:val="21"/>
                      <w:szCs w:val="21"/>
                      <w:highlight w:val="none"/>
                      <w:lang w:val="en-US" w:eastAsia="zh-CN"/>
                    </w:rPr>
                    <w:t>园区</w:t>
                  </w:r>
                  <w:r>
                    <w:rPr>
                      <w:rFonts w:hint="default" w:ascii="Times New Roman" w:hAnsi="Times New Roman" w:cs="Times New Roman"/>
                      <w:color w:val="auto"/>
                      <w:sz w:val="21"/>
                      <w:szCs w:val="21"/>
                      <w:highlight w:val="none"/>
                      <w:lang w:eastAsia="zh-CN"/>
                    </w:rPr>
                    <w:t>产业规划，项目周边以工业企业为主，</w:t>
                  </w:r>
                  <w:r>
                    <w:rPr>
                      <w:rFonts w:hint="eastAsia" w:ascii="Times New Roman" w:hAnsi="Times New Roman" w:cs="Times New Roman"/>
                      <w:color w:val="auto"/>
                      <w:sz w:val="21"/>
                      <w:szCs w:val="21"/>
                      <w:highlight w:val="none"/>
                      <w:lang w:val="en-US" w:eastAsia="zh-CN"/>
                    </w:rPr>
                    <w:t>四周</w:t>
                  </w:r>
                  <w:r>
                    <w:rPr>
                      <w:rFonts w:hint="eastAsia" w:cs="Times New Roman"/>
                      <w:color w:val="auto"/>
                      <w:sz w:val="21"/>
                      <w:szCs w:val="21"/>
                      <w:highlight w:val="none"/>
                      <w:lang w:val="en-US" w:eastAsia="zh-CN"/>
                    </w:rPr>
                    <w:t>500m范围内</w:t>
                  </w:r>
                  <w:r>
                    <w:rPr>
                      <w:rFonts w:hint="eastAsia" w:ascii="Times New Roman" w:hAnsi="Times New Roman" w:cs="Times New Roman"/>
                      <w:color w:val="auto"/>
                      <w:sz w:val="21"/>
                      <w:szCs w:val="21"/>
                      <w:highlight w:val="none"/>
                      <w:lang w:val="en-US" w:eastAsia="zh-CN"/>
                    </w:rPr>
                    <w:t>无居民区</w:t>
                  </w:r>
                  <w:r>
                    <w:rPr>
                      <w:rFonts w:hint="eastAsia" w:cs="Times New Roman"/>
                      <w:color w:val="auto"/>
                      <w:sz w:val="21"/>
                      <w:szCs w:val="21"/>
                      <w:highlight w:val="none"/>
                      <w:lang w:val="en-US" w:eastAsia="zh-CN"/>
                    </w:rPr>
                    <w:t>，周边无规划居住用地</w:t>
                  </w:r>
                  <w:r>
                    <w:rPr>
                      <w:rFonts w:hint="default" w:ascii="Times New Roman" w:hAnsi="Times New Roman" w:cs="Times New Roman"/>
                      <w:color w:val="auto"/>
                      <w:sz w:val="21"/>
                      <w:szCs w:val="21"/>
                      <w:highlight w:val="none"/>
                      <w:lang w:eastAsia="zh-CN"/>
                    </w:rPr>
                    <w:t>。</w:t>
                  </w:r>
                </w:p>
              </w:tc>
            </w:tr>
            <w:tr w14:paraId="4631A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Merge w:val="continue"/>
                  <w:vAlign w:val="center"/>
                </w:tcPr>
                <w:p w14:paraId="23072DDE">
                  <w:pPr>
                    <w:jc w:val="center"/>
                    <w:rPr>
                      <w:color w:val="auto"/>
                      <w:sz w:val="21"/>
                      <w:szCs w:val="21"/>
                    </w:rPr>
                  </w:pPr>
                </w:p>
              </w:tc>
              <w:tc>
                <w:tcPr>
                  <w:tcW w:w="423" w:type="pct"/>
                  <w:vAlign w:val="center"/>
                </w:tcPr>
                <w:p w14:paraId="6577734A">
                  <w:pPr>
                    <w:widowControl/>
                    <w:adjustRightInd w:val="0"/>
                    <w:snapToGrid w:val="0"/>
                    <w:spacing w:line="240" w:lineRule="exact"/>
                    <w:jc w:val="center"/>
                    <w:rPr>
                      <w:color w:val="auto"/>
                      <w:kern w:val="0"/>
                      <w:sz w:val="21"/>
                      <w:szCs w:val="21"/>
                    </w:rPr>
                  </w:pPr>
                  <w:r>
                    <w:rPr>
                      <w:color w:val="auto"/>
                      <w:kern w:val="0"/>
                      <w:sz w:val="21"/>
                      <w:szCs w:val="21"/>
                    </w:rPr>
                    <w:t>污染物排放管控</w:t>
                  </w:r>
                </w:p>
              </w:tc>
              <w:tc>
                <w:tcPr>
                  <w:tcW w:w="2328" w:type="pct"/>
                  <w:vAlign w:val="center"/>
                </w:tcPr>
                <w:p w14:paraId="09FEDDCB">
                  <w:pPr>
                    <w:rPr>
                      <w:rFonts w:hint="eastAsia"/>
                      <w:color w:val="auto"/>
                      <w:vertAlign w:val="baseline"/>
                      <w:lang w:val="en-US" w:eastAsia="zh-CN"/>
                    </w:rPr>
                  </w:pPr>
                  <w:r>
                    <w:rPr>
                      <w:rFonts w:hint="eastAsia"/>
                      <w:color w:val="auto"/>
                      <w:vertAlign w:val="baseline"/>
                      <w:lang w:val="en-US" w:eastAsia="zh-CN"/>
                    </w:rPr>
                    <w:t>1.新建、改建、扩建项目，新增污染物排放按照福建省排污权有偿使用和交易相关文件执行。</w:t>
                  </w:r>
                </w:p>
                <w:p w14:paraId="5D02026F">
                  <w:pPr>
                    <w:rPr>
                      <w:rFonts w:hint="eastAsia"/>
                      <w:color w:val="auto"/>
                      <w:vertAlign w:val="baseline"/>
                      <w:lang w:val="en-US" w:eastAsia="zh-CN"/>
                    </w:rPr>
                  </w:pPr>
                  <w:r>
                    <w:rPr>
                      <w:rFonts w:hint="eastAsia"/>
                      <w:color w:val="auto"/>
                      <w:vertAlign w:val="baseline"/>
                      <w:lang w:val="en-US" w:eastAsia="zh-CN"/>
                    </w:rPr>
                    <w:t>2.新建涉VOCs项目，VOCs排放按照福建省相关政策要求落实。</w:t>
                  </w:r>
                </w:p>
                <w:p w14:paraId="0A91143E">
                  <w:pPr>
                    <w:rPr>
                      <w:color w:val="auto"/>
                      <w:kern w:val="0"/>
                      <w:sz w:val="21"/>
                      <w:szCs w:val="21"/>
                    </w:rPr>
                  </w:pPr>
                  <w:r>
                    <w:rPr>
                      <w:rFonts w:hint="eastAsia"/>
                      <w:color w:val="auto"/>
                      <w:vertAlign w:val="baseline"/>
                      <w:lang w:val="en-US" w:eastAsia="zh-CN"/>
                    </w:rPr>
                    <w:t>3.京口工业园加快推进“污水零直排区”建设。</w:t>
                  </w:r>
                </w:p>
              </w:tc>
              <w:tc>
                <w:tcPr>
                  <w:tcW w:w="1711" w:type="pct"/>
                  <w:vAlign w:val="center"/>
                </w:tcPr>
                <w:p w14:paraId="2BB47D25">
                  <w:pPr>
                    <w:jc w:val="center"/>
                    <w:rPr>
                      <w:rFonts w:hint="eastAsia"/>
                      <w:color w:val="auto"/>
                      <w:sz w:val="21"/>
                      <w:szCs w:val="21"/>
                      <w:highlight w:val="none"/>
                      <w:lang w:val="en-US" w:eastAsia="zh-CN"/>
                    </w:rPr>
                  </w:pPr>
                  <w:r>
                    <w:rPr>
                      <w:rFonts w:hint="eastAsia"/>
                      <w:color w:val="auto"/>
                      <w:sz w:val="21"/>
                      <w:szCs w:val="21"/>
                      <w:highlight w:val="none"/>
                      <w:lang w:val="en-US" w:eastAsia="zh-CN"/>
                    </w:rPr>
                    <w:t>本项目新增二氧化硫0.372t/a、氮氧化物3.479t/a，排放将按相关要求交易取得排污权；项目VOCs排放总量为4.130t/a（其中有组织2.648t/a、无组织1.481t/a），大于0.5t/a，投产前将按要求向主管部门提出申请调剂。</w:t>
                  </w:r>
                </w:p>
                <w:p w14:paraId="711B012D">
                  <w:pPr>
                    <w:jc w:val="center"/>
                    <w:rPr>
                      <w:rFonts w:hint="default"/>
                      <w:color w:val="auto"/>
                      <w:sz w:val="21"/>
                      <w:szCs w:val="21"/>
                      <w:highlight w:val="yellow"/>
                      <w:lang w:val="en-US" w:eastAsia="zh-CN"/>
                    </w:rPr>
                  </w:pPr>
                  <w:r>
                    <w:rPr>
                      <w:rFonts w:hint="eastAsia"/>
                      <w:color w:val="auto"/>
                      <w:sz w:val="21"/>
                      <w:szCs w:val="21"/>
                      <w:highlight w:val="none"/>
                      <w:lang w:val="en-US" w:eastAsia="zh-CN"/>
                    </w:rPr>
                    <w:t>本项目无生产废水排放，生活污水排入园区污水处理厂。</w:t>
                  </w:r>
                </w:p>
              </w:tc>
            </w:tr>
            <w:tr w14:paraId="40ADF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36" w:type="pct"/>
                  <w:vMerge w:val="continue"/>
                  <w:vAlign w:val="center"/>
                </w:tcPr>
                <w:p w14:paraId="7AE10A15">
                  <w:pPr>
                    <w:jc w:val="center"/>
                    <w:rPr>
                      <w:color w:val="auto"/>
                      <w:sz w:val="21"/>
                      <w:szCs w:val="21"/>
                    </w:rPr>
                  </w:pPr>
                </w:p>
              </w:tc>
              <w:tc>
                <w:tcPr>
                  <w:tcW w:w="423" w:type="pct"/>
                  <w:vAlign w:val="center"/>
                </w:tcPr>
                <w:p w14:paraId="264CBCF8">
                  <w:pPr>
                    <w:widowControl/>
                    <w:adjustRightInd w:val="0"/>
                    <w:snapToGrid w:val="0"/>
                    <w:spacing w:line="240" w:lineRule="exact"/>
                    <w:jc w:val="center"/>
                    <w:rPr>
                      <w:color w:val="auto"/>
                      <w:kern w:val="0"/>
                      <w:sz w:val="21"/>
                      <w:szCs w:val="21"/>
                    </w:rPr>
                  </w:pPr>
                  <w:r>
                    <w:rPr>
                      <w:color w:val="auto"/>
                      <w:kern w:val="0"/>
                      <w:sz w:val="21"/>
                      <w:szCs w:val="21"/>
                    </w:rPr>
                    <w:t>环境风险防控</w:t>
                  </w:r>
                </w:p>
              </w:tc>
              <w:tc>
                <w:tcPr>
                  <w:tcW w:w="2328" w:type="pct"/>
                  <w:vAlign w:val="center"/>
                </w:tcPr>
                <w:p w14:paraId="5040C1CC">
                  <w:pPr>
                    <w:rPr>
                      <w:rFonts w:hint="eastAsia"/>
                      <w:color w:val="auto"/>
                      <w:vertAlign w:val="baseline"/>
                      <w:lang w:val="en-US" w:eastAsia="zh-CN"/>
                    </w:rPr>
                  </w:pPr>
                  <w:r>
                    <w:rPr>
                      <w:rFonts w:hint="eastAsia"/>
                      <w:color w:val="auto"/>
                      <w:vertAlign w:val="baseline"/>
                      <w:lang w:val="en-US" w:eastAsia="zh-CN"/>
                    </w:rPr>
                    <w:t>1.建立健全环境风险防控体系，制定突发环境事件应急预案，建设事故应急池，成立应急组织机构，防止在处理安全生产事故过程中产生的可能严重污染水体的消防废水、废液直接排入水体。</w:t>
                  </w:r>
                </w:p>
                <w:p w14:paraId="3D6A614D">
                  <w:pPr>
                    <w:rPr>
                      <w:color w:val="auto"/>
                      <w:kern w:val="0"/>
                      <w:sz w:val="21"/>
                      <w:szCs w:val="21"/>
                    </w:rPr>
                  </w:pPr>
                  <w:r>
                    <w:rPr>
                      <w:rFonts w:hint="eastAsia"/>
                      <w:color w:val="auto"/>
                      <w:vertAlign w:val="baseline"/>
                      <w:lang w:val="en-US" w:eastAsia="zh-CN"/>
                    </w:rPr>
                    <w:t>2.应采取有效措施防止园区建设对区域地下水、土壤造成污染。</w:t>
                  </w:r>
                </w:p>
              </w:tc>
              <w:tc>
                <w:tcPr>
                  <w:tcW w:w="1711" w:type="pct"/>
                  <w:vAlign w:val="center"/>
                </w:tcPr>
                <w:p w14:paraId="62B479B5">
                  <w:pPr>
                    <w:jc w:val="center"/>
                    <w:rPr>
                      <w:rFonts w:hint="default" w:eastAsia="宋体"/>
                      <w:color w:val="auto"/>
                      <w:sz w:val="21"/>
                      <w:szCs w:val="21"/>
                      <w:highlight w:val="yellow"/>
                      <w:lang w:val="en-US" w:eastAsia="zh-CN"/>
                    </w:rPr>
                  </w:pPr>
                  <w:r>
                    <w:rPr>
                      <w:rFonts w:hint="eastAsia"/>
                      <w:color w:val="auto"/>
                      <w:sz w:val="21"/>
                      <w:szCs w:val="21"/>
                      <w:highlight w:val="none"/>
                      <w:lang w:val="en-US" w:eastAsia="zh-CN"/>
                    </w:rPr>
                    <w:t>本项目涉及的环境风险物质存储量均小于临界量，环境风险较低，采取相应的环境风险防范措施后环境风险可防可控。项目按要求进行分区防渗，可有效防止对土壤、地下水污染。</w:t>
                  </w:r>
                </w:p>
              </w:tc>
            </w:tr>
            <w:tr w14:paraId="48C4C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6" w:type="pct"/>
                  <w:vMerge w:val="continue"/>
                  <w:vAlign w:val="center"/>
                </w:tcPr>
                <w:p w14:paraId="6C08CA7E">
                  <w:pPr>
                    <w:jc w:val="center"/>
                    <w:rPr>
                      <w:color w:val="auto"/>
                      <w:sz w:val="21"/>
                      <w:szCs w:val="21"/>
                    </w:rPr>
                  </w:pPr>
                </w:p>
              </w:tc>
              <w:tc>
                <w:tcPr>
                  <w:tcW w:w="423" w:type="pct"/>
                  <w:vAlign w:val="center"/>
                </w:tcPr>
                <w:p w14:paraId="284D2A80">
                  <w:pPr>
                    <w:widowControl/>
                    <w:adjustRightInd w:val="0"/>
                    <w:snapToGrid w:val="0"/>
                    <w:spacing w:line="240" w:lineRule="exact"/>
                    <w:jc w:val="center"/>
                    <w:rPr>
                      <w:color w:val="auto"/>
                      <w:kern w:val="0"/>
                      <w:sz w:val="21"/>
                      <w:szCs w:val="21"/>
                    </w:rPr>
                  </w:pPr>
                  <w:r>
                    <w:rPr>
                      <w:color w:val="auto"/>
                      <w:kern w:val="0"/>
                      <w:sz w:val="21"/>
                      <w:szCs w:val="21"/>
                    </w:rPr>
                    <w:t>资源开发效率要求</w:t>
                  </w:r>
                </w:p>
              </w:tc>
              <w:tc>
                <w:tcPr>
                  <w:tcW w:w="2328" w:type="pct"/>
                  <w:vAlign w:val="center"/>
                </w:tcPr>
                <w:p w14:paraId="33644B8A">
                  <w:pPr>
                    <w:adjustRightInd w:val="0"/>
                    <w:snapToGrid w:val="0"/>
                    <w:spacing w:line="240" w:lineRule="exact"/>
                    <w:rPr>
                      <w:color w:val="auto"/>
                      <w:kern w:val="0"/>
                      <w:sz w:val="21"/>
                      <w:szCs w:val="21"/>
                    </w:rPr>
                  </w:pPr>
                  <w:r>
                    <w:rPr>
                      <w:rFonts w:hint="eastAsia"/>
                      <w:color w:val="auto"/>
                      <w:vertAlign w:val="baseline"/>
                      <w:lang w:val="en-US" w:eastAsia="zh-CN"/>
                    </w:rPr>
                    <w:t>集中供热管网覆盖范围内禁止新建、扩建分散燃煤、燃油等供热锅炉；对于集中供热难以覆盖、无法满足供汽、确需新建的锅炉，应使用清洁能源或达到相应排放要求。</w:t>
                  </w:r>
                </w:p>
              </w:tc>
              <w:tc>
                <w:tcPr>
                  <w:tcW w:w="1711" w:type="pct"/>
                  <w:vAlign w:val="center"/>
                </w:tcPr>
                <w:p w14:paraId="29B2BB36">
                  <w:pPr>
                    <w:jc w:val="center"/>
                    <w:rPr>
                      <w:rFonts w:hint="default" w:eastAsia="宋体"/>
                      <w:color w:val="auto"/>
                      <w:sz w:val="21"/>
                      <w:szCs w:val="21"/>
                      <w:lang w:val="en-US" w:eastAsia="zh-CN"/>
                    </w:rPr>
                  </w:pPr>
                  <w:r>
                    <w:rPr>
                      <w:rFonts w:hint="eastAsia"/>
                      <w:color w:val="auto"/>
                      <w:sz w:val="21"/>
                      <w:szCs w:val="21"/>
                      <w:lang w:val="en-US" w:eastAsia="zh-CN"/>
                    </w:rPr>
                    <w:t>本项目所在园区暂无集中供热，运营过程使用市政供电和天然气为燃料，属于清洁能源，不涉及高污染燃料使用。</w:t>
                  </w:r>
                </w:p>
              </w:tc>
            </w:tr>
          </w:tbl>
          <w:p w14:paraId="77F86583">
            <w:pPr>
              <w:spacing w:before="120" w:beforeLines="50" w:line="360" w:lineRule="auto"/>
              <w:ind w:firstLine="480" w:firstLineChars="200"/>
              <w:rPr>
                <w:color w:val="auto"/>
                <w:kern w:val="0"/>
                <w:sz w:val="24"/>
                <w:szCs w:val="24"/>
              </w:rPr>
            </w:pPr>
            <w:r>
              <w:rPr>
                <w:rFonts w:hint="eastAsia"/>
                <w:color w:val="auto"/>
                <w:kern w:val="0"/>
                <w:sz w:val="24"/>
                <w:szCs w:val="24"/>
                <w:lang w:val="en-US" w:eastAsia="zh-CN"/>
              </w:rPr>
              <w:t>综上所述</w:t>
            </w:r>
            <w:r>
              <w:rPr>
                <w:color w:val="auto"/>
                <w:kern w:val="0"/>
                <w:sz w:val="24"/>
                <w:szCs w:val="24"/>
              </w:rPr>
              <w:t>，本项目建设符合</w:t>
            </w:r>
            <w:r>
              <w:rPr>
                <w:rFonts w:hint="eastAsia"/>
                <w:color w:val="auto"/>
                <w:sz w:val="24"/>
                <w:szCs w:val="24"/>
                <w:lang w:val="en-US" w:eastAsia="zh-CN"/>
              </w:rPr>
              <w:t>三明市</w:t>
            </w:r>
            <w:r>
              <w:rPr>
                <w:color w:val="auto"/>
                <w:sz w:val="24"/>
                <w:szCs w:val="24"/>
              </w:rPr>
              <w:t>生态环境分区管控方案要求</w:t>
            </w:r>
            <w:r>
              <w:rPr>
                <w:color w:val="auto"/>
                <w:kern w:val="0"/>
                <w:sz w:val="24"/>
                <w:szCs w:val="24"/>
              </w:rPr>
              <w:t>。</w:t>
            </w:r>
          </w:p>
          <w:p w14:paraId="3DC57BC3">
            <w:pPr>
              <w:spacing w:line="360" w:lineRule="auto"/>
              <w:rPr>
                <w:color w:val="auto"/>
                <w:sz w:val="24"/>
                <w:szCs w:val="24"/>
              </w:rPr>
            </w:pPr>
            <w:r>
              <w:rPr>
                <w:color w:val="auto"/>
              </w:rPr>
              <w:drawing>
                <wp:inline distT="0" distB="0" distL="114300" distR="114300">
                  <wp:extent cx="5240020" cy="3210560"/>
                  <wp:effectExtent l="0" t="0" r="17780" b="8890"/>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
                          <pic:cNvPicPr>
                            <a:picLocks noChangeAspect="1"/>
                          </pic:cNvPicPr>
                        </pic:nvPicPr>
                        <pic:blipFill>
                          <a:blip r:embed="rId10"/>
                          <a:stretch>
                            <a:fillRect/>
                          </a:stretch>
                        </pic:blipFill>
                        <pic:spPr>
                          <a:xfrm>
                            <a:off x="0" y="0"/>
                            <a:ext cx="5240020" cy="3210560"/>
                          </a:xfrm>
                          <a:prstGeom prst="rect">
                            <a:avLst/>
                          </a:prstGeom>
                          <a:noFill/>
                          <a:ln>
                            <a:noFill/>
                          </a:ln>
                        </pic:spPr>
                      </pic:pic>
                    </a:graphicData>
                  </a:graphic>
                </wp:inline>
              </w:drawing>
            </w:r>
          </w:p>
          <w:p w14:paraId="38E94AA5">
            <w:pPr>
              <w:spacing w:line="360" w:lineRule="auto"/>
              <w:jc w:val="center"/>
              <w:rPr>
                <w:rFonts w:hint="eastAsia"/>
                <w:b/>
                <w:bCs/>
                <w:color w:val="auto"/>
                <w:sz w:val="24"/>
                <w:szCs w:val="24"/>
                <w:lang w:val="en-US" w:eastAsia="zh-CN"/>
              </w:rPr>
            </w:pPr>
            <w:r>
              <w:rPr>
                <w:rFonts w:hint="eastAsia"/>
                <w:b/>
                <w:bCs/>
                <w:color w:val="auto"/>
                <w:sz w:val="24"/>
                <w:szCs w:val="24"/>
                <w:lang w:val="en-US" w:eastAsia="zh-CN"/>
              </w:rPr>
              <w:t>图1-1  福建省生态环境分区管控数据应用平台查询截图</w:t>
            </w:r>
          </w:p>
          <w:p w14:paraId="4F103471">
            <w:pPr>
              <w:autoSpaceDE w:val="0"/>
              <w:autoSpaceDN w:val="0"/>
              <w:adjustRightInd w:val="0"/>
              <w:snapToGrid w:val="0"/>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4、与国家铸造行业相关政策符合性分析</w:t>
            </w:r>
          </w:p>
          <w:p w14:paraId="0CD6D49D">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（1）与“</w:t>
            </w:r>
            <w:r>
              <w:rPr>
                <w:rFonts w:hint="default" w:ascii="Times New Roman" w:hAnsi="Times New Roman" w:eastAsia="宋体" w:cs="Times New Roman"/>
                <w:color w:val="auto"/>
                <w:kern w:val="0"/>
                <w:sz w:val="24"/>
                <w:szCs w:val="24"/>
                <w:lang w:val="en-US" w:eastAsia="zh-CN"/>
              </w:rPr>
              <w:t>工信部联通装〔2023〕40号</w:t>
            </w:r>
            <w:r>
              <w:rPr>
                <w:rFonts w:hint="eastAsia" w:cs="Times New Roman"/>
                <w:color w:val="auto"/>
                <w:kern w:val="0"/>
                <w:sz w:val="24"/>
                <w:szCs w:val="24"/>
                <w:lang w:val="en-US" w:eastAsia="zh-CN"/>
              </w:rPr>
              <w:t>”符合性分析</w:t>
            </w:r>
          </w:p>
          <w:p w14:paraId="47B44A97">
            <w:pPr>
              <w:autoSpaceDE w:val="0"/>
              <w:autoSpaceDN w:val="0"/>
              <w:adjustRightInd w:val="0"/>
              <w:snapToGrid w:val="0"/>
              <w:spacing w:line="360" w:lineRule="auto"/>
              <w:ind w:firstLine="480" w:firstLineChars="200"/>
              <w:rPr>
                <w:rFonts w:hint="default"/>
                <w:color w:val="auto"/>
                <w:lang w:val="en-US" w:eastAsia="zh-CN"/>
              </w:rPr>
            </w:pPr>
            <w:r>
              <w:rPr>
                <w:rFonts w:hint="default" w:ascii="Times New Roman" w:hAnsi="Times New Roman" w:eastAsia="宋体" w:cs="Times New Roman"/>
                <w:color w:val="auto"/>
                <w:kern w:val="0"/>
                <w:sz w:val="24"/>
                <w:szCs w:val="24"/>
                <w:lang w:val="en-US" w:eastAsia="zh-CN"/>
              </w:rPr>
              <w:t>经对照分析，本项目符合《工业和信息化部 国家发展和改革委员会 生态环境部关于推动铸造和锻压行业高质量发展的指导意见》（工信部联通装〔2023〕40号）的相关要求，相关符合性分析如下：</w:t>
            </w:r>
          </w:p>
          <w:p w14:paraId="256FD77E">
            <w:pPr>
              <w:pStyle w:val="18"/>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rPr>
                <w:rFonts w:hint="eastAsia"/>
                <w:b/>
                <w:bCs/>
                <w:color w:val="auto"/>
                <w:sz w:val="24"/>
                <w:szCs w:val="24"/>
                <w:highlight w:val="none"/>
                <w:lang w:eastAsia="zh-CN"/>
              </w:rPr>
            </w:pPr>
            <w:r>
              <w:rPr>
                <w:rFonts w:hint="eastAsia"/>
                <w:b/>
                <w:bCs/>
                <w:color w:val="auto"/>
                <w:sz w:val="24"/>
                <w:szCs w:val="24"/>
                <w:highlight w:val="none"/>
                <w:lang w:eastAsia="zh-CN"/>
              </w:rPr>
              <w:t>表</w:t>
            </w:r>
            <w:r>
              <w:rPr>
                <w:rFonts w:hint="eastAsia"/>
                <w:b/>
                <w:bCs/>
                <w:color w:val="auto"/>
                <w:sz w:val="24"/>
                <w:szCs w:val="24"/>
                <w:highlight w:val="none"/>
                <w:lang w:val="en-US" w:eastAsia="zh-CN"/>
              </w:rPr>
              <w:t xml:space="preserve">1-6  </w:t>
            </w:r>
            <w:r>
              <w:rPr>
                <w:rFonts w:hint="eastAsia"/>
                <w:b/>
                <w:bCs/>
                <w:color w:val="auto"/>
                <w:sz w:val="24"/>
                <w:szCs w:val="24"/>
                <w:highlight w:val="none"/>
                <w:lang w:eastAsia="zh-CN"/>
              </w:rPr>
              <w:t>项目与（工信部联通装〔2023〕40号）的符合性分析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3"/>
              <w:gridCol w:w="5057"/>
              <w:gridCol w:w="2138"/>
              <w:gridCol w:w="936"/>
            </w:tblGrid>
            <w:tr w14:paraId="549E22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vAlign w:val="center"/>
                </w:tcPr>
                <w:p w14:paraId="0D18B0A7">
                  <w:pPr>
                    <w:adjustRightInd w:val="0"/>
                    <w:snapToGrid w:val="0"/>
                    <w:spacing w:line="0" w:lineRule="atLeast"/>
                    <w:ind w:left="-105" w:leftChars="-50" w:right="-105" w:rightChars="-50"/>
                    <w:jc w:val="center"/>
                    <w:rPr>
                      <w:rFonts w:hint="eastAsia" w:eastAsia="宋体"/>
                      <w:b/>
                      <w:bCs/>
                      <w:color w:val="auto"/>
                      <w:sz w:val="21"/>
                      <w:szCs w:val="21"/>
                      <w:lang w:val="en-US" w:eastAsia="zh-CN"/>
                    </w:rPr>
                  </w:pPr>
                  <w:r>
                    <w:rPr>
                      <w:rFonts w:hint="eastAsia"/>
                      <w:b/>
                      <w:bCs/>
                      <w:color w:val="auto"/>
                      <w:sz w:val="21"/>
                      <w:szCs w:val="21"/>
                      <w:lang w:val="en-US" w:eastAsia="zh-CN"/>
                    </w:rPr>
                    <w:t>序号</w:t>
                  </w:r>
                </w:p>
              </w:tc>
              <w:tc>
                <w:tcPr>
                  <w:tcW w:w="2938" w:type="pct"/>
                  <w:vAlign w:val="center"/>
                </w:tcPr>
                <w:p w14:paraId="080322A6">
                  <w:pPr>
                    <w:spacing w:line="0" w:lineRule="atLeast"/>
                    <w:jc w:val="center"/>
                    <w:rPr>
                      <w:b/>
                      <w:bCs/>
                      <w:color w:val="auto"/>
                      <w:sz w:val="21"/>
                      <w:szCs w:val="21"/>
                    </w:rPr>
                  </w:pPr>
                  <w:r>
                    <w:rPr>
                      <w:b/>
                      <w:bCs/>
                      <w:color w:val="auto"/>
                      <w:sz w:val="21"/>
                      <w:szCs w:val="21"/>
                    </w:rPr>
                    <w:t>要求</w:t>
                  </w:r>
                </w:p>
              </w:tc>
              <w:tc>
                <w:tcPr>
                  <w:tcW w:w="1242" w:type="pct"/>
                  <w:vAlign w:val="center"/>
                </w:tcPr>
                <w:p w14:paraId="631BF706">
                  <w:pPr>
                    <w:spacing w:line="0" w:lineRule="atLeast"/>
                    <w:jc w:val="center"/>
                    <w:rPr>
                      <w:b/>
                      <w:bCs/>
                      <w:color w:val="auto"/>
                      <w:sz w:val="21"/>
                      <w:szCs w:val="21"/>
                    </w:rPr>
                  </w:pPr>
                  <w:r>
                    <w:rPr>
                      <w:b/>
                      <w:bCs/>
                      <w:color w:val="auto"/>
                      <w:sz w:val="21"/>
                      <w:szCs w:val="21"/>
                    </w:rPr>
                    <w:t>本项目</w:t>
                  </w:r>
                </w:p>
              </w:tc>
              <w:tc>
                <w:tcPr>
                  <w:tcW w:w="544" w:type="pct"/>
                  <w:vAlign w:val="center"/>
                </w:tcPr>
                <w:p w14:paraId="4EF96041">
                  <w:pPr>
                    <w:spacing w:line="0" w:lineRule="atLeast"/>
                    <w:jc w:val="center"/>
                    <w:rPr>
                      <w:b/>
                      <w:bCs/>
                      <w:color w:val="auto"/>
                      <w:sz w:val="21"/>
                      <w:szCs w:val="21"/>
                    </w:rPr>
                  </w:pPr>
                  <w:r>
                    <w:rPr>
                      <w:b/>
                      <w:bCs/>
                      <w:color w:val="auto"/>
                      <w:sz w:val="21"/>
                      <w:szCs w:val="21"/>
                    </w:rPr>
                    <w:t>符合性</w:t>
                  </w:r>
                </w:p>
              </w:tc>
            </w:tr>
            <w:tr w14:paraId="483529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vAlign w:val="center"/>
                </w:tcPr>
                <w:p w14:paraId="1AEB3284">
                  <w:pPr>
                    <w:adjustRightInd w:val="0"/>
                    <w:snapToGrid w:val="0"/>
                    <w:spacing w:line="0" w:lineRule="atLeast"/>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1</w:t>
                  </w:r>
                </w:p>
              </w:tc>
              <w:tc>
                <w:tcPr>
                  <w:tcW w:w="2938" w:type="pct"/>
                  <w:vAlign w:val="center"/>
                </w:tcPr>
                <w:p w14:paraId="0EC8FA86">
                  <w:pPr>
                    <w:spacing w:line="0" w:lineRule="atLeast"/>
                    <w:rPr>
                      <w:color w:val="auto"/>
                      <w:sz w:val="21"/>
                      <w:szCs w:val="21"/>
                    </w:rPr>
                  </w:pPr>
                  <w:r>
                    <w:rPr>
                      <w:rFonts w:hint="eastAsia"/>
                      <w:color w:val="auto"/>
                      <w:sz w:val="21"/>
                      <w:szCs w:val="21"/>
                    </w:rPr>
                    <w:t>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w:t>
                  </w:r>
                </w:p>
              </w:tc>
              <w:tc>
                <w:tcPr>
                  <w:tcW w:w="1242" w:type="pct"/>
                  <w:vAlign w:val="center"/>
                </w:tcPr>
                <w:p w14:paraId="40097DF2">
                  <w:pPr>
                    <w:spacing w:line="0" w:lineRule="atLeast"/>
                    <w:rPr>
                      <w:color w:val="auto"/>
                      <w:sz w:val="21"/>
                      <w:szCs w:val="21"/>
                    </w:rPr>
                  </w:pPr>
                  <w:r>
                    <w:rPr>
                      <w:rFonts w:hint="eastAsia"/>
                      <w:color w:val="auto"/>
                      <w:sz w:val="21"/>
                      <w:szCs w:val="21"/>
                    </w:rPr>
                    <w:t>项目</w:t>
                  </w:r>
                  <w:r>
                    <w:rPr>
                      <w:rFonts w:hint="eastAsia"/>
                      <w:color w:val="auto"/>
                      <w:sz w:val="21"/>
                      <w:szCs w:val="21"/>
                      <w:lang w:val="en-US" w:eastAsia="zh-CN"/>
                    </w:rPr>
                    <w:t>铸件采用</w:t>
                  </w:r>
                  <w:r>
                    <w:rPr>
                      <w:rFonts w:hint="eastAsia"/>
                      <w:color w:val="auto"/>
                      <w:sz w:val="21"/>
                      <w:szCs w:val="21"/>
                    </w:rPr>
                    <w:t>树脂砂工艺</w:t>
                  </w:r>
                  <w:r>
                    <w:rPr>
                      <w:rFonts w:hint="eastAsia"/>
                      <w:color w:val="auto"/>
                      <w:sz w:val="21"/>
                      <w:szCs w:val="21"/>
                      <w:lang w:eastAsia="zh-CN"/>
                    </w:rPr>
                    <w:t>、</w:t>
                  </w:r>
                  <w:r>
                    <w:rPr>
                      <w:rFonts w:hint="eastAsia"/>
                      <w:color w:val="auto"/>
                      <w:sz w:val="21"/>
                      <w:szCs w:val="21"/>
                      <w:lang w:val="en-US" w:eastAsia="zh-CN"/>
                    </w:rPr>
                    <w:t>粘土砂工艺、硅溶胶熔模铸造工艺</w:t>
                  </w:r>
                  <w:r>
                    <w:rPr>
                      <w:rFonts w:hint="eastAsia"/>
                      <w:color w:val="auto"/>
                      <w:sz w:val="21"/>
                      <w:szCs w:val="21"/>
                    </w:rPr>
                    <w:t>，属于先进的铸造工艺与装备。</w:t>
                  </w:r>
                </w:p>
              </w:tc>
              <w:tc>
                <w:tcPr>
                  <w:tcW w:w="544" w:type="pct"/>
                  <w:vAlign w:val="center"/>
                </w:tcPr>
                <w:p w14:paraId="7E357045">
                  <w:pPr>
                    <w:spacing w:line="0" w:lineRule="atLeast"/>
                    <w:jc w:val="center"/>
                    <w:rPr>
                      <w:color w:val="auto"/>
                      <w:sz w:val="21"/>
                      <w:szCs w:val="21"/>
                    </w:rPr>
                  </w:pPr>
                  <w:r>
                    <w:rPr>
                      <w:color w:val="auto"/>
                      <w:sz w:val="21"/>
                      <w:szCs w:val="21"/>
                    </w:rPr>
                    <w:t>符合</w:t>
                  </w:r>
                </w:p>
              </w:tc>
            </w:tr>
            <w:tr w14:paraId="5E31A7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vAlign w:val="center"/>
                </w:tcPr>
                <w:p w14:paraId="285DB912">
                  <w:pPr>
                    <w:adjustRightInd w:val="0"/>
                    <w:snapToGrid w:val="0"/>
                    <w:spacing w:line="0" w:lineRule="atLeast"/>
                    <w:ind w:left="-105" w:leftChars="-50" w:right="-105" w:rightChars="-50"/>
                    <w:jc w:val="center"/>
                    <w:rPr>
                      <w:rFonts w:hint="eastAsia" w:eastAsia="宋体"/>
                      <w:color w:val="auto"/>
                      <w:sz w:val="21"/>
                      <w:szCs w:val="21"/>
                      <w:lang w:val="en-US" w:eastAsia="zh-CN"/>
                    </w:rPr>
                  </w:pPr>
                  <w:r>
                    <w:rPr>
                      <w:rFonts w:hint="eastAsia"/>
                      <w:color w:val="auto"/>
                      <w:sz w:val="21"/>
                      <w:szCs w:val="21"/>
                      <w:lang w:val="en-US" w:eastAsia="zh-CN"/>
                    </w:rPr>
                    <w:t>2</w:t>
                  </w:r>
                </w:p>
              </w:tc>
              <w:tc>
                <w:tcPr>
                  <w:tcW w:w="2938" w:type="pct"/>
                  <w:vAlign w:val="center"/>
                </w:tcPr>
                <w:p w14:paraId="78FD130F">
                  <w:pPr>
                    <w:spacing w:line="0" w:lineRule="atLeast"/>
                    <w:rPr>
                      <w:rFonts w:hint="default"/>
                      <w:color w:val="auto"/>
                      <w:sz w:val="21"/>
                      <w:szCs w:val="21"/>
                      <w:lang w:val="en-US"/>
                    </w:rPr>
                  </w:pPr>
                  <w:r>
                    <w:rPr>
                      <w:rFonts w:hint="default"/>
                      <w:color w:val="auto"/>
                      <w:sz w:val="21"/>
                      <w:szCs w:val="21"/>
                      <w:lang w:val="en-US"/>
                    </w:rPr>
                    <w:t>铸造企业不得采用无芯工频感应电炉、无磁轭（≥0.25吨）铝壳中频感应电炉、水玻璃熔模精密铸造氯化铵硬化模壳、铝合金六氯乙烷精炼等淘汰类工艺和装备。加快存量项目升级改造，推进企业合理选择低污染、低能耗、经济高效的先进工艺技术，提升行业竞争能力。</w:t>
                  </w:r>
                </w:p>
              </w:tc>
              <w:tc>
                <w:tcPr>
                  <w:tcW w:w="1242" w:type="pct"/>
                  <w:vAlign w:val="center"/>
                </w:tcPr>
                <w:p w14:paraId="7729845C">
                  <w:pPr>
                    <w:spacing w:line="0" w:lineRule="atLeast"/>
                    <w:rPr>
                      <w:color w:val="auto"/>
                      <w:sz w:val="21"/>
                      <w:szCs w:val="21"/>
                    </w:rPr>
                  </w:pPr>
                  <w:r>
                    <w:rPr>
                      <w:rFonts w:hint="eastAsia"/>
                      <w:color w:val="auto"/>
                      <w:sz w:val="21"/>
                      <w:szCs w:val="21"/>
                    </w:rPr>
                    <w:t>本项目熔炼炉为钢壳带磁轭节能环保型中频炉，不涉及无芯工频感应电炉、无磁轭（≥0.25吨）铝壳中频感应电炉等淘汰设备。</w:t>
                  </w:r>
                </w:p>
              </w:tc>
              <w:tc>
                <w:tcPr>
                  <w:tcW w:w="544" w:type="pct"/>
                  <w:vAlign w:val="center"/>
                </w:tcPr>
                <w:p w14:paraId="77B2DD38">
                  <w:pPr>
                    <w:jc w:val="center"/>
                    <w:rPr>
                      <w:color w:val="auto"/>
                      <w:sz w:val="21"/>
                      <w:szCs w:val="21"/>
                    </w:rPr>
                  </w:pPr>
                  <w:r>
                    <w:rPr>
                      <w:color w:val="auto"/>
                      <w:sz w:val="21"/>
                      <w:szCs w:val="21"/>
                    </w:rPr>
                    <w:t>符合</w:t>
                  </w:r>
                </w:p>
              </w:tc>
            </w:tr>
            <w:tr w14:paraId="4187DD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vAlign w:val="center"/>
                </w:tcPr>
                <w:p w14:paraId="70B472CC">
                  <w:pPr>
                    <w:adjustRightInd w:val="0"/>
                    <w:snapToGrid w:val="0"/>
                    <w:spacing w:line="0" w:lineRule="atLeast"/>
                    <w:ind w:left="-105" w:leftChars="-50" w:right="-105" w:rightChars="-50"/>
                    <w:jc w:val="center"/>
                    <w:rPr>
                      <w:rFonts w:hint="default"/>
                      <w:color w:val="auto"/>
                      <w:sz w:val="21"/>
                      <w:szCs w:val="21"/>
                      <w:lang w:val="en-US" w:eastAsia="zh-CN"/>
                    </w:rPr>
                  </w:pPr>
                  <w:r>
                    <w:rPr>
                      <w:rFonts w:hint="eastAsia"/>
                      <w:color w:val="auto"/>
                      <w:sz w:val="21"/>
                      <w:szCs w:val="21"/>
                      <w:lang w:val="en-US" w:eastAsia="zh-CN"/>
                    </w:rPr>
                    <w:t>3</w:t>
                  </w:r>
                </w:p>
              </w:tc>
              <w:tc>
                <w:tcPr>
                  <w:tcW w:w="2938" w:type="pct"/>
                  <w:vAlign w:val="center"/>
                </w:tcPr>
                <w:p w14:paraId="268CE51C">
                  <w:pPr>
                    <w:spacing w:line="0" w:lineRule="atLeast"/>
                    <w:rPr>
                      <w:rFonts w:hint="default"/>
                      <w:color w:val="auto"/>
                      <w:sz w:val="21"/>
                      <w:szCs w:val="21"/>
                      <w:lang w:val="en-US"/>
                    </w:rPr>
                  </w:pPr>
                  <w:r>
                    <w:rPr>
                      <w:rFonts w:hint="default"/>
                      <w:color w:val="auto"/>
                      <w:sz w:val="21"/>
                      <w:szCs w:val="21"/>
                      <w:lang w:val="en-US"/>
                    </w:rPr>
                    <w:t>加快绿色低碳转型。推进绿色方式贯穿铸造和锻压生产全流程，开发绿色原辅材料、推广绿色工艺、建设绿色工厂、发展绿色园区，深入推进园区循环化改造。推动企业依法披露环境信息，接受社会监督。积极开展清洁生产，做好节能监察执法、节能诊断服务工作，深入挖掘节能潜力。鼓励企业采用高效节能熔炼、热处理等设备，提高余热利用水平。推广短流程铸造，鼓励铸造行业冲天炉(10吨/小时及以下）改为电炉。推进铸造废砂再生处理技术应用、废旧金属循环再生与利用。推广整体化大型化短流程低成本锻压技术，推广环保润滑介质应用，加大非调质钢使用比例等。</w:t>
                  </w:r>
                </w:p>
              </w:tc>
              <w:tc>
                <w:tcPr>
                  <w:tcW w:w="1242" w:type="pct"/>
                  <w:vAlign w:val="center"/>
                </w:tcPr>
                <w:p w14:paraId="3D5B9BF9">
                  <w:pPr>
                    <w:spacing w:line="0" w:lineRule="atLeast"/>
                    <w:rPr>
                      <w:rFonts w:hint="default" w:eastAsia="宋体"/>
                      <w:color w:val="auto"/>
                      <w:sz w:val="21"/>
                      <w:szCs w:val="21"/>
                      <w:lang w:val="en-US" w:eastAsia="zh-CN"/>
                    </w:rPr>
                  </w:pPr>
                  <w:r>
                    <w:rPr>
                      <w:rFonts w:hint="eastAsia"/>
                      <w:color w:val="auto"/>
                      <w:sz w:val="21"/>
                      <w:szCs w:val="21"/>
                      <w:lang w:val="en-US" w:eastAsia="zh-CN"/>
                    </w:rPr>
                    <w:t>本项目运营后建设单位将依法披露环境信息。本项目使用电能、天然气，属于清洁能源。</w:t>
                  </w:r>
                </w:p>
              </w:tc>
              <w:tc>
                <w:tcPr>
                  <w:tcW w:w="544" w:type="pct"/>
                  <w:vAlign w:val="center"/>
                </w:tcPr>
                <w:p w14:paraId="3308A100">
                  <w:pPr>
                    <w:jc w:val="center"/>
                    <w:rPr>
                      <w:rFonts w:hint="default" w:eastAsia="宋体"/>
                      <w:color w:val="auto"/>
                      <w:sz w:val="21"/>
                      <w:szCs w:val="21"/>
                      <w:lang w:val="en-US" w:eastAsia="zh-CN"/>
                    </w:rPr>
                  </w:pPr>
                  <w:r>
                    <w:rPr>
                      <w:rFonts w:hint="eastAsia"/>
                      <w:color w:val="auto"/>
                      <w:sz w:val="21"/>
                      <w:szCs w:val="21"/>
                      <w:lang w:val="en-US" w:eastAsia="zh-CN"/>
                    </w:rPr>
                    <w:t>符合</w:t>
                  </w:r>
                </w:p>
              </w:tc>
            </w:tr>
            <w:tr w14:paraId="72085D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4" w:type="pct"/>
                  <w:vAlign w:val="center"/>
                </w:tcPr>
                <w:p w14:paraId="71036CA5">
                  <w:pPr>
                    <w:adjustRightInd w:val="0"/>
                    <w:snapToGrid w:val="0"/>
                    <w:spacing w:line="0" w:lineRule="atLeast"/>
                    <w:ind w:left="-105" w:leftChars="-50" w:right="-105" w:rightChars="-50"/>
                    <w:jc w:val="center"/>
                    <w:rPr>
                      <w:rFonts w:hint="default"/>
                      <w:color w:val="auto"/>
                      <w:sz w:val="21"/>
                      <w:szCs w:val="21"/>
                      <w:lang w:val="en-US" w:eastAsia="zh-CN"/>
                    </w:rPr>
                  </w:pPr>
                  <w:r>
                    <w:rPr>
                      <w:rFonts w:hint="eastAsia"/>
                      <w:color w:val="auto"/>
                      <w:sz w:val="21"/>
                      <w:szCs w:val="21"/>
                      <w:lang w:val="en-US" w:eastAsia="zh-CN"/>
                    </w:rPr>
                    <w:t>4</w:t>
                  </w:r>
                </w:p>
              </w:tc>
              <w:tc>
                <w:tcPr>
                  <w:tcW w:w="2938" w:type="pct"/>
                  <w:vAlign w:val="center"/>
                </w:tcPr>
                <w:p w14:paraId="3E5FAE64">
                  <w:pPr>
                    <w:spacing w:line="0" w:lineRule="atLeast"/>
                    <w:rPr>
                      <w:rFonts w:hint="default"/>
                      <w:color w:val="auto"/>
                      <w:sz w:val="21"/>
                      <w:szCs w:val="21"/>
                      <w:lang w:val="en-US"/>
                    </w:rPr>
                  </w:pPr>
                  <w:r>
                    <w:rPr>
                      <w:rFonts w:hint="default"/>
                      <w:color w:val="auto"/>
                      <w:sz w:val="21"/>
                      <w:szCs w:val="21"/>
                      <w:lang w:val="en-US"/>
                    </w:rPr>
                    <w:t>提升环保治理水平。依法申领排污许可证，严格持证排污、按证排污并按排污许可证规定落实自行监测、台账记录、执行报告、信息公开等要求。综合考虑生产工艺、原辅材料使用、无组织排放控制、污染治理设施运行效果等，建设一批达到重污染天气应对绩效分级A级水平的环保标杆企业，带动行业环保水平提升。铸造企业严格执行《铸造工业大气污染物排放标准》(GB 39726)及地方排放标准，加强无组织排放控制，不能稳定达标排放的，限期完成设施升级改造，不具备改造条件及改造后仍不能达标的，依法依规进行淘汰。鼓励铸造用生铁企业参照钢铁行业超低排放改造要求开展有组织、无组织和清洁运输超低排放改造，支持行业协会公示进展情况。</w:t>
                  </w:r>
                </w:p>
              </w:tc>
              <w:tc>
                <w:tcPr>
                  <w:tcW w:w="1242" w:type="pct"/>
                  <w:vAlign w:val="center"/>
                </w:tcPr>
                <w:p w14:paraId="34F21544">
                  <w:pPr>
                    <w:spacing w:line="0" w:lineRule="atLeast"/>
                    <w:rPr>
                      <w:rFonts w:hint="default" w:eastAsia="宋体"/>
                      <w:color w:val="auto"/>
                      <w:sz w:val="21"/>
                      <w:szCs w:val="21"/>
                      <w:lang w:val="en-US" w:eastAsia="zh-CN"/>
                    </w:rPr>
                  </w:pPr>
                  <w:r>
                    <w:rPr>
                      <w:rFonts w:hint="eastAsia"/>
                      <w:color w:val="auto"/>
                      <w:sz w:val="21"/>
                      <w:szCs w:val="21"/>
                      <w:lang w:val="en-US" w:eastAsia="zh-CN"/>
                    </w:rPr>
                    <w:t>本项目投产前将依法申领排污许可证，运营过程中做好相关台账记录。本项目废气分类收集，并采取相应净化设施，废气排放可符合相关标准。</w:t>
                  </w:r>
                </w:p>
              </w:tc>
              <w:tc>
                <w:tcPr>
                  <w:tcW w:w="544" w:type="pct"/>
                  <w:vAlign w:val="center"/>
                </w:tcPr>
                <w:p w14:paraId="318D6E9F">
                  <w:pPr>
                    <w:jc w:val="center"/>
                    <w:rPr>
                      <w:rFonts w:hint="eastAsia" w:eastAsia="宋体"/>
                      <w:color w:val="auto"/>
                      <w:sz w:val="21"/>
                      <w:szCs w:val="21"/>
                      <w:lang w:val="en-US" w:eastAsia="zh-CN"/>
                    </w:rPr>
                  </w:pPr>
                  <w:r>
                    <w:rPr>
                      <w:rFonts w:hint="eastAsia"/>
                      <w:color w:val="auto"/>
                      <w:sz w:val="21"/>
                      <w:szCs w:val="21"/>
                      <w:lang w:val="en-US" w:eastAsia="zh-CN"/>
                    </w:rPr>
                    <w:t>符合</w:t>
                  </w:r>
                </w:p>
              </w:tc>
            </w:tr>
          </w:tbl>
          <w:p w14:paraId="0FFDD118">
            <w:pPr>
              <w:pStyle w:val="18"/>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（2）与“钢协〔2017〕23号”符合性分析</w:t>
            </w:r>
          </w:p>
          <w:p w14:paraId="1273B9B8">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对照《关于支持打击“地条钢”、界定工频、中频感应炉使用范围的意见》 （钢协〔2017〕23号），本项目符合上述文件相关产业政策，详见表1-7。</w:t>
            </w:r>
          </w:p>
          <w:p w14:paraId="113990F1">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表1-7  与钢协〔2017〕23号文件符合性分析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3"/>
              <w:gridCol w:w="4691"/>
              <w:gridCol w:w="2504"/>
              <w:gridCol w:w="936"/>
            </w:tblGrid>
            <w:tr w14:paraId="1A3BB8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212193E8">
                  <w:pPr>
                    <w:adjustRightInd w:val="0"/>
                    <w:snapToGrid w:val="0"/>
                    <w:spacing w:line="0" w:lineRule="atLeast"/>
                    <w:ind w:left="-105" w:leftChars="-50" w:right="-105" w:rightChars="-50"/>
                    <w:jc w:val="center"/>
                    <w:rPr>
                      <w:rFonts w:hint="eastAsia" w:eastAsia="宋体"/>
                      <w:b/>
                      <w:bCs/>
                      <w:color w:val="auto"/>
                      <w:sz w:val="21"/>
                      <w:szCs w:val="21"/>
                      <w:lang w:val="en-US" w:eastAsia="zh-CN"/>
                    </w:rPr>
                  </w:pPr>
                  <w:r>
                    <w:rPr>
                      <w:rFonts w:hint="eastAsia"/>
                      <w:b/>
                      <w:bCs/>
                      <w:color w:val="auto"/>
                      <w:sz w:val="21"/>
                      <w:szCs w:val="21"/>
                      <w:lang w:val="en-US" w:eastAsia="zh-CN"/>
                    </w:rPr>
                    <w:t>序号</w:t>
                  </w:r>
                </w:p>
              </w:tc>
              <w:tc>
                <w:tcPr>
                  <w:tcW w:w="2724" w:type="pct"/>
                  <w:vAlign w:val="center"/>
                </w:tcPr>
                <w:p w14:paraId="0B723DEE">
                  <w:pPr>
                    <w:spacing w:line="0" w:lineRule="atLeast"/>
                    <w:jc w:val="center"/>
                    <w:rPr>
                      <w:b/>
                      <w:bCs/>
                      <w:color w:val="auto"/>
                      <w:sz w:val="21"/>
                      <w:szCs w:val="21"/>
                    </w:rPr>
                  </w:pPr>
                  <w:r>
                    <w:rPr>
                      <w:b/>
                      <w:bCs/>
                      <w:color w:val="auto"/>
                      <w:sz w:val="21"/>
                      <w:szCs w:val="21"/>
                    </w:rPr>
                    <w:t>要求</w:t>
                  </w:r>
                </w:p>
              </w:tc>
              <w:tc>
                <w:tcPr>
                  <w:tcW w:w="1455" w:type="pct"/>
                  <w:vAlign w:val="center"/>
                </w:tcPr>
                <w:p w14:paraId="6F958543">
                  <w:pPr>
                    <w:spacing w:line="0" w:lineRule="atLeast"/>
                    <w:jc w:val="center"/>
                    <w:rPr>
                      <w:b/>
                      <w:bCs/>
                      <w:color w:val="auto"/>
                      <w:sz w:val="21"/>
                      <w:szCs w:val="21"/>
                    </w:rPr>
                  </w:pPr>
                  <w:r>
                    <w:rPr>
                      <w:b/>
                      <w:bCs/>
                      <w:color w:val="auto"/>
                      <w:sz w:val="21"/>
                      <w:szCs w:val="21"/>
                    </w:rPr>
                    <w:t>本项目</w:t>
                  </w:r>
                </w:p>
              </w:tc>
              <w:tc>
                <w:tcPr>
                  <w:tcW w:w="544" w:type="pct"/>
                  <w:vAlign w:val="center"/>
                </w:tcPr>
                <w:p w14:paraId="38D9882E">
                  <w:pPr>
                    <w:spacing w:line="0" w:lineRule="atLeast"/>
                    <w:jc w:val="center"/>
                    <w:rPr>
                      <w:b/>
                      <w:bCs/>
                      <w:color w:val="auto"/>
                      <w:sz w:val="21"/>
                      <w:szCs w:val="21"/>
                    </w:rPr>
                  </w:pPr>
                  <w:r>
                    <w:rPr>
                      <w:b/>
                      <w:bCs/>
                      <w:color w:val="auto"/>
                      <w:sz w:val="21"/>
                      <w:szCs w:val="21"/>
                    </w:rPr>
                    <w:t>符合性</w:t>
                  </w:r>
                </w:p>
              </w:tc>
            </w:tr>
            <w:tr w14:paraId="43B2D6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1B7AAE1F">
                  <w:pPr>
                    <w:adjustRightInd w:val="0"/>
                    <w:snapToGrid w:val="0"/>
                    <w:spacing w:line="0" w:lineRule="atLeast"/>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1</w:t>
                  </w:r>
                </w:p>
              </w:tc>
              <w:tc>
                <w:tcPr>
                  <w:tcW w:w="2724" w:type="pct"/>
                  <w:vAlign w:val="center"/>
                </w:tcPr>
                <w:p w14:paraId="23A0AA0F">
                  <w:pPr>
                    <w:spacing w:line="0" w:lineRule="atLeast"/>
                    <w:rPr>
                      <w:color w:val="auto"/>
                      <w:sz w:val="21"/>
                      <w:szCs w:val="21"/>
                    </w:rPr>
                  </w:pPr>
                  <w:r>
                    <w:rPr>
                      <w:rFonts w:hint="eastAsia"/>
                      <w:color w:val="auto"/>
                    </w:rPr>
                    <w:t>为按国家要求坚决依法彻底取缔“地条钢”违法违规产能，严禁用中（工）频炉生产钢坯（锭）及钢材，要严格界定中（工）频炉使用范围，特对下列三类情况区别界定如下：铸造行业采用感应炉作为熔炼设备生产各类铸件产品，不在关停拆除之列。通过工艺技术装备、材质、产品，严格区分和确认其属于铸造行业还是钢铁行业，严禁以铸造之名生产钢坯（锭）及钢材。</w:t>
                  </w:r>
                </w:p>
              </w:tc>
              <w:tc>
                <w:tcPr>
                  <w:tcW w:w="1455" w:type="pct"/>
                  <w:vAlign w:val="center"/>
                </w:tcPr>
                <w:p w14:paraId="4FF57CC7">
                  <w:pPr>
                    <w:spacing w:line="0" w:lineRule="atLeast"/>
                    <w:rPr>
                      <w:color w:val="auto"/>
                      <w:sz w:val="21"/>
                      <w:szCs w:val="21"/>
                    </w:rPr>
                  </w:pPr>
                  <w:r>
                    <w:rPr>
                      <w:rFonts w:hint="eastAsia"/>
                      <w:color w:val="auto"/>
                      <w:sz w:val="21"/>
                      <w:szCs w:val="21"/>
                    </w:rPr>
                    <w:t>本项目主要生产精密铸件、</w:t>
                  </w:r>
                  <w:r>
                    <w:rPr>
                      <w:rFonts w:hint="eastAsia"/>
                      <w:color w:val="auto"/>
                      <w:sz w:val="21"/>
                      <w:szCs w:val="21"/>
                      <w:lang w:val="en-US" w:eastAsia="zh-CN"/>
                    </w:rPr>
                    <w:t>消防</w:t>
                  </w:r>
                  <w:r>
                    <w:rPr>
                      <w:rFonts w:hint="eastAsia"/>
                      <w:color w:val="auto"/>
                      <w:sz w:val="21"/>
                      <w:szCs w:val="21"/>
                    </w:rPr>
                    <w:t>产品，不属于钢铁行业。本项目中频炉作为熔炼设备生产各类铸件</w:t>
                  </w:r>
                  <w:r>
                    <w:rPr>
                      <w:rFonts w:hint="eastAsia"/>
                      <w:color w:val="auto"/>
                      <w:sz w:val="21"/>
                      <w:szCs w:val="21"/>
                      <w:lang w:eastAsia="zh-CN"/>
                    </w:rPr>
                    <w:t>，</w:t>
                  </w:r>
                  <w:r>
                    <w:rPr>
                      <w:rFonts w:hint="eastAsia"/>
                      <w:color w:val="auto"/>
                      <w:sz w:val="21"/>
                      <w:szCs w:val="21"/>
                    </w:rPr>
                    <w:t>不在关停拆除之列。</w:t>
                  </w:r>
                </w:p>
              </w:tc>
              <w:tc>
                <w:tcPr>
                  <w:tcW w:w="544" w:type="pct"/>
                  <w:vAlign w:val="center"/>
                </w:tcPr>
                <w:p w14:paraId="4B927E95">
                  <w:pPr>
                    <w:spacing w:line="0" w:lineRule="atLeast"/>
                    <w:jc w:val="center"/>
                    <w:rPr>
                      <w:color w:val="auto"/>
                      <w:sz w:val="21"/>
                      <w:szCs w:val="21"/>
                    </w:rPr>
                  </w:pPr>
                  <w:r>
                    <w:rPr>
                      <w:color w:val="auto"/>
                      <w:sz w:val="21"/>
                      <w:szCs w:val="21"/>
                    </w:rPr>
                    <w:t>符合</w:t>
                  </w:r>
                </w:p>
              </w:tc>
            </w:tr>
          </w:tbl>
          <w:p w14:paraId="1A991CF2">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5、与福建省铸造行业相关政策符合性分析</w:t>
            </w:r>
          </w:p>
          <w:p w14:paraId="65D41552">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highlight w:val="none"/>
              </w:rPr>
            </w:pPr>
            <w:r>
              <w:rPr>
                <w:rFonts w:hint="eastAsia"/>
                <w:color w:val="auto"/>
                <w:sz w:val="24"/>
                <w:szCs w:val="24"/>
                <w:highlight w:val="none"/>
              </w:rPr>
              <w:t>目前福建省关于铸造行业出台的相关政策主要</w:t>
            </w:r>
            <w:r>
              <w:rPr>
                <w:rFonts w:hint="eastAsia"/>
                <w:color w:val="auto"/>
                <w:sz w:val="24"/>
                <w:szCs w:val="24"/>
                <w:highlight w:val="none"/>
                <w:lang w:val="en-US" w:eastAsia="zh-CN"/>
              </w:rPr>
              <w:t>有</w:t>
            </w:r>
            <w:r>
              <w:rPr>
                <w:rFonts w:hint="eastAsia"/>
                <w:color w:val="auto"/>
                <w:sz w:val="24"/>
                <w:szCs w:val="24"/>
                <w:highlight w:val="none"/>
              </w:rPr>
              <w:t>：《省经信委、省发改委、省环保厅、省安监局关于印发全面淘汰铸造企业落后炼铁设备工作方案的通知》（闽经信产业〔2017〕285号）、《福建省经济和信息化委员会关于加强全省现有铸造用生铁企业管理的通知》（闽经信原料〔2017〕286号）、《福建省经济和信息化委员会关于进一步加强全省铸造行业管理的指导意见》（闽经信装备〔2017〕331号）</w:t>
            </w:r>
            <w:r>
              <w:rPr>
                <w:rFonts w:hint="eastAsia"/>
                <w:color w:val="auto"/>
                <w:sz w:val="24"/>
                <w:szCs w:val="24"/>
                <w:highlight w:val="none"/>
                <w:lang w:eastAsia="zh-CN"/>
              </w:rPr>
              <w:t>、《福建省工业行业化解过剩产能工作领导小组办公室关于国家钢铁行业化解过剩产能防范“地条钢”死灰复燃抽查组在闽检查情况的通报》（闽产能办〔2018〕21号）</w:t>
            </w:r>
            <w:r>
              <w:rPr>
                <w:rFonts w:hint="eastAsia"/>
                <w:color w:val="auto"/>
                <w:sz w:val="24"/>
                <w:szCs w:val="24"/>
                <w:highlight w:val="none"/>
              </w:rPr>
              <w:t>等政策文件。主要规定和要求如下：</w:t>
            </w:r>
          </w:p>
          <w:p w14:paraId="3A75838D">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highlight w:val="none"/>
              </w:rPr>
            </w:pPr>
            <w:r>
              <w:rPr>
                <w:rFonts w:hint="eastAsia"/>
                <w:color w:val="auto"/>
                <w:sz w:val="24"/>
                <w:szCs w:val="24"/>
                <w:highlight w:val="none"/>
              </w:rPr>
              <w:t>全面淘汰国家规定应淘汰的“砂型铸造粘土烘干砂型及型芯”、“砂型铸造油砂制芯”、“粘土砂干型/芯铸造工艺”、“无磁轭（≥0.25吨）铝壳中频感应电炉”、“无芯工频感应电炉”等落后生产工艺装备，铸造用高炉应符合国家工信部颁布的《铸造用生铁企业认定规范条件》（工信部原〔2011〕134号）并通过工信部认定。严禁新建或改建使用中频炉连铸机生产法兰盘</w:t>
            </w:r>
            <w:r>
              <w:rPr>
                <w:rFonts w:hint="eastAsia"/>
                <w:color w:val="auto"/>
                <w:sz w:val="24"/>
                <w:szCs w:val="24"/>
                <w:highlight w:val="none"/>
                <w:lang w:eastAsia="zh-CN"/>
              </w:rPr>
              <w:t>，在国家有关政策未明确前，严禁新建或改造采用中频炉、连铸机工艺生产“四轮一带”铸锻件等机械类产品的项目。</w:t>
            </w:r>
          </w:p>
          <w:p w14:paraId="7D285633">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项目采用树脂砂进行</w:t>
            </w:r>
            <w:r>
              <w:rPr>
                <w:rFonts w:hint="eastAsia"/>
                <w:color w:val="auto"/>
                <w:sz w:val="24"/>
                <w:szCs w:val="24"/>
                <w:highlight w:val="none"/>
                <w:lang w:val="en-US" w:eastAsia="zh-CN"/>
              </w:rPr>
              <w:t>制芯</w:t>
            </w:r>
            <w:r>
              <w:rPr>
                <w:rFonts w:hint="eastAsia"/>
                <w:color w:val="auto"/>
                <w:sz w:val="24"/>
                <w:szCs w:val="24"/>
                <w:highlight w:val="none"/>
                <w:lang w:eastAsia="zh-CN"/>
              </w:rPr>
              <w:t>、</w:t>
            </w:r>
            <w:r>
              <w:rPr>
                <w:rFonts w:hint="eastAsia"/>
                <w:color w:val="auto"/>
                <w:sz w:val="24"/>
                <w:szCs w:val="24"/>
                <w:highlight w:val="none"/>
                <w:lang w:val="en-US" w:eastAsia="zh-CN"/>
              </w:rPr>
              <w:t>粘土砂（湿法造型）、树脂砂、熔模铸造等工艺，熔化</w:t>
            </w:r>
            <w:r>
              <w:rPr>
                <w:rFonts w:hint="eastAsia"/>
                <w:color w:val="auto"/>
                <w:sz w:val="24"/>
                <w:szCs w:val="24"/>
                <w:highlight w:val="none"/>
                <w:lang w:eastAsia="zh-CN"/>
              </w:rPr>
              <w:t>采用中频炉，无上述落后生产工艺及设备，因此项目符合福建省铸造行业相关政策要求。</w:t>
            </w:r>
          </w:p>
          <w:p w14:paraId="3617BBF4">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b/>
                <w:bCs/>
                <w:color w:val="auto"/>
                <w:sz w:val="24"/>
                <w:szCs w:val="24"/>
                <w:highlight w:val="none"/>
                <w:lang w:eastAsia="zh-CN"/>
              </w:rPr>
            </w:pPr>
            <w:r>
              <w:rPr>
                <w:rFonts w:hint="eastAsia"/>
                <w:b/>
                <w:bCs/>
                <w:color w:val="auto"/>
                <w:sz w:val="24"/>
                <w:szCs w:val="24"/>
                <w:highlight w:val="none"/>
                <w:lang w:val="en-US" w:eastAsia="zh-CN"/>
              </w:rPr>
              <w:t>6、</w:t>
            </w:r>
            <w:r>
              <w:rPr>
                <w:rFonts w:hint="eastAsia"/>
                <w:b/>
                <w:bCs/>
                <w:color w:val="auto"/>
                <w:sz w:val="24"/>
                <w:szCs w:val="24"/>
                <w:highlight w:val="none"/>
                <w:lang w:eastAsia="zh-CN"/>
              </w:rPr>
              <w:t>与《福建省工业炉窑大气污染综合治理方案》的符合性分析</w:t>
            </w:r>
          </w:p>
          <w:p w14:paraId="451A3EBF">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经对照分析，本项目符合《福建省工业窑炉大气污染综合治理方案》（闽环保大气〔2019〕10号）的相关要求。</w:t>
            </w:r>
          </w:p>
          <w:p w14:paraId="4347E2B1">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b/>
                <w:bCs/>
                <w:color w:val="auto"/>
                <w:sz w:val="24"/>
                <w:szCs w:val="24"/>
                <w:highlight w:val="none"/>
                <w:lang w:eastAsia="zh-CN"/>
              </w:rPr>
            </w:pPr>
            <w:r>
              <w:rPr>
                <w:rFonts w:hint="eastAsia"/>
                <w:b/>
                <w:bCs/>
                <w:color w:val="auto"/>
                <w:sz w:val="24"/>
                <w:szCs w:val="24"/>
                <w:highlight w:val="none"/>
                <w:lang w:val="en-US" w:eastAsia="zh-CN"/>
              </w:rPr>
              <w:t xml:space="preserve">表1-8 </w:t>
            </w:r>
            <w:r>
              <w:rPr>
                <w:rFonts w:hint="eastAsia"/>
                <w:b/>
                <w:bCs/>
                <w:color w:val="auto"/>
                <w:sz w:val="24"/>
                <w:szCs w:val="24"/>
                <w:highlight w:val="none"/>
                <w:lang w:eastAsia="zh-CN"/>
              </w:rPr>
              <w:t xml:space="preserve"> 与《福建省工业炉窑大气污染综合治理方案》的符合性分析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3"/>
              <w:gridCol w:w="4045"/>
              <w:gridCol w:w="3149"/>
              <w:gridCol w:w="936"/>
            </w:tblGrid>
            <w:tr w14:paraId="46A9B6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490B1BDE">
                  <w:pPr>
                    <w:adjustRightInd w:val="0"/>
                    <w:snapToGrid w:val="0"/>
                    <w:spacing w:line="0" w:lineRule="atLeast"/>
                    <w:ind w:left="-105" w:leftChars="-50" w:right="-105" w:rightChars="-50"/>
                    <w:jc w:val="center"/>
                    <w:rPr>
                      <w:rFonts w:hint="eastAsia" w:eastAsia="宋体"/>
                      <w:b/>
                      <w:bCs/>
                      <w:color w:val="auto"/>
                      <w:sz w:val="21"/>
                      <w:szCs w:val="21"/>
                      <w:lang w:val="en-US" w:eastAsia="zh-CN"/>
                    </w:rPr>
                  </w:pPr>
                  <w:r>
                    <w:rPr>
                      <w:rFonts w:hint="eastAsia"/>
                      <w:b/>
                      <w:bCs/>
                      <w:color w:val="auto"/>
                      <w:sz w:val="21"/>
                      <w:szCs w:val="21"/>
                      <w:lang w:val="en-US" w:eastAsia="zh-CN"/>
                    </w:rPr>
                    <w:t>序号</w:t>
                  </w:r>
                </w:p>
              </w:tc>
              <w:tc>
                <w:tcPr>
                  <w:tcW w:w="2350" w:type="pct"/>
                  <w:vAlign w:val="center"/>
                </w:tcPr>
                <w:p w14:paraId="6A943EF6">
                  <w:pPr>
                    <w:spacing w:line="0" w:lineRule="atLeast"/>
                    <w:jc w:val="center"/>
                    <w:rPr>
                      <w:b/>
                      <w:bCs/>
                      <w:color w:val="auto"/>
                      <w:sz w:val="21"/>
                      <w:szCs w:val="21"/>
                    </w:rPr>
                  </w:pPr>
                  <w:r>
                    <w:rPr>
                      <w:rFonts w:hint="eastAsia"/>
                      <w:b/>
                      <w:bCs/>
                      <w:color w:val="auto"/>
                      <w:sz w:val="21"/>
                      <w:szCs w:val="21"/>
                    </w:rPr>
                    <w:t>《方案》相关要求</w:t>
                  </w:r>
                </w:p>
              </w:tc>
              <w:tc>
                <w:tcPr>
                  <w:tcW w:w="1829" w:type="pct"/>
                  <w:vAlign w:val="center"/>
                </w:tcPr>
                <w:p w14:paraId="6B18E730">
                  <w:pPr>
                    <w:spacing w:line="0" w:lineRule="atLeast"/>
                    <w:jc w:val="center"/>
                    <w:rPr>
                      <w:b/>
                      <w:bCs/>
                      <w:color w:val="auto"/>
                      <w:sz w:val="21"/>
                      <w:szCs w:val="21"/>
                    </w:rPr>
                  </w:pPr>
                  <w:r>
                    <w:rPr>
                      <w:b/>
                      <w:bCs/>
                      <w:color w:val="auto"/>
                      <w:sz w:val="21"/>
                      <w:szCs w:val="21"/>
                    </w:rPr>
                    <w:t>本项目</w:t>
                  </w:r>
                </w:p>
              </w:tc>
              <w:tc>
                <w:tcPr>
                  <w:tcW w:w="544" w:type="pct"/>
                  <w:vAlign w:val="center"/>
                </w:tcPr>
                <w:p w14:paraId="05ED045C">
                  <w:pPr>
                    <w:spacing w:line="0" w:lineRule="atLeast"/>
                    <w:jc w:val="center"/>
                    <w:rPr>
                      <w:b/>
                      <w:bCs/>
                      <w:color w:val="auto"/>
                      <w:sz w:val="21"/>
                      <w:szCs w:val="21"/>
                    </w:rPr>
                  </w:pPr>
                  <w:r>
                    <w:rPr>
                      <w:b/>
                      <w:bCs/>
                      <w:color w:val="auto"/>
                      <w:sz w:val="21"/>
                      <w:szCs w:val="21"/>
                    </w:rPr>
                    <w:t>符合性</w:t>
                  </w:r>
                </w:p>
              </w:tc>
            </w:tr>
            <w:tr w14:paraId="35DD45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64F97F7A">
                  <w:pPr>
                    <w:adjustRightInd w:val="0"/>
                    <w:snapToGrid w:val="0"/>
                    <w:spacing w:line="0" w:lineRule="atLeast"/>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1</w:t>
                  </w:r>
                </w:p>
              </w:tc>
              <w:tc>
                <w:tcPr>
                  <w:tcW w:w="2350" w:type="pct"/>
                  <w:vAlign w:val="center"/>
                </w:tcPr>
                <w:p w14:paraId="11896FCA">
                  <w:pPr>
                    <w:spacing w:line="0" w:lineRule="atLeast"/>
                    <w:rPr>
                      <w:color w:val="auto"/>
                      <w:sz w:val="21"/>
                      <w:szCs w:val="21"/>
                    </w:rPr>
                  </w:pPr>
                  <w:r>
                    <w:rPr>
                      <w:rFonts w:hint="eastAsia"/>
                      <w:color w:val="auto"/>
                    </w:rPr>
                    <w:t>严格建设项目环境准入。新建涉工业炉窑的建设项目，原则上要入园区，配套建设高效环保治理设施。</w:t>
                  </w:r>
                </w:p>
              </w:tc>
              <w:tc>
                <w:tcPr>
                  <w:tcW w:w="1829" w:type="pct"/>
                  <w:vAlign w:val="center"/>
                </w:tcPr>
                <w:p w14:paraId="67765C24">
                  <w:pPr>
                    <w:spacing w:line="0" w:lineRule="atLeast"/>
                    <w:rPr>
                      <w:color w:val="auto"/>
                      <w:sz w:val="21"/>
                      <w:szCs w:val="21"/>
                    </w:rPr>
                  </w:pPr>
                  <w:r>
                    <w:rPr>
                      <w:rFonts w:hint="eastAsia"/>
                      <w:color w:val="auto"/>
                      <w:sz w:val="21"/>
                      <w:szCs w:val="21"/>
                    </w:rPr>
                    <w:t>本项目位于福建省三明市大田县福建（大田）机械铸造产业集聚区内。</w:t>
                  </w:r>
                </w:p>
              </w:tc>
              <w:tc>
                <w:tcPr>
                  <w:tcW w:w="544" w:type="pct"/>
                  <w:vAlign w:val="center"/>
                </w:tcPr>
                <w:p w14:paraId="04209B75">
                  <w:pPr>
                    <w:spacing w:line="0" w:lineRule="atLeast"/>
                    <w:jc w:val="center"/>
                    <w:rPr>
                      <w:color w:val="auto"/>
                      <w:sz w:val="21"/>
                      <w:szCs w:val="21"/>
                    </w:rPr>
                  </w:pPr>
                  <w:r>
                    <w:rPr>
                      <w:color w:val="auto"/>
                      <w:sz w:val="21"/>
                      <w:szCs w:val="21"/>
                    </w:rPr>
                    <w:t>符合</w:t>
                  </w:r>
                </w:p>
              </w:tc>
            </w:tr>
            <w:tr w14:paraId="6E2AA6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4058E5AF">
                  <w:pPr>
                    <w:adjustRightInd w:val="0"/>
                    <w:snapToGrid w:val="0"/>
                    <w:spacing w:line="0" w:lineRule="atLeast"/>
                    <w:ind w:left="-105" w:leftChars="-50" w:right="-105" w:rightChars="-50"/>
                    <w:jc w:val="center"/>
                    <w:rPr>
                      <w:rFonts w:hint="default"/>
                      <w:color w:val="auto"/>
                      <w:sz w:val="21"/>
                      <w:szCs w:val="21"/>
                      <w:lang w:val="en-US" w:eastAsia="zh-CN"/>
                    </w:rPr>
                  </w:pPr>
                  <w:r>
                    <w:rPr>
                      <w:rFonts w:hint="eastAsia"/>
                      <w:color w:val="auto"/>
                      <w:sz w:val="21"/>
                      <w:szCs w:val="21"/>
                      <w:lang w:val="en-US" w:eastAsia="zh-CN"/>
                    </w:rPr>
                    <w:t>2</w:t>
                  </w:r>
                </w:p>
              </w:tc>
              <w:tc>
                <w:tcPr>
                  <w:tcW w:w="2350" w:type="pct"/>
                  <w:vAlign w:val="center"/>
                </w:tcPr>
                <w:p w14:paraId="6B2C5B3E">
                  <w:pPr>
                    <w:spacing w:line="0" w:lineRule="atLeast"/>
                    <w:rPr>
                      <w:rFonts w:hint="eastAsia"/>
                      <w:color w:val="auto"/>
                    </w:rPr>
                  </w:pPr>
                  <w:r>
                    <w:rPr>
                      <w:rFonts w:hint="eastAsia"/>
                      <w:color w:val="auto"/>
                    </w:rPr>
                    <w:t>铸造行业：中频感应电炉应配备袋式等高效除尘设施。</w:t>
                  </w:r>
                </w:p>
              </w:tc>
              <w:tc>
                <w:tcPr>
                  <w:tcW w:w="1829" w:type="pct"/>
                  <w:vAlign w:val="center"/>
                </w:tcPr>
                <w:p w14:paraId="73802D6D">
                  <w:pPr>
                    <w:spacing w:line="0" w:lineRule="atLeast"/>
                    <w:rPr>
                      <w:color w:val="auto"/>
                      <w:sz w:val="21"/>
                      <w:szCs w:val="21"/>
                    </w:rPr>
                  </w:pPr>
                  <w:r>
                    <w:rPr>
                      <w:rFonts w:hint="eastAsia"/>
                      <w:color w:val="auto"/>
                      <w:sz w:val="21"/>
                      <w:szCs w:val="21"/>
                      <w:highlight w:val="none"/>
                    </w:rPr>
                    <w:t>本项目中频炉熔炼废气配备覆膜耐高温</w:t>
                  </w:r>
                  <w:r>
                    <w:rPr>
                      <w:rFonts w:hint="eastAsia"/>
                      <w:color w:val="auto"/>
                      <w:sz w:val="21"/>
                      <w:szCs w:val="21"/>
                      <w:highlight w:val="none"/>
                      <w:lang w:eastAsia="zh-CN"/>
                    </w:rPr>
                    <w:t>袋式除尘器</w:t>
                  </w:r>
                  <w:r>
                    <w:rPr>
                      <w:rFonts w:hint="eastAsia"/>
                      <w:color w:val="auto"/>
                      <w:sz w:val="21"/>
                      <w:szCs w:val="21"/>
                      <w:highlight w:val="none"/>
                    </w:rPr>
                    <w:t>净化处理，烟气排放可满足《铸造工业大气污染物排放标准》（GB39726-2020）的要求。</w:t>
                  </w:r>
                </w:p>
              </w:tc>
              <w:tc>
                <w:tcPr>
                  <w:tcW w:w="544" w:type="pct"/>
                  <w:vAlign w:val="center"/>
                </w:tcPr>
                <w:p w14:paraId="4CC35D92">
                  <w:pPr>
                    <w:spacing w:line="0" w:lineRule="atLeast"/>
                    <w:jc w:val="center"/>
                    <w:rPr>
                      <w:color w:val="auto"/>
                      <w:sz w:val="21"/>
                      <w:szCs w:val="21"/>
                    </w:rPr>
                  </w:pPr>
                  <w:r>
                    <w:rPr>
                      <w:color w:val="auto"/>
                      <w:sz w:val="21"/>
                      <w:szCs w:val="21"/>
                    </w:rPr>
                    <w:t>符合</w:t>
                  </w:r>
                </w:p>
              </w:tc>
            </w:tr>
          </w:tbl>
          <w:p w14:paraId="53A4231C">
            <w:pPr>
              <w:pStyle w:val="18"/>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textAlignment w:val="auto"/>
              <w:rPr>
                <w:rFonts w:hint="eastAsia"/>
                <w:b/>
                <w:bCs/>
                <w:color w:val="auto"/>
                <w:sz w:val="24"/>
                <w:szCs w:val="24"/>
                <w:highlight w:val="none"/>
                <w:lang w:eastAsia="zh-CN"/>
              </w:rPr>
            </w:pPr>
            <w:r>
              <w:rPr>
                <w:rFonts w:hint="eastAsia"/>
                <w:b/>
                <w:bCs/>
                <w:color w:val="auto"/>
                <w:sz w:val="24"/>
                <w:szCs w:val="24"/>
                <w:highlight w:val="none"/>
                <w:lang w:val="en-US" w:eastAsia="zh-CN"/>
              </w:rPr>
              <w:t>7、</w:t>
            </w:r>
            <w:r>
              <w:rPr>
                <w:rFonts w:hint="eastAsia"/>
                <w:b/>
                <w:bCs/>
                <w:color w:val="auto"/>
                <w:sz w:val="24"/>
                <w:szCs w:val="24"/>
                <w:highlight w:val="none"/>
                <w:lang w:eastAsia="zh-CN"/>
              </w:rPr>
              <w:t>与大田县铸造行业改造升级实施意见的符合性分析</w:t>
            </w:r>
          </w:p>
          <w:p w14:paraId="373910C1">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2017年10月25日，大田县人民政府结合《大田县铸造产业发展提升规划》，制定了《大田县铸造行业改造提升实施意见》（田政办〔2017〕170号），本项目与《大田县铸造行业改造提升实施意见》对比分析如下：</w:t>
            </w:r>
          </w:p>
          <w:p w14:paraId="1B2A0BF7">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b/>
                <w:bCs/>
                <w:color w:val="auto"/>
                <w:sz w:val="24"/>
                <w:szCs w:val="24"/>
                <w:highlight w:val="none"/>
                <w:lang w:eastAsia="zh-CN"/>
              </w:rPr>
            </w:pPr>
            <w:r>
              <w:rPr>
                <w:rFonts w:hint="eastAsia"/>
                <w:b/>
                <w:bCs/>
                <w:color w:val="auto"/>
                <w:sz w:val="24"/>
                <w:szCs w:val="24"/>
                <w:highlight w:val="none"/>
                <w:lang w:eastAsia="zh-CN"/>
              </w:rPr>
              <w:t>表1</w:t>
            </w:r>
            <w:r>
              <w:rPr>
                <w:rFonts w:hint="eastAsia"/>
                <w:b/>
                <w:bCs/>
                <w:color w:val="auto"/>
                <w:sz w:val="24"/>
                <w:szCs w:val="24"/>
                <w:highlight w:val="none"/>
                <w:lang w:val="en-US" w:eastAsia="zh-CN"/>
              </w:rPr>
              <w:t xml:space="preserve">-9 </w:t>
            </w:r>
            <w:r>
              <w:rPr>
                <w:rFonts w:hint="eastAsia"/>
                <w:b/>
                <w:bCs/>
                <w:color w:val="auto"/>
                <w:sz w:val="24"/>
                <w:szCs w:val="24"/>
                <w:highlight w:val="none"/>
                <w:lang w:eastAsia="zh-CN"/>
              </w:rPr>
              <w:t xml:space="preserve"> 与《大田县铸造行业改造提升实施意见》的符合性分析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3"/>
              <w:gridCol w:w="4691"/>
              <w:gridCol w:w="2504"/>
              <w:gridCol w:w="936"/>
            </w:tblGrid>
            <w:tr w14:paraId="754E3B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0F9626CD">
                  <w:pPr>
                    <w:adjustRightInd w:val="0"/>
                    <w:snapToGrid w:val="0"/>
                    <w:spacing w:line="0" w:lineRule="atLeast"/>
                    <w:ind w:left="-105" w:leftChars="-50" w:right="-105" w:rightChars="-50"/>
                    <w:jc w:val="center"/>
                    <w:rPr>
                      <w:rFonts w:hint="eastAsia" w:eastAsia="宋体"/>
                      <w:b/>
                      <w:bCs/>
                      <w:color w:val="auto"/>
                      <w:sz w:val="21"/>
                      <w:szCs w:val="21"/>
                      <w:lang w:val="en-US" w:eastAsia="zh-CN"/>
                    </w:rPr>
                  </w:pPr>
                  <w:r>
                    <w:rPr>
                      <w:rFonts w:hint="eastAsia"/>
                      <w:b/>
                      <w:bCs/>
                      <w:color w:val="auto"/>
                      <w:sz w:val="21"/>
                      <w:szCs w:val="21"/>
                      <w:lang w:val="en-US" w:eastAsia="zh-CN"/>
                    </w:rPr>
                    <w:t>序号</w:t>
                  </w:r>
                </w:p>
              </w:tc>
              <w:tc>
                <w:tcPr>
                  <w:tcW w:w="2724" w:type="pct"/>
                  <w:vAlign w:val="center"/>
                </w:tcPr>
                <w:p w14:paraId="4C905F3B">
                  <w:pPr>
                    <w:spacing w:line="0" w:lineRule="atLeast"/>
                    <w:jc w:val="center"/>
                    <w:rPr>
                      <w:b/>
                      <w:bCs/>
                      <w:color w:val="auto"/>
                      <w:sz w:val="21"/>
                      <w:szCs w:val="21"/>
                    </w:rPr>
                  </w:pPr>
                  <w:r>
                    <w:rPr>
                      <w:rFonts w:hint="eastAsia"/>
                      <w:b/>
                      <w:bCs/>
                      <w:color w:val="auto"/>
                      <w:sz w:val="21"/>
                      <w:szCs w:val="21"/>
                    </w:rPr>
                    <w:t>大田县铸造行业改造提升实施意见</w:t>
                  </w:r>
                </w:p>
              </w:tc>
              <w:tc>
                <w:tcPr>
                  <w:tcW w:w="1455" w:type="pct"/>
                  <w:vAlign w:val="center"/>
                </w:tcPr>
                <w:p w14:paraId="36119FC7">
                  <w:pPr>
                    <w:spacing w:line="0" w:lineRule="atLeast"/>
                    <w:jc w:val="center"/>
                    <w:rPr>
                      <w:b/>
                      <w:bCs/>
                      <w:color w:val="auto"/>
                      <w:sz w:val="21"/>
                      <w:szCs w:val="21"/>
                    </w:rPr>
                  </w:pPr>
                  <w:r>
                    <w:rPr>
                      <w:b/>
                      <w:bCs/>
                      <w:color w:val="auto"/>
                      <w:sz w:val="21"/>
                      <w:szCs w:val="21"/>
                    </w:rPr>
                    <w:t>本项目</w:t>
                  </w:r>
                </w:p>
              </w:tc>
              <w:tc>
                <w:tcPr>
                  <w:tcW w:w="544" w:type="pct"/>
                  <w:vAlign w:val="center"/>
                </w:tcPr>
                <w:p w14:paraId="37B94691">
                  <w:pPr>
                    <w:spacing w:line="0" w:lineRule="atLeast"/>
                    <w:jc w:val="center"/>
                    <w:rPr>
                      <w:b/>
                      <w:bCs/>
                      <w:color w:val="auto"/>
                      <w:sz w:val="21"/>
                      <w:szCs w:val="21"/>
                    </w:rPr>
                  </w:pPr>
                  <w:r>
                    <w:rPr>
                      <w:b/>
                      <w:bCs/>
                      <w:color w:val="auto"/>
                      <w:sz w:val="21"/>
                      <w:szCs w:val="21"/>
                    </w:rPr>
                    <w:t>符合性</w:t>
                  </w:r>
                </w:p>
              </w:tc>
            </w:tr>
            <w:tr w14:paraId="1982F4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0A4B7A53">
                  <w:pPr>
                    <w:adjustRightInd w:val="0"/>
                    <w:snapToGrid w:val="0"/>
                    <w:spacing w:line="0" w:lineRule="atLeast"/>
                    <w:ind w:left="-105" w:leftChars="-50" w:right="-105" w:rightChars="-50"/>
                    <w:jc w:val="center"/>
                    <w:rPr>
                      <w:rFonts w:hint="default" w:eastAsia="宋体"/>
                      <w:color w:val="auto"/>
                      <w:sz w:val="21"/>
                      <w:szCs w:val="21"/>
                      <w:lang w:val="en-US" w:eastAsia="zh-CN"/>
                    </w:rPr>
                  </w:pPr>
                  <w:r>
                    <w:rPr>
                      <w:rFonts w:hint="eastAsia"/>
                      <w:color w:val="auto"/>
                      <w:sz w:val="21"/>
                      <w:szCs w:val="21"/>
                      <w:lang w:val="en-US" w:eastAsia="zh-CN"/>
                    </w:rPr>
                    <w:t>1</w:t>
                  </w:r>
                </w:p>
              </w:tc>
              <w:tc>
                <w:tcPr>
                  <w:tcW w:w="2724" w:type="pct"/>
                  <w:vAlign w:val="center"/>
                </w:tcPr>
                <w:p w14:paraId="26C496BD">
                  <w:pPr>
                    <w:spacing w:line="0" w:lineRule="atLeast"/>
                    <w:rPr>
                      <w:color w:val="auto"/>
                      <w:sz w:val="21"/>
                      <w:szCs w:val="21"/>
                    </w:rPr>
                  </w:pPr>
                  <w:r>
                    <w:rPr>
                      <w:rFonts w:hint="eastAsia"/>
                      <w:color w:val="auto"/>
                    </w:rPr>
                    <w:t>新建项目：新建铸造项目原则入驻（大田）机械铸造产业集聚区（以下简称“集聚区”）。本项目位于福建（大田）机械铸造产业集聚区</w:t>
                  </w:r>
                </w:p>
              </w:tc>
              <w:tc>
                <w:tcPr>
                  <w:tcW w:w="1455" w:type="pct"/>
                  <w:vAlign w:val="center"/>
                </w:tcPr>
                <w:p w14:paraId="7CB08FE3">
                  <w:pPr>
                    <w:spacing w:line="0" w:lineRule="atLeast"/>
                    <w:rPr>
                      <w:color w:val="auto"/>
                      <w:sz w:val="21"/>
                      <w:szCs w:val="21"/>
                    </w:rPr>
                  </w:pPr>
                  <w:r>
                    <w:rPr>
                      <w:rFonts w:hint="eastAsia"/>
                      <w:color w:val="auto"/>
                      <w:sz w:val="21"/>
                      <w:szCs w:val="21"/>
                    </w:rPr>
                    <w:t>本项目主要生产铸铁件，不属于钢铁行业。本项目中频炉作为熔炼设备生产各类铸件不在关停拆除之列。</w:t>
                  </w:r>
                </w:p>
              </w:tc>
              <w:tc>
                <w:tcPr>
                  <w:tcW w:w="544" w:type="pct"/>
                  <w:vAlign w:val="center"/>
                </w:tcPr>
                <w:p w14:paraId="0BCE2E64">
                  <w:pPr>
                    <w:spacing w:line="0" w:lineRule="atLeast"/>
                    <w:jc w:val="center"/>
                    <w:rPr>
                      <w:color w:val="auto"/>
                      <w:sz w:val="21"/>
                      <w:szCs w:val="21"/>
                    </w:rPr>
                  </w:pPr>
                  <w:r>
                    <w:rPr>
                      <w:color w:val="auto"/>
                      <w:sz w:val="21"/>
                      <w:szCs w:val="21"/>
                    </w:rPr>
                    <w:t>符合</w:t>
                  </w:r>
                </w:p>
              </w:tc>
            </w:tr>
            <w:tr w14:paraId="65D902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7B999240">
                  <w:pPr>
                    <w:adjustRightInd w:val="0"/>
                    <w:snapToGrid w:val="0"/>
                    <w:spacing w:line="0" w:lineRule="atLeast"/>
                    <w:ind w:left="-105" w:leftChars="-50" w:right="-105" w:rightChars="-50"/>
                    <w:jc w:val="center"/>
                    <w:rPr>
                      <w:rFonts w:hint="default"/>
                      <w:color w:val="auto"/>
                      <w:sz w:val="21"/>
                      <w:szCs w:val="21"/>
                      <w:lang w:val="en-US" w:eastAsia="zh-CN"/>
                    </w:rPr>
                  </w:pPr>
                  <w:r>
                    <w:rPr>
                      <w:rFonts w:hint="eastAsia"/>
                      <w:color w:val="auto"/>
                      <w:sz w:val="21"/>
                      <w:szCs w:val="21"/>
                      <w:lang w:val="en-US" w:eastAsia="zh-CN"/>
                    </w:rPr>
                    <w:t>2</w:t>
                  </w:r>
                </w:p>
              </w:tc>
              <w:tc>
                <w:tcPr>
                  <w:tcW w:w="2724" w:type="pct"/>
                  <w:vAlign w:val="center"/>
                </w:tcPr>
                <w:p w14:paraId="3B2053B3">
                  <w:pPr>
                    <w:spacing w:line="0" w:lineRule="atLeast"/>
                    <w:rPr>
                      <w:rFonts w:hint="eastAsia"/>
                      <w:color w:val="auto"/>
                    </w:rPr>
                  </w:pPr>
                  <w:r>
                    <w:rPr>
                      <w:rFonts w:hint="eastAsia"/>
                      <w:color w:val="auto"/>
                    </w:rPr>
                    <w:t>新、改建铸造项目在国家工信部《铸造行业规范条件》出台前应符合2013年版《铸造行业准入条件》要求；在工信部《铸造行业规范条件》出台后，新、改建铸造项目的生产工艺、生产设备、生产规模、能源消耗等要严格按新规范要求执行。</w:t>
                  </w:r>
                </w:p>
              </w:tc>
              <w:tc>
                <w:tcPr>
                  <w:tcW w:w="1455" w:type="pct"/>
                  <w:vAlign w:val="center"/>
                </w:tcPr>
                <w:p w14:paraId="7E17685F">
                  <w:pPr>
                    <w:spacing w:line="0" w:lineRule="atLeast"/>
                    <w:rPr>
                      <w:rFonts w:hint="eastAsia"/>
                      <w:color w:val="auto"/>
                      <w:sz w:val="21"/>
                      <w:szCs w:val="21"/>
                    </w:rPr>
                  </w:pPr>
                  <w:r>
                    <w:rPr>
                      <w:rFonts w:hint="eastAsia"/>
                      <w:color w:val="auto"/>
                      <w:sz w:val="21"/>
                      <w:szCs w:val="21"/>
                    </w:rPr>
                    <w:t>工信部《铸造行业规范条件》</w:t>
                  </w:r>
                  <w:r>
                    <w:rPr>
                      <w:rFonts w:hint="eastAsia"/>
                      <w:color w:val="auto"/>
                      <w:sz w:val="21"/>
                      <w:szCs w:val="21"/>
                      <w:lang w:val="en-US" w:eastAsia="zh-CN"/>
                    </w:rPr>
                    <w:t>暂未重新发布</w:t>
                  </w:r>
                  <w:r>
                    <w:rPr>
                      <w:rFonts w:hint="eastAsia"/>
                      <w:color w:val="auto"/>
                      <w:sz w:val="21"/>
                      <w:szCs w:val="21"/>
                    </w:rPr>
                    <w:t>，</w:t>
                  </w:r>
                  <w:r>
                    <w:rPr>
                      <w:rFonts w:hint="eastAsia"/>
                      <w:color w:val="auto"/>
                      <w:sz w:val="21"/>
                      <w:szCs w:val="21"/>
                      <w:lang w:eastAsia="zh-CN"/>
                    </w:rPr>
                    <w:t>《</w:t>
                  </w:r>
                  <w:r>
                    <w:rPr>
                      <w:rFonts w:hint="eastAsia"/>
                      <w:color w:val="auto"/>
                    </w:rPr>
                    <w:t>铸造行业准入条件》</w:t>
                  </w:r>
                  <w:r>
                    <w:rPr>
                      <w:rFonts w:hint="eastAsia"/>
                      <w:color w:val="auto"/>
                      <w:sz w:val="21"/>
                      <w:szCs w:val="21"/>
                    </w:rPr>
                    <w:t>根据表</w:t>
                  </w:r>
                  <w:r>
                    <w:rPr>
                      <w:rFonts w:hint="eastAsia"/>
                      <w:color w:val="auto"/>
                      <w:sz w:val="21"/>
                      <w:szCs w:val="21"/>
                      <w:lang w:val="en-US" w:eastAsia="zh-CN"/>
                    </w:rPr>
                    <w:t>1-5、表</w:t>
                  </w:r>
                  <w:r>
                    <w:rPr>
                      <w:rFonts w:hint="eastAsia"/>
                      <w:color w:val="auto"/>
                      <w:sz w:val="21"/>
                      <w:szCs w:val="21"/>
                      <w:highlight w:val="none"/>
                    </w:rPr>
                    <w:t>1-6分析内容：本项目的生产工艺、生产设备、生产规模、能源消耗符合</w:t>
                  </w:r>
                  <w:r>
                    <w:rPr>
                      <w:rFonts w:hint="eastAsia"/>
                      <w:color w:val="auto"/>
                    </w:rPr>
                    <w:t>2013年版《铸造行业准入条件》</w:t>
                  </w:r>
                  <w:r>
                    <w:rPr>
                      <w:rFonts w:hint="eastAsia"/>
                      <w:color w:val="auto"/>
                      <w:sz w:val="21"/>
                      <w:szCs w:val="21"/>
                      <w:highlight w:val="none"/>
                    </w:rPr>
                    <w:t>要求。</w:t>
                  </w:r>
                </w:p>
              </w:tc>
              <w:tc>
                <w:tcPr>
                  <w:tcW w:w="544" w:type="pct"/>
                  <w:vAlign w:val="center"/>
                </w:tcPr>
                <w:p w14:paraId="56C8219F">
                  <w:pPr>
                    <w:spacing w:line="0" w:lineRule="atLeast"/>
                    <w:jc w:val="center"/>
                    <w:rPr>
                      <w:color w:val="auto"/>
                      <w:sz w:val="21"/>
                      <w:szCs w:val="21"/>
                    </w:rPr>
                  </w:pPr>
                  <w:r>
                    <w:rPr>
                      <w:color w:val="auto"/>
                      <w:sz w:val="21"/>
                      <w:szCs w:val="21"/>
                    </w:rPr>
                    <w:t>符合</w:t>
                  </w:r>
                </w:p>
              </w:tc>
            </w:tr>
          </w:tbl>
          <w:p w14:paraId="39C6D2A2">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8</w:t>
            </w:r>
            <w:r>
              <w:rPr>
                <w:rFonts w:hint="default" w:ascii="Times New Roman" w:hAnsi="Times New Roman" w:eastAsia="宋体" w:cs="Times New Roman"/>
                <w:b/>
                <w:bCs w:val="0"/>
                <w:color w:val="auto"/>
                <w:sz w:val="24"/>
                <w:szCs w:val="24"/>
              </w:rPr>
              <w:t>、与《挥发性有机物（VOCs）污染防治技术政策》符合性分析</w:t>
            </w:r>
          </w:p>
          <w:p w14:paraId="1B8B6F6A">
            <w:pPr>
              <w:adjustRightInd w:val="0"/>
              <w:snapToGrid w:val="0"/>
              <w:spacing w:line="360" w:lineRule="auto"/>
              <w:ind w:firstLine="480" w:firstLineChars="200"/>
              <w:rPr>
                <w:rFonts w:hint="eastAsia"/>
                <w:color w:val="auto"/>
                <w:sz w:val="24"/>
                <w:szCs w:val="24"/>
              </w:rPr>
            </w:pPr>
            <w:r>
              <w:rPr>
                <w:rFonts w:hint="eastAsia"/>
                <w:color w:val="auto"/>
                <w:sz w:val="24"/>
                <w:szCs w:val="24"/>
              </w:rPr>
              <w:t>本项目与《挥发性有机物（VOCs）污染防治技术政策》（生态环境部，2013年第31号公告）符合性分析见下表。</w:t>
            </w:r>
          </w:p>
          <w:p w14:paraId="52717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eastAsia="黑体"/>
                <w:color w:val="auto"/>
                <w:kern w:val="0"/>
                <w:sz w:val="24"/>
                <w:szCs w:val="24"/>
              </w:rPr>
            </w:pPr>
          </w:p>
          <w:p w14:paraId="1B92F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eastAsia="黑体"/>
                <w:color w:val="auto"/>
                <w:kern w:val="0"/>
                <w:sz w:val="24"/>
                <w:szCs w:val="24"/>
              </w:rPr>
            </w:pPr>
          </w:p>
          <w:p w14:paraId="4F3DF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eastAsia="黑体"/>
                <w:color w:val="auto"/>
                <w:kern w:val="0"/>
                <w:sz w:val="24"/>
                <w:szCs w:val="24"/>
              </w:rPr>
            </w:pPr>
            <w:r>
              <w:rPr>
                <w:rFonts w:hint="eastAsia" w:eastAsia="黑体"/>
                <w:color w:val="auto"/>
                <w:kern w:val="0"/>
                <w:sz w:val="24"/>
                <w:szCs w:val="24"/>
              </w:rPr>
              <w:t>表1-</w:t>
            </w:r>
            <w:r>
              <w:rPr>
                <w:rFonts w:hint="eastAsia" w:eastAsia="黑体"/>
                <w:color w:val="auto"/>
                <w:kern w:val="0"/>
                <w:sz w:val="24"/>
                <w:szCs w:val="24"/>
                <w:lang w:val="en-US" w:eastAsia="zh-CN"/>
              </w:rPr>
              <w:t>10</w:t>
            </w:r>
            <w:r>
              <w:rPr>
                <w:rFonts w:eastAsia="黑体"/>
                <w:color w:val="auto"/>
                <w:kern w:val="0"/>
                <w:sz w:val="24"/>
                <w:szCs w:val="24"/>
              </w:rPr>
              <w:t xml:space="preserve">  </w:t>
            </w:r>
            <w:r>
              <w:rPr>
                <w:rFonts w:hint="eastAsia" w:eastAsia="黑体"/>
                <w:color w:val="auto"/>
                <w:kern w:val="0"/>
                <w:sz w:val="24"/>
                <w:szCs w:val="24"/>
              </w:rPr>
              <w:t>与《挥发性有机物（VOCs）污染防治技术政策》符合性分析</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515"/>
              <w:gridCol w:w="1390"/>
              <w:gridCol w:w="4254"/>
              <w:gridCol w:w="1657"/>
              <w:gridCol w:w="788"/>
            </w:tblGrid>
            <w:tr w14:paraId="67308D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jc w:val="center"/>
              </w:trPr>
              <w:tc>
                <w:tcPr>
                  <w:tcW w:w="1107" w:type="pct"/>
                  <w:gridSpan w:val="2"/>
                  <w:vAlign w:val="center"/>
                </w:tcPr>
                <w:p w14:paraId="16730DF6">
                  <w:pPr>
                    <w:jc w:val="center"/>
                    <w:rPr>
                      <w:b/>
                      <w:bCs/>
                      <w:color w:val="auto"/>
                      <w:sz w:val="21"/>
                      <w:szCs w:val="21"/>
                    </w:rPr>
                  </w:pPr>
                  <w:r>
                    <w:rPr>
                      <w:rFonts w:hint="eastAsia"/>
                      <w:b/>
                      <w:bCs/>
                      <w:color w:val="auto"/>
                      <w:sz w:val="21"/>
                      <w:szCs w:val="21"/>
                    </w:rPr>
                    <w:t>控制途径</w:t>
                  </w:r>
                </w:p>
              </w:tc>
              <w:tc>
                <w:tcPr>
                  <w:tcW w:w="2471" w:type="pct"/>
                  <w:vAlign w:val="center"/>
                </w:tcPr>
                <w:p w14:paraId="56EB55D5">
                  <w:pPr>
                    <w:jc w:val="center"/>
                    <w:rPr>
                      <w:b/>
                      <w:bCs/>
                      <w:color w:val="auto"/>
                      <w:sz w:val="21"/>
                      <w:szCs w:val="21"/>
                    </w:rPr>
                  </w:pPr>
                  <w:r>
                    <w:rPr>
                      <w:b/>
                      <w:bCs/>
                      <w:color w:val="auto"/>
                      <w:sz w:val="21"/>
                      <w:szCs w:val="21"/>
                    </w:rPr>
                    <w:t>挥发性有机物（VOCs）污染防治技术政策要求</w:t>
                  </w:r>
                </w:p>
              </w:tc>
              <w:tc>
                <w:tcPr>
                  <w:tcW w:w="963" w:type="pct"/>
                  <w:vAlign w:val="center"/>
                </w:tcPr>
                <w:p w14:paraId="1D48A073">
                  <w:pPr>
                    <w:jc w:val="center"/>
                    <w:rPr>
                      <w:b/>
                      <w:bCs/>
                      <w:color w:val="auto"/>
                      <w:sz w:val="21"/>
                      <w:szCs w:val="21"/>
                    </w:rPr>
                  </w:pPr>
                  <w:r>
                    <w:rPr>
                      <w:b/>
                      <w:bCs/>
                      <w:color w:val="auto"/>
                      <w:sz w:val="21"/>
                      <w:szCs w:val="21"/>
                    </w:rPr>
                    <w:t>本项目情况</w:t>
                  </w:r>
                </w:p>
              </w:tc>
              <w:tc>
                <w:tcPr>
                  <w:tcW w:w="457" w:type="pct"/>
                  <w:vAlign w:val="center"/>
                </w:tcPr>
                <w:p w14:paraId="06402DFA">
                  <w:pPr>
                    <w:jc w:val="center"/>
                    <w:rPr>
                      <w:b/>
                      <w:bCs/>
                      <w:color w:val="auto"/>
                      <w:sz w:val="21"/>
                      <w:szCs w:val="21"/>
                    </w:rPr>
                  </w:pPr>
                  <w:r>
                    <w:rPr>
                      <w:rFonts w:hint="eastAsia"/>
                      <w:b/>
                      <w:bCs/>
                      <w:color w:val="auto"/>
                      <w:sz w:val="21"/>
                      <w:szCs w:val="21"/>
                    </w:rPr>
                    <w:t>符合</w:t>
                  </w:r>
                  <w:r>
                    <w:rPr>
                      <w:b/>
                      <w:bCs/>
                      <w:color w:val="auto"/>
                      <w:sz w:val="21"/>
                      <w:szCs w:val="21"/>
                    </w:rPr>
                    <w:t>性分析</w:t>
                  </w:r>
                </w:p>
              </w:tc>
            </w:tr>
            <w:tr w14:paraId="4CFC30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jc w:val="center"/>
              </w:trPr>
              <w:tc>
                <w:tcPr>
                  <w:tcW w:w="299" w:type="pct"/>
                  <w:vAlign w:val="center"/>
                </w:tcPr>
                <w:p w14:paraId="4CA81B15">
                  <w:pPr>
                    <w:jc w:val="center"/>
                    <w:rPr>
                      <w:color w:val="auto"/>
                      <w:sz w:val="21"/>
                      <w:szCs w:val="21"/>
                    </w:rPr>
                  </w:pPr>
                  <w:r>
                    <w:rPr>
                      <w:color w:val="auto"/>
                      <w:sz w:val="21"/>
                      <w:szCs w:val="21"/>
                    </w:rPr>
                    <w:t>源头和过程控制</w:t>
                  </w:r>
                </w:p>
              </w:tc>
              <w:tc>
                <w:tcPr>
                  <w:tcW w:w="808" w:type="pct"/>
                  <w:vAlign w:val="center"/>
                </w:tcPr>
                <w:p w14:paraId="6823C300">
                  <w:pPr>
                    <w:jc w:val="center"/>
                    <w:rPr>
                      <w:color w:val="auto"/>
                      <w:sz w:val="21"/>
                      <w:szCs w:val="21"/>
                    </w:rPr>
                  </w:pPr>
                  <w:r>
                    <w:rPr>
                      <w:color w:val="auto"/>
                      <w:sz w:val="21"/>
                      <w:szCs w:val="21"/>
                    </w:rPr>
                    <w:t>在涂装、印刷、</w:t>
                  </w:r>
                  <w:r>
                    <w:rPr>
                      <w:rFonts w:hint="eastAsia"/>
                      <w:color w:val="auto"/>
                      <w:sz w:val="21"/>
                      <w:szCs w:val="21"/>
                      <w:lang w:eastAsia="zh-CN"/>
                    </w:rPr>
                    <w:t>黏合</w:t>
                  </w:r>
                  <w:r>
                    <w:rPr>
                      <w:color w:val="auto"/>
                      <w:sz w:val="21"/>
                      <w:szCs w:val="21"/>
                    </w:rPr>
                    <w:t>、工业清洗等含VOCs产品的使用过程中的VOCs污染防治技术措施</w:t>
                  </w:r>
                </w:p>
              </w:tc>
              <w:tc>
                <w:tcPr>
                  <w:tcW w:w="2471" w:type="pct"/>
                  <w:vAlign w:val="center"/>
                </w:tcPr>
                <w:p w14:paraId="4404DA55">
                  <w:pPr>
                    <w:widowControl/>
                    <w:numPr>
                      <w:ilvl w:val="0"/>
                      <w:numId w:val="0"/>
                    </w:numPr>
                    <w:jc w:val="left"/>
                    <w:rPr>
                      <w:color w:val="auto"/>
                      <w:sz w:val="21"/>
                      <w:szCs w:val="21"/>
                    </w:rPr>
                  </w:pPr>
                  <w:r>
                    <w:rPr>
                      <w:color w:val="auto"/>
                      <w:kern w:val="0"/>
                      <w:sz w:val="21"/>
                      <w:szCs w:val="21"/>
                    </w:rPr>
                    <w:t>含VOCs产品的使用过程中，应采取废气收集措施，提高废气收集效率，减少废气的无组织排放与逸散，并对收集后的废气进行回收或处理后达标排放。</w:t>
                  </w:r>
                </w:p>
              </w:tc>
              <w:tc>
                <w:tcPr>
                  <w:tcW w:w="963" w:type="pct"/>
                  <w:vMerge w:val="restart"/>
                  <w:vAlign w:val="center"/>
                </w:tcPr>
                <w:p w14:paraId="0938CC05">
                  <w:pPr>
                    <w:jc w:val="center"/>
                    <w:rPr>
                      <w:rFonts w:hint="eastAsia"/>
                      <w:color w:val="auto"/>
                      <w:sz w:val="21"/>
                      <w:szCs w:val="21"/>
                      <w:highlight w:val="none"/>
                    </w:rPr>
                  </w:pPr>
                  <w:r>
                    <w:rPr>
                      <w:rFonts w:hint="eastAsia"/>
                      <w:color w:val="auto"/>
                      <w:sz w:val="21"/>
                      <w:szCs w:val="21"/>
                      <w:highlight w:val="none"/>
                    </w:rPr>
                    <w:t>本项目涉及挥发性有机物的原料主要包括</w:t>
                  </w:r>
                  <w:r>
                    <w:rPr>
                      <w:rFonts w:hint="eastAsia"/>
                      <w:color w:val="auto"/>
                      <w:sz w:val="21"/>
                      <w:szCs w:val="21"/>
                      <w:highlight w:val="none"/>
                      <w:lang w:val="en-US" w:eastAsia="zh-CN"/>
                    </w:rPr>
                    <w:t>塑粉</w:t>
                  </w:r>
                  <w:r>
                    <w:rPr>
                      <w:rFonts w:hint="eastAsia"/>
                      <w:color w:val="auto"/>
                      <w:sz w:val="21"/>
                      <w:szCs w:val="21"/>
                      <w:highlight w:val="none"/>
                    </w:rPr>
                    <w:t>、</w:t>
                  </w:r>
                  <w:r>
                    <w:rPr>
                      <w:rFonts w:hint="eastAsia"/>
                      <w:color w:val="auto"/>
                      <w:sz w:val="21"/>
                      <w:szCs w:val="21"/>
                      <w:highlight w:val="none"/>
                      <w:lang w:val="en-US" w:eastAsia="zh-CN"/>
                    </w:rPr>
                    <w:t>DOP胶黏剂、树脂、三乙胺、石蜡等，挥发性有机废气产生工艺设备密闭收集或局部收集。</w:t>
                  </w:r>
                </w:p>
                <w:p w14:paraId="65A954B4">
                  <w:pPr>
                    <w:jc w:val="center"/>
                    <w:rPr>
                      <w:color w:val="auto"/>
                      <w:sz w:val="21"/>
                      <w:szCs w:val="21"/>
                      <w:highlight w:val="yellow"/>
                    </w:rPr>
                  </w:pPr>
                  <w:r>
                    <w:rPr>
                      <w:rFonts w:hint="eastAsia"/>
                      <w:color w:val="auto"/>
                      <w:sz w:val="21"/>
                      <w:szCs w:val="21"/>
                      <w:highlight w:val="none"/>
                    </w:rPr>
                    <w:t>本项目</w:t>
                  </w:r>
                  <w:r>
                    <w:rPr>
                      <w:rFonts w:hint="eastAsia"/>
                      <w:color w:val="auto"/>
                      <w:sz w:val="21"/>
                      <w:szCs w:val="21"/>
                      <w:highlight w:val="none"/>
                      <w:lang w:val="en-US" w:eastAsia="zh-CN"/>
                    </w:rPr>
                    <w:t>各工序废气中的VOCs浓度不高且不宜回收，废气收集后引至净化设施（活性炭吸附）处理后15m排气筒排放</w:t>
                  </w:r>
                  <w:r>
                    <w:rPr>
                      <w:rFonts w:hint="eastAsia"/>
                      <w:color w:val="auto"/>
                      <w:sz w:val="21"/>
                      <w:szCs w:val="21"/>
                      <w:highlight w:val="none"/>
                    </w:rPr>
                    <w:t>。</w:t>
                  </w:r>
                </w:p>
              </w:tc>
              <w:tc>
                <w:tcPr>
                  <w:tcW w:w="457" w:type="pct"/>
                  <w:vAlign w:val="center"/>
                </w:tcPr>
                <w:p w14:paraId="62F786D3">
                  <w:pPr>
                    <w:jc w:val="center"/>
                    <w:rPr>
                      <w:color w:val="auto"/>
                      <w:sz w:val="21"/>
                      <w:szCs w:val="21"/>
                    </w:rPr>
                  </w:pPr>
                  <w:r>
                    <w:rPr>
                      <w:rFonts w:hint="eastAsia"/>
                      <w:color w:val="auto"/>
                      <w:sz w:val="21"/>
                      <w:szCs w:val="21"/>
                    </w:rPr>
                    <w:t>符合</w:t>
                  </w:r>
                </w:p>
              </w:tc>
            </w:tr>
            <w:tr w14:paraId="4CF901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jc w:val="center"/>
              </w:trPr>
              <w:tc>
                <w:tcPr>
                  <w:tcW w:w="1107" w:type="pct"/>
                  <w:gridSpan w:val="2"/>
                  <w:vAlign w:val="center"/>
                </w:tcPr>
                <w:p w14:paraId="01DEB01F">
                  <w:pPr>
                    <w:jc w:val="center"/>
                    <w:rPr>
                      <w:color w:val="auto"/>
                      <w:sz w:val="21"/>
                      <w:szCs w:val="21"/>
                    </w:rPr>
                  </w:pPr>
                  <w:r>
                    <w:rPr>
                      <w:color w:val="auto"/>
                      <w:sz w:val="21"/>
                      <w:szCs w:val="21"/>
                    </w:rPr>
                    <w:t>末端治理与综合利用</w:t>
                  </w:r>
                </w:p>
              </w:tc>
              <w:tc>
                <w:tcPr>
                  <w:tcW w:w="2471" w:type="pct"/>
                  <w:vAlign w:val="center"/>
                </w:tcPr>
                <w:p w14:paraId="2638E9B0">
                  <w:pPr>
                    <w:widowControl/>
                    <w:numPr>
                      <w:ilvl w:val="0"/>
                      <w:numId w:val="9"/>
                    </w:numPr>
                    <w:jc w:val="left"/>
                    <w:rPr>
                      <w:color w:val="auto"/>
                      <w:sz w:val="21"/>
                      <w:szCs w:val="21"/>
                    </w:rPr>
                  </w:pPr>
                  <w:r>
                    <w:rPr>
                      <w:color w:val="auto"/>
                      <w:sz w:val="21"/>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27B1342F">
                  <w:pPr>
                    <w:widowControl/>
                    <w:numPr>
                      <w:ilvl w:val="0"/>
                      <w:numId w:val="9"/>
                    </w:numPr>
                    <w:jc w:val="left"/>
                    <w:rPr>
                      <w:color w:val="auto"/>
                      <w:sz w:val="21"/>
                      <w:szCs w:val="21"/>
                    </w:rPr>
                  </w:pPr>
                  <w:r>
                    <w:rPr>
                      <w:color w:val="auto"/>
                      <w:sz w:val="21"/>
                      <w:szCs w:val="21"/>
                    </w:rPr>
                    <w:t>严格控制VOCs处理过程中产生的二次污染，对于催化燃烧和热力焚烧过程中产生的含硫、氮、氯等无机废气，以及吸附、吸收、冷凝、生物等治理过程中所产生的含有机物废水，应处理后达标排放。</w:t>
                  </w:r>
                </w:p>
                <w:p w14:paraId="542BB4D5">
                  <w:pPr>
                    <w:widowControl/>
                    <w:numPr>
                      <w:ilvl w:val="0"/>
                      <w:numId w:val="9"/>
                    </w:numPr>
                    <w:jc w:val="left"/>
                    <w:rPr>
                      <w:color w:val="auto"/>
                      <w:sz w:val="21"/>
                      <w:szCs w:val="21"/>
                    </w:rPr>
                  </w:pPr>
                  <w:r>
                    <w:rPr>
                      <w:color w:val="auto"/>
                      <w:sz w:val="21"/>
                      <w:szCs w:val="21"/>
                    </w:rPr>
                    <w:t>对于不能再生的过滤材料、吸附剂及催化剂等净化材料，应按照国家固体废物管理的相关规定处理处置。</w:t>
                  </w:r>
                </w:p>
              </w:tc>
              <w:tc>
                <w:tcPr>
                  <w:tcW w:w="963" w:type="pct"/>
                  <w:vMerge w:val="continue"/>
                  <w:vAlign w:val="center"/>
                </w:tcPr>
                <w:p w14:paraId="2BC52D57">
                  <w:pPr>
                    <w:jc w:val="center"/>
                    <w:rPr>
                      <w:color w:val="auto"/>
                      <w:sz w:val="21"/>
                      <w:szCs w:val="21"/>
                      <w:highlight w:val="yellow"/>
                    </w:rPr>
                  </w:pPr>
                </w:p>
              </w:tc>
              <w:tc>
                <w:tcPr>
                  <w:tcW w:w="457" w:type="pct"/>
                  <w:vAlign w:val="center"/>
                </w:tcPr>
                <w:p w14:paraId="466933E7">
                  <w:pPr>
                    <w:jc w:val="center"/>
                    <w:rPr>
                      <w:color w:val="auto"/>
                      <w:sz w:val="21"/>
                      <w:szCs w:val="21"/>
                    </w:rPr>
                  </w:pPr>
                  <w:r>
                    <w:rPr>
                      <w:rFonts w:hint="eastAsia"/>
                      <w:color w:val="auto"/>
                      <w:sz w:val="21"/>
                      <w:szCs w:val="21"/>
                    </w:rPr>
                    <w:t>符合</w:t>
                  </w:r>
                </w:p>
              </w:tc>
            </w:tr>
          </w:tbl>
          <w:p w14:paraId="6B8C7CD3">
            <w:pPr>
              <w:adjustRightInd w:val="0"/>
              <w:snapToGrid w:val="0"/>
              <w:spacing w:before="120" w:beforeLines="50" w:line="360" w:lineRule="auto"/>
              <w:ind w:firstLine="480" w:firstLineChars="200"/>
              <w:rPr>
                <w:color w:val="auto"/>
                <w:sz w:val="24"/>
                <w:szCs w:val="24"/>
              </w:rPr>
            </w:pPr>
            <w:r>
              <w:rPr>
                <w:rFonts w:hint="eastAsia"/>
                <w:color w:val="auto"/>
                <w:sz w:val="24"/>
                <w:szCs w:val="24"/>
              </w:rPr>
              <w:t>根据上表分析，本项目符合《挥发性有机物（VOCs）污染防治技术政策》中相关要求。</w:t>
            </w:r>
          </w:p>
          <w:p w14:paraId="079D8FCF">
            <w:pPr>
              <w:pStyle w:val="82"/>
              <w:keepNext w:val="0"/>
              <w:keepLines w:val="0"/>
              <w:pageBreakBefore w:val="0"/>
              <w:widowControl w:val="0"/>
              <w:kinsoku/>
              <w:wordWrap/>
              <w:overflowPunct/>
              <w:topLinePunct w:val="0"/>
              <w:autoSpaceDE/>
              <w:autoSpaceDN/>
              <w:bidi w:val="0"/>
              <w:adjustRightInd w:val="0"/>
              <w:snapToGrid w:val="0"/>
              <w:textAlignment w:val="auto"/>
              <w:rPr>
                <w:color w:val="auto"/>
                <w:sz w:val="24"/>
                <w:szCs w:val="24"/>
              </w:rPr>
            </w:pPr>
            <w:r>
              <w:rPr>
                <w:rFonts w:hint="eastAsia"/>
                <w:b/>
                <w:bCs w:val="0"/>
                <w:color w:val="auto"/>
                <w:sz w:val="24"/>
                <w:szCs w:val="24"/>
                <w:lang w:val="en-US" w:eastAsia="zh-CN"/>
              </w:rPr>
              <w:t>9</w:t>
            </w:r>
            <w:r>
              <w:rPr>
                <w:rFonts w:hint="eastAsia"/>
                <w:b/>
                <w:bCs w:val="0"/>
                <w:color w:val="auto"/>
                <w:sz w:val="24"/>
                <w:szCs w:val="24"/>
              </w:rPr>
              <w:t>、</w:t>
            </w:r>
            <w:r>
              <w:rPr>
                <w:rFonts w:hint="eastAsia" w:ascii="宋体" w:hAnsi="宋体" w:eastAsia="宋体" w:cs="宋体"/>
                <w:b/>
                <w:bCs w:val="0"/>
                <w:color w:val="auto"/>
                <w:sz w:val="24"/>
                <w:szCs w:val="24"/>
              </w:rPr>
              <w:t>与《挥发性有机物无组织排放控制标准》的符合性分析</w:t>
            </w:r>
          </w:p>
          <w:p w14:paraId="42A2B411">
            <w:pPr>
              <w:spacing w:line="360" w:lineRule="auto"/>
              <w:ind w:firstLine="560" w:firstLineChars="200"/>
              <w:jc w:val="left"/>
              <w:rPr>
                <w:rFonts w:ascii="宋体" w:hAnsi="宋体"/>
                <w:color w:val="auto"/>
                <w:spacing w:val="20"/>
                <w:kern w:val="0"/>
                <w:sz w:val="24"/>
                <w:szCs w:val="24"/>
              </w:rPr>
            </w:pPr>
            <w:r>
              <w:rPr>
                <w:rFonts w:hint="eastAsia" w:ascii="宋体" w:hAnsi="宋体"/>
                <w:color w:val="auto"/>
                <w:spacing w:val="20"/>
                <w:kern w:val="0"/>
                <w:sz w:val="24"/>
                <w:szCs w:val="24"/>
              </w:rPr>
              <w:t>本</w:t>
            </w:r>
            <w:r>
              <w:rPr>
                <w:rFonts w:ascii="宋体" w:hAnsi="宋体"/>
                <w:color w:val="auto"/>
                <w:spacing w:val="20"/>
                <w:kern w:val="0"/>
                <w:sz w:val="24"/>
                <w:szCs w:val="24"/>
              </w:rPr>
              <w:t>项目与《挥发性有机物无组织排放控制标准》（</w:t>
            </w:r>
            <w:r>
              <w:rPr>
                <w:color w:val="auto"/>
                <w:spacing w:val="20"/>
                <w:kern w:val="0"/>
                <w:sz w:val="24"/>
                <w:szCs w:val="24"/>
              </w:rPr>
              <w:t>GB37822-2019</w:t>
            </w:r>
            <w:r>
              <w:rPr>
                <w:rFonts w:ascii="宋体" w:hAnsi="宋体"/>
                <w:color w:val="auto"/>
                <w:spacing w:val="20"/>
                <w:kern w:val="0"/>
                <w:sz w:val="24"/>
                <w:szCs w:val="24"/>
              </w:rPr>
              <w:t>）的符合性分析见</w:t>
            </w:r>
            <w:r>
              <w:rPr>
                <w:rFonts w:hint="eastAsia" w:ascii="宋体" w:hAnsi="宋体"/>
                <w:color w:val="auto"/>
                <w:spacing w:val="20"/>
                <w:kern w:val="0"/>
                <w:sz w:val="24"/>
                <w:szCs w:val="24"/>
              </w:rPr>
              <w:t>下</w:t>
            </w:r>
            <w:r>
              <w:rPr>
                <w:rFonts w:ascii="宋体" w:hAnsi="宋体"/>
                <w:color w:val="auto"/>
                <w:spacing w:val="20"/>
                <w:kern w:val="0"/>
                <w:sz w:val="24"/>
                <w:szCs w:val="24"/>
              </w:rPr>
              <w:t>表。</w:t>
            </w:r>
          </w:p>
          <w:p w14:paraId="4673D4C4">
            <w:pPr>
              <w:widowControl/>
              <w:spacing w:line="360" w:lineRule="auto"/>
              <w:jc w:val="center"/>
              <w:rPr>
                <w:rFonts w:eastAsia="黑体"/>
                <w:color w:val="auto"/>
                <w:kern w:val="0"/>
                <w:sz w:val="24"/>
                <w:szCs w:val="24"/>
              </w:rPr>
            </w:pPr>
            <w:r>
              <w:rPr>
                <w:rFonts w:hint="eastAsia" w:eastAsia="黑体"/>
                <w:color w:val="auto"/>
                <w:kern w:val="0"/>
                <w:sz w:val="24"/>
                <w:szCs w:val="24"/>
              </w:rPr>
              <w:t>表1-</w:t>
            </w:r>
            <w:r>
              <w:rPr>
                <w:rFonts w:hint="eastAsia" w:eastAsia="黑体"/>
                <w:color w:val="auto"/>
                <w:kern w:val="0"/>
                <w:sz w:val="24"/>
                <w:szCs w:val="24"/>
                <w:lang w:val="en-US" w:eastAsia="zh-CN"/>
              </w:rPr>
              <w:t>11</w:t>
            </w:r>
            <w:r>
              <w:rPr>
                <w:rFonts w:eastAsia="黑体"/>
                <w:color w:val="auto"/>
                <w:kern w:val="0"/>
                <w:sz w:val="24"/>
                <w:szCs w:val="24"/>
              </w:rPr>
              <w:t xml:space="preserve">  与《挥发性有机物无组织排放控制标准》</w:t>
            </w:r>
            <w:r>
              <w:rPr>
                <w:rFonts w:hint="eastAsia" w:eastAsia="黑体"/>
                <w:color w:val="auto"/>
                <w:kern w:val="0"/>
                <w:sz w:val="24"/>
                <w:szCs w:val="24"/>
              </w:rPr>
              <w:t>符合</w:t>
            </w:r>
            <w:r>
              <w:rPr>
                <w:rFonts w:eastAsia="黑体"/>
                <w:color w:val="auto"/>
                <w:kern w:val="0"/>
                <w:sz w:val="24"/>
                <w:szCs w:val="24"/>
              </w:rPr>
              <w:t>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3"/>
              <w:gridCol w:w="5302"/>
              <w:gridCol w:w="1993"/>
              <w:gridCol w:w="836"/>
            </w:tblGrid>
            <w:tr w14:paraId="310357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64B62B35">
                  <w:pPr>
                    <w:adjustRightInd w:val="0"/>
                    <w:snapToGrid w:val="0"/>
                    <w:spacing w:line="0" w:lineRule="atLeast"/>
                    <w:ind w:left="-105" w:leftChars="-50" w:right="-105" w:rightChars="-50"/>
                    <w:jc w:val="center"/>
                    <w:rPr>
                      <w:b/>
                      <w:bCs/>
                      <w:color w:val="auto"/>
                      <w:sz w:val="21"/>
                      <w:szCs w:val="21"/>
                    </w:rPr>
                  </w:pPr>
                  <w:r>
                    <w:rPr>
                      <w:b/>
                      <w:bCs/>
                      <w:color w:val="auto"/>
                      <w:sz w:val="21"/>
                      <w:szCs w:val="21"/>
                    </w:rPr>
                    <w:t>环节</w:t>
                  </w:r>
                </w:p>
              </w:tc>
              <w:tc>
                <w:tcPr>
                  <w:tcW w:w="3081" w:type="pct"/>
                  <w:vAlign w:val="center"/>
                </w:tcPr>
                <w:p w14:paraId="3BA47F73">
                  <w:pPr>
                    <w:spacing w:line="0" w:lineRule="atLeast"/>
                    <w:jc w:val="center"/>
                    <w:rPr>
                      <w:b/>
                      <w:bCs/>
                      <w:color w:val="auto"/>
                      <w:sz w:val="21"/>
                      <w:szCs w:val="21"/>
                    </w:rPr>
                  </w:pPr>
                  <w:r>
                    <w:rPr>
                      <w:b/>
                      <w:bCs/>
                      <w:color w:val="auto"/>
                      <w:sz w:val="21"/>
                      <w:szCs w:val="21"/>
                    </w:rPr>
                    <w:t>要求</w:t>
                  </w:r>
                </w:p>
              </w:tc>
              <w:tc>
                <w:tcPr>
                  <w:tcW w:w="1157" w:type="pct"/>
                  <w:vAlign w:val="center"/>
                </w:tcPr>
                <w:p w14:paraId="30BA2789">
                  <w:pPr>
                    <w:spacing w:line="0" w:lineRule="atLeast"/>
                    <w:jc w:val="center"/>
                    <w:rPr>
                      <w:b/>
                      <w:bCs/>
                      <w:color w:val="auto"/>
                      <w:sz w:val="21"/>
                      <w:szCs w:val="21"/>
                    </w:rPr>
                  </w:pPr>
                  <w:r>
                    <w:rPr>
                      <w:b/>
                      <w:bCs/>
                      <w:color w:val="auto"/>
                      <w:sz w:val="21"/>
                      <w:szCs w:val="21"/>
                    </w:rPr>
                    <w:t>本项目</w:t>
                  </w:r>
                </w:p>
              </w:tc>
              <w:tc>
                <w:tcPr>
                  <w:tcW w:w="485" w:type="pct"/>
                  <w:vAlign w:val="center"/>
                </w:tcPr>
                <w:p w14:paraId="708B748E">
                  <w:pPr>
                    <w:spacing w:line="0" w:lineRule="atLeast"/>
                    <w:jc w:val="center"/>
                    <w:rPr>
                      <w:b/>
                      <w:bCs/>
                      <w:color w:val="auto"/>
                      <w:sz w:val="21"/>
                      <w:szCs w:val="21"/>
                    </w:rPr>
                  </w:pPr>
                  <w:r>
                    <w:rPr>
                      <w:b/>
                      <w:bCs/>
                      <w:color w:val="auto"/>
                      <w:sz w:val="21"/>
                      <w:szCs w:val="21"/>
                    </w:rPr>
                    <w:t>符合性</w:t>
                  </w:r>
                </w:p>
              </w:tc>
            </w:tr>
            <w:tr w14:paraId="1A5A6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Merge w:val="restart"/>
                  <w:vAlign w:val="center"/>
                </w:tcPr>
                <w:p w14:paraId="684E5887">
                  <w:pPr>
                    <w:adjustRightInd w:val="0"/>
                    <w:snapToGrid w:val="0"/>
                    <w:spacing w:line="0" w:lineRule="atLeast"/>
                    <w:ind w:left="-105" w:leftChars="-50" w:right="-105" w:rightChars="-50"/>
                    <w:rPr>
                      <w:color w:val="auto"/>
                      <w:sz w:val="21"/>
                      <w:szCs w:val="21"/>
                    </w:rPr>
                  </w:pPr>
                  <w:r>
                    <w:rPr>
                      <w:color w:val="auto"/>
                      <w:sz w:val="21"/>
                      <w:szCs w:val="21"/>
                    </w:rPr>
                    <w:t>储存</w:t>
                  </w:r>
                </w:p>
              </w:tc>
              <w:tc>
                <w:tcPr>
                  <w:tcW w:w="3081" w:type="pct"/>
                  <w:vAlign w:val="center"/>
                </w:tcPr>
                <w:p w14:paraId="20A7296F">
                  <w:pPr>
                    <w:spacing w:line="0" w:lineRule="atLeast"/>
                    <w:rPr>
                      <w:color w:val="auto"/>
                      <w:sz w:val="21"/>
                      <w:szCs w:val="21"/>
                    </w:rPr>
                  </w:pPr>
                  <w:r>
                    <w:rPr>
                      <w:color w:val="auto"/>
                      <w:sz w:val="21"/>
                      <w:szCs w:val="21"/>
                    </w:rPr>
                    <w:t>VOCs物料应储存于密闭的容器、包装袋、储罐、储库、料仓中</w:t>
                  </w:r>
                </w:p>
              </w:tc>
              <w:tc>
                <w:tcPr>
                  <w:tcW w:w="1157" w:type="pct"/>
                  <w:vMerge w:val="restart"/>
                  <w:vAlign w:val="center"/>
                </w:tcPr>
                <w:p w14:paraId="47ED3A80">
                  <w:pPr>
                    <w:spacing w:line="0" w:lineRule="atLeast"/>
                    <w:rPr>
                      <w:color w:val="auto"/>
                      <w:sz w:val="21"/>
                      <w:szCs w:val="21"/>
                      <w:highlight w:val="yellow"/>
                    </w:rPr>
                  </w:pPr>
                  <w:r>
                    <w:rPr>
                      <w:color w:val="auto"/>
                      <w:sz w:val="21"/>
                      <w:szCs w:val="21"/>
                      <w:highlight w:val="none"/>
                    </w:rPr>
                    <w:t>本项目</w:t>
                  </w:r>
                  <w:r>
                    <w:rPr>
                      <w:rFonts w:hint="eastAsia"/>
                      <w:color w:val="auto"/>
                      <w:sz w:val="21"/>
                      <w:szCs w:val="21"/>
                      <w:highlight w:val="none"/>
                      <w:lang w:val="en-US" w:eastAsia="zh-CN"/>
                    </w:rPr>
                    <w:t>塑粉、树脂砂、酚醛树脂、石蜡等原辅材料常温下不挥发，胶黏剂等</w:t>
                  </w:r>
                  <w:r>
                    <w:rPr>
                      <w:color w:val="auto"/>
                      <w:sz w:val="21"/>
                      <w:szCs w:val="21"/>
                      <w:highlight w:val="none"/>
                    </w:rPr>
                    <w:t>储存于密闭的包装</w:t>
                  </w:r>
                  <w:r>
                    <w:rPr>
                      <w:rFonts w:hint="eastAsia"/>
                      <w:color w:val="auto"/>
                      <w:sz w:val="21"/>
                      <w:szCs w:val="21"/>
                      <w:highlight w:val="none"/>
                      <w:lang w:val="en-US" w:eastAsia="zh-CN"/>
                    </w:rPr>
                    <w:t>袋/桶</w:t>
                  </w:r>
                  <w:r>
                    <w:rPr>
                      <w:rFonts w:hint="eastAsia"/>
                      <w:color w:val="auto"/>
                      <w:sz w:val="21"/>
                      <w:szCs w:val="21"/>
                      <w:highlight w:val="none"/>
                    </w:rPr>
                    <w:t>内</w:t>
                  </w:r>
                </w:p>
              </w:tc>
              <w:tc>
                <w:tcPr>
                  <w:tcW w:w="485" w:type="pct"/>
                  <w:vMerge w:val="restart"/>
                  <w:vAlign w:val="center"/>
                </w:tcPr>
                <w:p w14:paraId="72EA1CA9">
                  <w:pPr>
                    <w:spacing w:line="0" w:lineRule="atLeast"/>
                    <w:jc w:val="center"/>
                    <w:rPr>
                      <w:color w:val="auto"/>
                      <w:sz w:val="21"/>
                      <w:szCs w:val="21"/>
                    </w:rPr>
                  </w:pPr>
                  <w:r>
                    <w:rPr>
                      <w:color w:val="auto"/>
                      <w:sz w:val="21"/>
                      <w:szCs w:val="21"/>
                    </w:rPr>
                    <w:t>符合</w:t>
                  </w:r>
                </w:p>
              </w:tc>
            </w:tr>
            <w:tr w14:paraId="0B6D67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Merge w:val="continue"/>
                  <w:vAlign w:val="center"/>
                </w:tcPr>
                <w:p w14:paraId="198548DF">
                  <w:pPr>
                    <w:widowControl/>
                    <w:adjustRightInd w:val="0"/>
                    <w:snapToGrid w:val="0"/>
                    <w:ind w:left="-105" w:leftChars="-50" w:right="-105" w:rightChars="-50"/>
                    <w:jc w:val="left"/>
                    <w:rPr>
                      <w:color w:val="auto"/>
                      <w:sz w:val="21"/>
                      <w:szCs w:val="21"/>
                    </w:rPr>
                  </w:pPr>
                </w:p>
              </w:tc>
              <w:tc>
                <w:tcPr>
                  <w:tcW w:w="3081" w:type="pct"/>
                  <w:vAlign w:val="center"/>
                </w:tcPr>
                <w:p w14:paraId="29494D75">
                  <w:pPr>
                    <w:spacing w:line="0" w:lineRule="atLeast"/>
                    <w:rPr>
                      <w:color w:val="auto"/>
                      <w:sz w:val="21"/>
                      <w:szCs w:val="21"/>
                    </w:rPr>
                  </w:pPr>
                  <w:r>
                    <w:rPr>
                      <w:color w:val="auto"/>
                      <w:sz w:val="21"/>
                      <w:szCs w:val="21"/>
                    </w:rPr>
                    <w:t>盛装VOCs物料的容器或包装袋应存放于室内，或存放于设置有雨棚、遮阳和防渗设施专用场地。盛装VOCs物料的容器或包装袋在非取用状态时应加盖、封口、保持密闭</w:t>
                  </w:r>
                </w:p>
              </w:tc>
              <w:tc>
                <w:tcPr>
                  <w:tcW w:w="1157" w:type="pct"/>
                  <w:vMerge w:val="continue"/>
                  <w:vAlign w:val="center"/>
                </w:tcPr>
                <w:p w14:paraId="7C2D4F0D">
                  <w:pPr>
                    <w:spacing w:line="0" w:lineRule="atLeast"/>
                    <w:rPr>
                      <w:color w:val="auto"/>
                      <w:sz w:val="21"/>
                      <w:szCs w:val="21"/>
                      <w:highlight w:val="yellow"/>
                    </w:rPr>
                  </w:pPr>
                </w:p>
              </w:tc>
              <w:tc>
                <w:tcPr>
                  <w:tcW w:w="485" w:type="pct"/>
                  <w:vMerge w:val="continue"/>
                  <w:vAlign w:val="center"/>
                </w:tcPr>
                <w:p w14:paraId="713EA5D9">
                  <w:pPr>
                    <w:jc w:val="center"/>
                    <w:rPr>
                      <w:color w:val="auto"/>
                      <w:sz w:val="21"/>
                      <w:szCs w:val="21"/>
                    </w:rPr>
                  </w:pPr>
                </w:p>
              </w:tc>
            </w:tr>
            <w:tr w14:paraId="2AC83D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Merge w:val="continue"/>
                  <w:vAlign w:val="center"/>
                </w:tcPr>
                <w:p w14:paraId="7F1722E1">
                  <w:pPr>
                    <w:widowControl/>
                    <w:adjustRightInd w:val="0"/>
                    <w:snapToGrid w:val="0"/>
                    <w:ind w:left="-105" w:leftChars="-50" w:right="-105" w:rightChars="-50"/>
                    <w:jc w:val="left"/>
                    <w:rPr>
                      <w:color w:val="auto"/>
                      <w:sz w:val="21"/>
                      <w:szCs w:val="21"/>
                    </w:rPr>
                  </w:pPr>
                </w:p>
              </w:tc>
              <w:tc>
                <w:tcPr>
                  <w:tcW w:w="3081" w:type="pct"/>
                  <w:vAlign w:val="center"/>
                </w:tcPr>
                <w:p w14:paraId="35A204AE">
                  <w:pPr>
                    <w:spacing w:line="0" w:lineRule="atLeast"/>
                    <w:rPr>
                      <w:color w:val="auto"/>
                      <w:sz w:val="21"/>
                      <w:szCs w:val="21"/>
                    </w:rPr>
                  </w:pPr>
                  <w:r>
                    <w:rPr>
                      <w:color w:val="auto"/>
                      <w:sz w:val="21"/>
                      <w:szCs w:val="21"/>
                    </w:rPr>
                    <w:t>VOCs物料储库、料仓应满足3.6条对密闭空间的要求</w:t>
                  </w:r>
                </w:p>
              </w:tc>
              <w:tc>
                <w:tcPr>
                  <w:tcW w:w="1157" w:type="pct"/>
                  <w:vMerge w:val="continue"/>
                  <w:vAlign w:val="center"/>
                </w:tcPr>
                <w:p w14:paraId="239A5344">
                  <w:pPr>
                    <w:spacing w:line="0" w:lineRule="atLeast"/>
                    <w:rPr>
                      <w:color w:val="auto"/>
                      <w:sz w:val="21"/>
                      <w:szCs w:val="21"/>
                      <w:highlight w:val="yellow"/>
                    </w:rPr>
                  </w:pPr>
                </w:p>
              </w:tc>
              <w:tc>
                <w:tcPr>
                  <w:tcW w:w="485" w:type="pct"/>
                  <w:vMerge w:val="continue"/>
                  <w:vAlign w:val="center"/>
                </w:tcPr>
                <w:p w14:paraId="72791930">
                  <w:pPr>
                    <w:jc w:val="center"/>
                    <w:rPr>
                      <w:color w:val="auto"/>
                      <w:sz w:val="21"/>
                      <w:szCs w:val="21"/>
                    </w:rPr>
                  </w:pPr>
                </w:p>
              </w:tc>
            </w:tr>
            <w:tr w14:paraId="186C93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Merge w:val="restart"/>
                  <w:vAlign w:val="center"/>
                </w:tcPr>
                <w:p w14:paraId="5EE0A39E">
                  <w:pPr>
                    <w:adjustRightInd w:val="0"/>
                    <w:snapToGrid w:val="0"/>
                    <w:spacing w:line="0" w:lineRule="atLeast"/>
                    <w:ind w:left="-105" w:leftChars="-50" w:right="-105" w:rightChars="-50"/>
                    <w:jc w:val="center"/>
                    <w:rPr>
                      <w:color w:val="auto"/>
                      <w:sz w:val="21"/>
                      <w:szCs w:val="21"/>
                    </w:rPr>
                  </w:pPr>
                  <w:r>
                    <w:rPr>
                      <w:color w:val="auto"/>
                      <w:sz w:val="21"/>
                      <w:szCs w:val="21"/>
                    </w:rPr>
                    <w:t>工艺过程</w:t>
                  </w:r>
                </w:p>
              </w:tc>
              <w:tc>
                <w:tcPr>
                  <w:tcW w:w="3081" w:type="pct"/>
                  <w:vAlign w:val="center"/>
                </w:tcPr>
                <w:p w14:paraId="6AF1D949">
                  <w:pPr>
                    <w:spacing w:line="0" w:lineRule="atLeast"/>
                    <w:rPr>
                      <w:color w:val="auto"/>
                      <w:sz w:val="21"/>
                      <w:szCs w:val="21"/>
                    </w:rPr>
                  </w:pPr>
                  <w:r>
                    <w:rPr>
                      <w:color w:val="auto"/>
                      <w:sz w:val="21"/>
                      <w:szCs w:val="21"/>
                    </w:rPr>
                    <w:t>粉状、粒料VOCs物料应采用气力输送方式或采用密闭固体投料器等给料方式密闭投加。无法密闭投加的，应在密闭空间内操作，或进行局部气体收集，废气应排至除尘设施、VOCs废气收集处理系统</w:t>
                  </w:r>
                </w:p>
              </w:tc>
              <w:tc>
                <w:tcPr>
                  <w:tcW w:w="1157" w:type="pct"/>
                  <w:vAlign w:val="center"/>
                </w:tcPr>
                <w:p w14:paraId="5B29AD25">
                  <w:pPr>
                    <w:spacing w:line="0" w:lineRule="atLeast"/>
                    <w:rPr>
                      <w:rFonts w:hint="default"/>
                      <w:color w:val="auto"/>
                      <w:sz w:val="21"/>
                      <w:szCs w:val="21"/>
                      <w:highlight w:val="none"/>
                      <w:lang w:val="en-US"/>
                    </w:rPr>
                  </w:pPr>
                  <w:r>
                    <w:rPr>
                      <w:color w:val="auto"/>
                      <w:sz w:val="21"/>
                      <w:szCs w:val="21"/>
                      <w:highlight w:val="none"/>
                    </w:rPr>
                    <w:t>本项目</w:t>
                  </w:r>
                  <w:r>
                    <w:rPr>
                      <w:rFonts w:hint="eastAsia"/>
                      <w:color w:val="auto"/>
                      <w:sz w:val="21"/>
                      <w:szCs w:val="21"/>
                      <w:highlight w:val="none"/>
                      <w:lang w:val="en-US" w:eastAsia="zh-CN"/>
                    </w:rPr>
                    <w:t>塑粉、树脂砂、酚醛树脂、石蜡等原辅材料常温下不挥发。喷粉工序在密闭设备内进行。</w:t>
                  </w:r>
                </w:p>
              </w:tc>
              <w:tc>
                <w:tcPr>
                  <w:tcW w:w="485" w:type="pct"/>
                  <w:vAlign w:val="center"/>
                </w:tcPr>
                <w:p w14:paraId="68E4465F">
                  <w:pPr>
                    <w:jc w:val="center"/>
                    <w:rPr>
                      <w:color w:val="auto"/>
                      <w:sz w:val="21"/>
                      <w:szCs w:val="21"/>
                    </w:rPr>
                  </w:pPr>
                  <w:r>
                    <w:rPr>
                      <w:color w:val="auto"/>
                      <w:sz w:val="21"/>
                      <w:szCs w:val="21"/>
                    </w:rPr>
                    <w:t>符合</w:t>
                  </w:r>
                </w:p>
              </w:tc>
            </w:tr>
            <w:tr w14:paraId="04E0AD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Merge w:val="continue"/>
                  <w:vAlign w:val="center"/>
                </w:tcPr>
                <w:p w14:paraId="18714799">
                  <w:pPr>
                    <w:widowControl/>
                    <w:adjustRightInd w:val="0"/>
                    <w:snapToGrid w:val="0"/>
                    <w:ind w:left="-105" w:leftChars="-50" w:right="-105" w:rightChars="-50"/>
                    <w:jc w:val="left"/>
                    <w:rPr>
                      <w:color w:val="auto"/>
                      <w:sz w:val="21"/>
                      <w:szCs w:val="21"/>
                    </w:rPr>
                  </w:pPr>
                </w:p>
              </w:tc>
              <w:tc>
                <w:tcPr>
                  <w:tcW w:w="3081" w:type="pct"/>
                  <w:vAlign w:val="center"/>
                </w:tcPr>
                <w:p w14:paraId="4CD488E8">
                  <w:pPr>
                    <w:spacing w:line="0" w:lineRule="atLeast"/>
                    <w:rPr>
                      <w:rFonts w:hint="eastAsia" w:eastAsia="宋体"/>
                      <w:color w:val="auto"/>
                      <w:sz w:val="21"/>
                      <w:szCs w:val="21"/>
                      <w:lang w:eastAsia="zh-CN"/>
                    </w:rPr>
                  </w:pPr>
                  <w:r>
                    <w:rPr>
                      <w:color w:val="auto"/>
                      <w:sz w:val="21"/>
                      <w:szCs w:val="21"/>
                    </w:rPr>
                    <w:t>收集的废气中NM</w:t>
                  </w:r>
                  <w:r>
                    <w:rPr>
                      <w:rFonts w:hint="default" w:ascii="Times New Roman" w:hAnsi="Times New Roman" w:cs="Times New Roman"/>
                      <w:color w:val="auto"/>
                      <w:sz w:val="21"/>
                      <w:szCs w:val="21"/>
                    </w:rPr>
                    <w:t>HC初始排放速率≥3kg/h时”，应配置VOCs处理设施，处理效率不应低于80</w:t>
                  </w:r>
                  <w:r>
                    <w:rPr>
                      <w:rFonts w:hint="eastAsia" w:ascii="Times New Roman" w:hAnsi="Times New Roman" w:cs="Times New Roman"/>
                      <w:color w:val="auto"/>
                      <w:sz w:val="21"/>
                      <w:szCs w:val="21"/>
                      <w:lang w:val="en-US" w:eastAsia="zh-CN"/>
                    </w:rPr>
                    <w:t>%</w:t>
                  </w:r>
                </w:p>
              </w:tc>
              <w:tc>
                <w:tcPr>
                  <w:tcW w:w="1157" w:type="pct"/>
                  <w:vAlign w:val="center"/>
                </w:tcPr>
                <w:p w14:paraId="1094FB55">
                  <w:pPr>
                    <w:spacing w:line="0" w:lineRule="atLeast"/>
                    <w:rPr>
                      <w:color w:val="auto"/>
                      <w:sz w:val="21"/>
                      <w:szCs w:val="21"/>
                      <w:highlight w:val="none"/>
                    </w:rPr>
                  </w:pPr>
                  <w:r>
                    <w:rPr>
                      <w:color w:val="auto"/>
                      <w:sz w:val="21"/>
                      <w:szCs w:val="21"/>
                      <w:highlight w:val="none"/>
                    </w:rPr>
                    <w:t>本项目收集的废气</w:t>
                  </w:r>
                  <w:r>
                    <w:rPr>
                      <w:rFonts w:hint="eastAsia"/>
                      <w:color w:val="auto"/>
                      <w:sz w:val="21"/>
                      <w:szCs w:val="21"/>
                      <w:highlight w:val="none"/>
                    </w:rPr>
                    <w:t>中</w:t>
                  </w:r>
                  <w:r>
                    <w:rPr>
                      <w:color w:val="auto"/>
                      <w:sz w:val="21"/>
                      <w:szCs w:val="21"/>
                      <w:highlight w:val="none"/>
                    </w:rPr>
                    <w:t>VOCs初始排放速率</w:t>
                  </w:r>
                  <w:r>
                    <w:rPr>
                      <w:rFonts w:hint="eastAsia"/>
                      <w:color w:val="auto"/>
                      <w:sz w:val="21"/>
                      <w:szCs w:val="21"/>
                      <w:highlight w:val="none"/>
                      <w:lang w:val="en-US" w:eastAsia="zh-CN"/>
                    </w:rPr>
                    <w:t>均</w:t>
                  </w:r>
                  <w:r>
                    <w:rPr>
                      <w:rFonts w:hint="eastAsia"/>
                      <w:color w:val="auto"/>
                      <w:sz w:val="21"/>
                      <w:szCs w:val="21"/>
                      <w:highlight w:val="none"/>
                    </w:rPr>
                    <w:t>小于</w:t>
                  </w:r>
                  <w:r>
                    <w:rPr>
                      <w:color w:val="auto"/>
                      <w:sz w:val="21"/>
                      <w:szCs w:val="21"/>
                      <w:highlight w:val="none"/>
                    </w:rPr>
                    <w:t>3kg/h</w:t>
                  </w:r>
                  <w:r>
                    <w:rPr>
                      <w:rFonts w:hint="eastAsia"/>
                      <w:color w:val="auto"/>
                      <w:sz w:val="21"/>
                      <w:szCs w:val="21"/>
                      <w:highlight w:val="none"/>
                    </w:rPr>
                    <w:t>，采用“</w:t>
                  </w:r>
                  <w:r>
                    <w:rPr>
                      <w:color w:val="auto"/>
                      <w:sz w:val="21"/>
                      <w:szCs w:val="21"/>
                      <w:highlight w:val="none"/>
                    </w:rPr>
                    <w:t>活性炭吸附</w:t>
                  </w:r>
                  <w:r>
                    <w:rPr>
                      <w:rFonts w:hint="eastAsia"/>
                      <w:color w:val="auto"/>
                      <w:sz w:val="21"/>
                      <w:szCs w:val="21"/>
                      <w:highlight w:val="none"/>
                    </w:rPr>
                    <w:t>”处理达标后15m排气筒排放。</w:t>
                  </w:r>
                </w:p>
              </w:tc>
              <w:tc>
                <w:tcPr>
                  <w:tcW w:w="485" w:type="pct"/>
                  <w:vAlign w:val="center"/>
                </w:tcPr>
                <w:p w14:paraId="3E7AB78F">
                  <w:pPr>
                    <w:jc w:val="center"/>
                    <w:rPr>
                      <w:color w:val="auto"/>
                      <w:sz w:val="21"/>
                      <w:szCs w:val="21"/>
                    </w:rPr>
                  </w:pPr>
                  <w:r>
                    <w:rPr>
                      <w:color w:val="auto"/>
                      <w:sz w:val="21"/>
                      <w:szCs w:val="21"/>
                    </w:rPr>
                    <w:t>符合</w:t>
                  </w:r>
                </w:p>
              </w:tc>
            </w:tr>
            <w:tr w14:paraId="00BBFA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Merge w:val="continue"/>
                  <w:vAlign w:val="center"/>
                </w:tcPr>
                <w:p w14:paraId="3A7E7502">
                  <w:pPr>
                    <w:widowControl/>
                    <w:adjustRightInd w:val="0"/>
                    <w:snapToGrid w:val="0"/>
                    <w:ind w:left="-105" w:leftChars="-50" w:right="-105" w:rightChars="-50"/>
                    <w:jc w:val="left"/>
                    <w:rPr>
                      <w:color w:val="auto"/>
                      <w:sz w:val="21"/>
                      <w:szCs w:val="21"/>
                    </w:rPr>
                  </w:pPr>
                </w:p>
              </w:tc>
              <w:tc>
                <w:tcPr>
                  <w:tcW w:w="3081" w:type="pct"/>
                  <w:vAlign w:val="center"/>
                </w:tcPr>
                <w:p w14:paraId="205BA1E0">
                  <w:pPr>
                    <w:spacing w:line="0" w:lineRule="atLeast"/>
                    <w:rPr>
                      <w:color w:val="auto"/>
                      <w:sz w:val="21"/>
                      <w:szCs w:val="21"/>
                    </w:rPr>
                  </w:pPr>
                  <w:r>
                    <w:rPr>
                      <w:color w:val="auto"/>
                      <w:sz w:val="21"/>
                      <w:szCs w:val="21"/>
                    </w:rPr>
                    <w:t>VOCs质量占比大于等于10%的含VOCs产品，其使用过程应采用密闭设备或在密闭空间内操作，废气应排至VOCs废气处理系统；无法密闭的，应采取局部气体收集措施，废气应排至VOCs废气收集处理系统。含VOCs产品的使用过程包括但不限于以下作业：调配（混合、搅拌等）、涂装（喷涂、浸涂、淋涂、辊涂、刷涂、涂布等）、印刷（平版、凸版、凹版、孔板等）、粘结（涂胶、热压、复合、贴合等）、印染（染色、印花、定型等）、干燥（烘干、风干、晾干等）、清洗（浸洗、喷洗、淋洗、冲洗、擦拭等）</w:t>
                  </w:r>
                </w:p>
              </w:tc>
              <w:tc>
                <w:tcPr>
                  <w:tcW w:w="1157" w:type="pct"/>
                  <w:vAlign w:val="center"/>
                </w:tcPr>
                <w:p w14:paraId="765DC12C">
                  <w:pPr>
                    <w:spacing w:line="0" w:lineRule="atLeast"/>
                    <w:rPr>
                      <w:rFonts w:hint="default"/>
                      <w:color w:val="auto"/>
                      <w:sz w:val="21"/>
                      <w:szCs w:val="21"/>
                      <w:highlight w:val="none"/>
                      <w:lang w:val="en-US"/>
                    </w:rPr>
                  </w:pPr>
                  <w:r>
                    <w:rPr>
                      <w:rFonts w:hint="eastAsia"/>
                      <w:color w:val="auto"/>
                      <w:sz w:val="21"/>
                      <w:szCs w:val="21"/>
                      <w:highlight w:val="none"/>
                    </w:rPr>
                    <w:t>项目废气收集净化设施委托专业单位设计、施工，距集气罩开口面最远处的VOCs无组织排放位置控制风速按照不低于0.3米/秒进行设计。</w:t>
                  </w:r>
                </w:p>
              </w:tc>
              <w:tc>
                <w:tcPr>
                  <w:tcW w:w="485" w:type="pct"/>
                  <w:vAlign w:val="center"/>
                </w:tcPr>
                <w:p w14:paraId="05C8BB09">
                  <w:pPr>
                    <w:jc w:val="center"/>
                    <w:rPr>
                      <w:color w:val="auto"/>
                      <w:sz w:val="21"/>
                      <w:szCs w:val="21"/>
                    </w:rPr>
                  </w:pPr>
                  <w:r>
                    <w:rPr>
                      <w:color w:val="auto"/>
                      <w:sz w:val="21"/>
                      <w:szCs w:val="21"/>
                    </w:rPr>
                    <w:t>符合</w:t>
                  </w:r>
                </w:p>
              </w:tc>
            </w:tr>
            <w:tr w14:paraId="6261D2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5" w:type="pct"/>
                  <w:vAlign w:val="center"/>
                </w:tcPr>
                <w:p w14:paraId="467662E7">
                  <w:pPr>
                    <w:adjustRightInd w:val="0"/>
                    <w:snapToGrid w:val="0"/>
                    <w:spacing w:line="0" w:lineRule="atLeast"/>
                    <w:ind w:left="-105" w:leftChars="-50" w:right="-105" w:rightChars="-50"/>
                    <w:jc w:val="center"/>
                    <w:rPr>
                      <w:color w:val="auto"/>
                      <w:sz w:val="21"/>
                      <w:szCs w:val="21"/>
                    </w:rPr>
                  </w:pPr>
                  <w:r>
                    <w:rPr>
                      <w:color w:val="auto"/>
                      <w:sz w:val="21"/>
                      <w:szCs w:val="21"/>
                    </w:rPr>
                    <w:t>其他</w:t>
                  </w:r>
                </w:p>
              </w:tc>
              <w:tc>
                <w:tcPr>
                  <w:tcW w:w="3081" w:type="pct"/>
                  <w:vAlign w:val="center"/>
                </w:tcPr>
                <w:p w14:paraId="46BD1F3F">
                  <w:pPr>
                    <w:spacing w:line="0" w:lineRule="atLeast"/>
                    <w:rPr>
                      <w:color w:val="auto"/>
                      <w:sz w:val="21"/>
                      <w:szCs w:val="21"/>
                    </w:rPr>
                  </w:pPr>
                  <w:r>
                    <w:rPr>
                      <w:color w:val="auto"/>
                      <w:sz w:val="21"/>
                      <w:szCs w:val="21"/>
                    </w:rPr>
                    <w:t>企业应建立台账，记录含VOCs原辅材料和含VOCs产品的名称、使用量、回收量、废弃量、去向以及VOCs含量等信息。台账保存期限不少于3年。</w:t>
                  </w:r>
                </w:p>
              </w:tc>
              <w:tc>
                <w:tcPr>
                  <w:tcW w:w="1157" w:type="pct"/>
                  <w:vAlign w:val="center"/>
                </w:tcPr>
                <w:p w14:paraId="60648555">
                  <w:pPr>
                    <w:spacing w:line="0" w:lineRule="atLeast"/>
                    <w:rPr>
                      <w:color w:val="auto"/>
                      <w:sz w:val="21"/>
                      <w:szCs w:val="21"/>
                    </w:rPr>
                  </w:pPr>
                  <w:r>
                    <w:rPr>
                      <w:rFonts w:hint="eastAsia"/>
                      <w:color w:val="auto"/>
                      <w:sz w:val="21"/>
                      <w:szCs w:val="21"/>
                    </w:rPr>
                    <w:t>企业按此要求</w:t>
                  </w:r>
                  <w:r>
                    <w:rPr>
                      <w:color w:val="auto"/>
                      <w:sz w:val="21"/>
                      <w:szCs w:val="21"/>
                    </w:rPr>
                    <w:t>建立台账</w:t>
                  </w:r>
                  <w:r>
                    <w:rPr>
                      <w:rFonts w:hint="eastAsia"/>
                      <w:color w:val="auto"/>
                      <w:sz w:val="21"/>
                      <w:szCs w:val="21"/>
                    </w:rPr>
                    <w:t>并保存</w:t>
                  </w:r>
                </w:p>
              </w:tc>
              <w:tc>
                <w:tcPr>
                  <w:tcW w:w="485" w:type="pct"/>
                  <w:vAlign w:val="center"/>
                </w:tcPr>
                <w:p w14:paraId="0B5BF8BB">
                  <w:pPr>
                    <w:spacing w:line="0" w:lineRule="atLeast"/>
                    <w:jc w:val="center"/>
                    <w:rPr>
                      <w:color w:val="auto"/>
                      <w:sz w:val="21"/>
                      <w:szCs w:val="21"/>
                    </w:rPr>
                  </w:pPr>
                  <w:r>
                    <w:rPr>
                      <w:color w:val="auto"/>
                      <w:sz w:val="21"/>
                      <w:szCs w:val="21"/>
                    </w:rPr>
                    <w:t>符合</w:t>
                  </w:r>
                </w:p>
              </w:tc>
            </w:tr>
          </w:tbl>
          <w:p w14:paraId="569DBF75">
            <w:pPr>
              <w:adjustRightInd w:val="0"/>
              <w:snapToGrid w:val="0"/>
              <w:spacing w:before="120" w:beforeLines="50" w:line="360" w:lineRule="auto"/>
              <w:ind w:firstLine="480" w:firstLineChars="200"/>
              <w:rPr>
                <w:color w:val="auto"/>
              </w:rPr>
            </w:pPr>
            <w:r>
              <w:rPr>
                <w:rFonts w:hint="eastAsia"/>
                <w:color w:val="auto"/>
                <w:sz w:val="24"/>
                <w:szCs w:val="24"/>
              </w:rPr>
              <w:t>由上表可知，本项目符合《挥发性有机物无组织排放控制标准》（GB37822-2019）相关要求。</w:t>
            </w:r>
          </w:p>
          <w:p w14:paraId="43219FEC">
            <w:pPr>
              <w:rPr>
                <w:color w:val="auto"/>
              </w:rPr>
            </w:pPr>
          </w:p>
          <w:p w14:paraId="46F245CF">
            <w:pPr>
              <w:adjustRightInd w:val="0"/>
              <w:snapToGrid w:val="0"/>
              <w:spacing w:before="120" w:beforeLines="50" w:line="360" w:lineRule="auto"/>
              <w:ind w:firstLine="420" w:firstLineChars="200"/>
              <w:rPr>
                <w:rFonts w:hint="default"/>
                <w:color w:val="auto"/>
                <w:sz w:val="21"/>
                <w:szCs w:val="24"/>
              </w:rPr>
            </w:pPr>
          </w:p>
        </w:tc>
      </w:tr>
    </w:tbl>
    <w:p w14:paraId="239403BE">
      <w:pPr>
        <w:spacing w:line="360" w:lineRule="auto"/>
        <w:rPr>
          <w:rFonts w:eastAsia="黑体"/>
          <w:color w:val="auto"/>
          <w:sz w:val="24"/>
          <w:szCs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C9C4C65">
      <w:pPr>
        <w:pStyle w:val="24"/>
        <w:numPr>
          <w:ilvl w:val="0"/>
          <w:numId w:val="4"/>
        </w:numPr>
        <w:jc w:val="center"/>
        <w:outlineLvl w:val="0"/>
        <w:rPr>
          <w:rFonts w:hint="eastAsia" w:ascii="黑体" w:hAnsi="黑体" w:eastAsia="黑体"/>
          <w:snapToGrid w:val="0"/>
          <w:color w:val="auto"/>
          <w:sz w:val="24"/>
          <w:szCs w:val="24"/>
        </w:rPr>
      </w:pPr>
      <w:bookmarkStart w:id="4" w:name="_Toc12675"/>
      <w:bookmarkStart w:id="5" w:name="_Toc22756"/>
      <w:bookmarkStart w:id="6" w:name="_Toc10188"/>
      <w:r>
        <w:rPr>
          <w:rFonts w:hint="eastAsia" w:ascii="黑体" w:hAnsi="黑体" w:eastAsia="黑体"/>
          <w:snapToGrid w:val="0"/>
          <w:color w:val="auto"/>
          <w:sz w:val="24"/>
          <w:szCs w:val="24"/>
        </w:rPr>
        <w:t>建设项目工程分析</w:t>
      </w:r>
      <w:bookmarkEnd w:id="4"/>
      <w:bookmarkEnd w:id="5"/>
      <w:bookmarkEnd w:id="6"/>
    </w:p>
    <w:tbl>
      <w:tblPr>
        <w:tblStyle w:val="29"/>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774"/>
      </w:tblGrid>
      <w:tr w14:paraId="20AEE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vAlign w:val="center"/>
          </w:tcPr>
          <w:p w14:paraId="37AA38C6">
            <w:pPr>
              <w:pStyle w:val="24"/>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建设内容</w:t>
            </w:r>
          </w:p>
        </w:tc>
        <w:tc>
          <w:tcPr>
            <w:tcW w:w="4726" w:type="pct"/>
          </w:tcPr>
          <w:p w14:paraId="324466FE">
            <w:pPr>
              <w:pStyle w:val="4"/>
              <w:keepNext w:val="0"/>
              <w:keepLines w:val="0"/>
              <w:pageBreakBefore w:val="0"/>
              <w:widowControl w:val="0"/>
              <w:kinsoku/>
              <w:wordWrap/>
              <w:overflowPunct/>
              <w:topLinePunct w:val="0"/>
              <w:autoSpaceDE/>
              <w:autoSpaceDN/>
              <w:bidi w:val="0"/>
              <w:adjustRightInd/>
              <w:snapToGrid/>
              <w:spacing w:before="157" w:beforeLines="50" w:after="0" w:line="360" w:lineRule="auto"/>
              <w:textAlignment w:val="auto"/>
              <w:rPr>
                <w:rFonts w:eastAsiaTheme="minorEastAsia"/>
                <w:bCs w:val="0"/>
                <w:color w:val="auto"/>
                <w:sz w:val="24"/>
                <w:szCs w:val="24"/>
              </w:rPr>
            </w:pPr>
            <w:bookmarkStart w:id="7" w:name="_Toc103869759"/>
            <w:bookmarkStart w:id="8" w:name="_Toc30210"/>
            <w:bookmarkStart w:id="9" w:name="_Toc103525214"/>
            <w:r>
              <w:rPr>
                <w:rFonts w:eastAsiaTheme="minorEastAsia"/>
                <w:bCs w:val="0"/>
                <w:color w:val="auto"/>
                <w:sz w:val="24"/>
                <w:szCs w:val="24"/>
              </w:rPr>
              <w:t>1</w:t>
            </w:r>
            <w:r>
              <w:rPr>
                <w:rFonts w:hint="eastAsia" w:eastAsiaTheme="minorEastAsia"/>
                <w:bCs w:val="0"/>
                <w:color w:val="auto"/>
                <w:sz w:val="24"/>
                <w:szCs w:val="24"/>
                <w:lang w:eastAsia="zh-CN"/>
              </w:rPr>
              <w:t>、</w:t>
            </w:r>
            <w:r>
              <w:rPr>
                <w:rFonts w:hAnsiTheme="minorEastAsia" w:eastAsiaTheme="minorEastAsia"/>
                <w:bCs w:val="0"/>
                <w:color w:val="auto"/>
                <w:sz w:val="24"/>
                <w:szCs w:val="24"/>
              </w:rPr>
              <w:t>项目由来</w:t>
            </w:r>
            <w:bookmarkEnd w:id="7"/>
            <w:bookmarkEnd w:id="8"/>
            <w:bookmarkEnd w:id="9"/>
          </w:p>
          <w:p w14:paraId="5772AAC0">
            <w:pPr>
              <w:adjustRightInd w:val="0"/>
              <w:snapToGrid w:val="0"/>
              <w:spacing w:line="360" w:lineRule="auto"/>
              <w:ind w:firstLine="480" w:firstLineChars="200"/>
              <w:rPr>
                <w:color w:val="auto"/>
                <w:sz w:val="24"/>
                <w:szCs w:val="24"/>
              </w:rPr>
            </w:pPr>
            <w:r>
              <w:rPr>
                <w:rFonts w:hint="eastAsia"/>
                <w:color w:val="auto"/>
                <w:sz w:val="24"/>
                <w:szCs w:val="24"/>
                <w:lang w:eastAsia="zh-CN"/>
              </w:rPr>
              <w:t>福建省福胜智能制造有限公司</w:t>
            </w:r>
            <w:r>
              <w:rPr>
                <w:rFonts w:hint="eastAsia"/>
                <w:color w:val="auto"/>
                <w:sz w:val="24"/>
                <w:szCs w:val="24"/>
              </w:rPr>
              <w:t>（以下简称“</w:t>
            </w:r>
            <w:r>
              <w:rPr>
                <w:rFonts w:hint="eastAsia"/>
                <w:color w:val="auto"/>
                <w:sz w:val="24"/>
                <w:szCs w:val="24"/>
                <w:lang w:eastAsia="zh-CN"/>
              </w:rPr>
              <w:t>福胜公司</w:t>
            </w:r>
            <w:r>
              <w:rPr>
                <w:rFonts w:hint="eastAsia"/>
                <w:color w:val="auto"/>
                <w:sz w:val="24"/>
                <w:szCs w:val="24"/>
              </w:rPr>
              <w:t>”）成立于20</w:t>
            </w:r>
            <w:r>
              <w:rPr>
                <w:rFonts w:hint="eastAsia"/>
                <w:color w:val="auto"/>
                <w:sz w:val="24"/>
                <w:szCs w:val="24"/>
                <w:lang w:val="en-US" w:eastAsia="zh-CN"/>
              </w:rPr>
              <w:t>21</w:t>
            </w:r>
            <w:r>
              <w:rPr>
                <w:rFonts w:hint="eastAsia"/>
                <w:color w:val="auto"/>
                <w:sz w:val="24"/>
                <w:szCs w:val="24"/>
              </w:rPr>
              <w:t>年</w:t>
            </w:r>
            <w:r>
              <w:rPr>
                <w:rFonts w:hint="eastAsia"/>
                <w:color w:val="auto"/>
                <w:sz w:val="24"/>
                <w:szCs w:val="24"/>
                <w:lang w:val="en-US" w:eastAsia="zh-CN"/>
              </w:rPr>
              <w:t>4</w:t>
            </w:r>
            <w:r>
              <w:rPr>
                <w:rFonts w:hint="eastAsia"/>
                <w:color w:val="auto"/>
                <w:sz w:val="24"/>
                <w:szCs w:val="24"/>
              </w:rPr>
              <w:t>月，选址位于</w:t>
            </w:r>
            <w:r>
              <w:rPr>
                <w:rFonts w:hint="eastAsia"/>
                <w:color w:val="auto"/>
                <w:sz w:val="24"/>
                <w:szCs w:val="24"/>
                <w:lang w:eastAsia="zh-CN"/>
              </w:rPr>
              <w:t>福建（大田）机械铸造产业集聚区</w:t>
            </w:r>
            <w:r>
              <w:rPr>
                <w:rFonts w:hint="eastAsia"/>
                <w:color w:val="auto"/>
                <w:kern w:val="0"/>
                <w:sz w:val="24"/>
              </w:rPr>
              <w:t>15号宗地</w:t>
            </w:r>
            <w:r>
              <w:rPr>
                <w:rFonts w:hint="eastAsia"/>
                <w:color w:val="auto"/>
                <w:sz w:val="24"/>
                <w:szCs w:val="24"/>
              </w:rPr>
              <w:t>，</w:t>
            </w:r>
            <w:r>
              <w:rPr>
                <w:rFonts w:hint="eastAsia"/>
                <w:color w:val="auto"/>
                <w:sz w:val="24"/>
                <w:szCs w:val="24"/>
                <w:lang w:val="en-US" w:eastAsia="zh-CN"/>
              </w:rPr>
              <w:t>主要从事铸件、消防产品等的生产</w:t>
            </w:r>
            <w:r>
              <w:rPr>
                <w:rFonts w:hint="eastAsia"/>
                <w:color w:val="auto"/>
                <w:sz w:val="24"/>
                <w:szCs w:val="24"/>
              </w:rPr>
              <w:t>。</w:t>
            </w:r>
          </w:p>
          <w:p w14:paraId="5AEAC138">
            <w:pPr>
              <w:adjustRightInd w:val="0"/>
              <w:snapToGrid w:val="0"/>
              <w:spacing w:line="360" w:lineRule="auto"/>
              <w:ind w:firstLine="480" w:firstLineChars="200"/>
              <w:rPr>
                <w:rFonts w:hint="eastAsia"/>
                <w:color w:val="auto"/>
                <w:sz w:val="24"/>
                <w:szCs w:val="24"/>
                <w:lang w:eastAsia="zh-CN"/>
              </w:rPr>
            </w:pPr>
            <w:r>
              <w:rPr>
                <w:rFonts w:hint="eastAsia"/>
                <w:color w:val="auto"/>
                <w:sz w:val="24"/>
                <w:szCs w:val="24"/>
                <w:lang w:eastAsia="zh-CN"/>
              </w:rPr>
              <w:t>福胜公司拟投资53500万元，建设铸造生产线（包含</w:t>
            </w:r>
            <w:r>
              <w:rPr>
                <w:rFonts w:hint="eastAsia"/>
                <w:color w:val="auto"/>
                <w:sz w:val="24"/>
                <w:szCs w:val="24"/>
                <w:lang w:val="en-US" w:eastAsia="zh-CN"/>
              </w:rPr>
              <w:t>3</w:t>
            </w:r>
            <w:r>
              <w:rPr>
                <w:rFonts w:hint="eastAsia"/>
                <w:color w:val="auto"/>
                <w:sz w:val="24"/>
                <w:szCs w:val="24"/>
                <w:lang w:eastAsia="zh-CN"/>
              </w:rPr>
              <w:t>条粘土砂铸造生产线、1条树脂砂铸造生产线、1条熔模铸造生产线）、消防产品（</w:t>
            </w:r>
            <w:r>
              <w:rPr>
                <w:rFonts w:hint="eastAsia"/>
                <w:color w:val="auto"/>
                <w:sz w:val="24"/>
                <w:szCs w:val="24"/>
                <w:highlight w:val="none"/>
                <w:lang w:eastAsia="zh-CN"/>
              </w:rPr>
              <w:t>包含消防栓箱、泵、阀门、喷</w:t>
            </w:r>
            <w:r>
              <w:rPr>
                <w:rFonts w:hint="eastAsia"/>
                <w:color w:val="auto"/>
                <w:sz w:val="24"/>
                <w:szCs w:val="24"/>
                <w:lang w:eastAsia="zh-CN"/>
              </w:rPr>
              <w:t>头）生产线等，</w:t>
            </w:r>
            <w:r>
              <w:rPr>
                <w:rFonts w:hint="eastAsia"/>
                <w:color w:val="auto"/>
                <w:sz w:val="24"/>
                <w:szCs w:val="24"/>
                <w:lang w:val="en-US" w:eastAsia="zh-CN"/>
              </w:rPr>
              <w:t>项目</w:t>
            </w:r>
            <w:r>
              <w:rPr>
                <w:rFonts w:hint="eastAsia"/>
                <w:color w:val="auto"/>
                <w:sz w:val="24"/>
                <w:szCs w:val="24"/>
                <w:lang w:eastAsia="zh-CN"/>
              </w:rPr>
              <w:t>于202</w:t>
            </w:r>
            <w:r>
              <w:rPr>
                <w:rFonts w:hint="eastAsia"/>
                <w:color w:val="auto"/>
                <w:sz w:val="24"/>
                <w:szCs w:val="24"/>
                <w:lang w:val="en-US" w:eastAsia="zh-CN"/>
              </w:rPr>
              <w:t>2</w:t>
            </w:r>
            <w:r>
              <w:rPr>
                <w:rFonts w:hint="eastAsia"/>
                <w:color w:val="auto"/>
                <w:sz w:val="24"/>
                <w:szCs w:val="24"/>
                <w:lang w:eastAsia="zh-CN"/>
              </w:rPr>
              <w:t>年</w:t>
            </w:r>
            <w:r>
              <w:rPr>
                <w:rFonts w:hint="eastAsia"/>
                <w:color w:val="auto"/>
                <w:sz w:val="24"/>
                <w:szCs w:val="24"/>
                <w:lang w:val="en-US" w:eastAsia="zh-CN"/>
              </w:rPr>
              <w:t>1</w:t>
            </w:r>
            <w:r>
              <w:rPr>
                <w:rFonts w:hint="eastAsia"/>
                <w:color w:val="auto"/>
                <w:sz w:val="24"/>
                <w:szCs w:val="24"/>
                <w:lang w:eastAsia="zh-CN"/>
              </w:rPr>
              <w:t>月</w:t>
            </w:r>
            <w:r>
              <w:rPr>
                <w:rFonts w:hint="eastAsia"/>
                <w:color w:val="auto"/>
                <w:sz w:val="24"/>
                <w:szCs w:val="24"/>
                <w:lang w:val="en-US" w:eastAsia="zh-CN"/>
              </w:rPr>
              <w:t>28</w:t>
            </w:r>
            <w:r>
              <w:rPr>
                <w:rFonts w:hint="eastAsia"/>
                <w:color w:val="auto"/>
                <w:sz w:val="24"/>
                <w:szCs w:val="24"/>
                <w:lang w:eastAsia="zh-CN"/>
              </w:rPr>
              <w:t>日取得</w:t>
            </w:r>
            <w:r>
              <w:rPr>
                <w:rFonts w:hint="eastAsia"/>
                <w:color w:val="auto"/>
                <w:sz w:val="24"/>
                <w:szCs w:val="24"/>
                <w:lang w:val="en-US" w:eastAsia="zh-CN"/>
              </w:rPr>
              <w:t>大田县</w:t>
            </w:r>
            <w:r>
              <w:rPr>
                <w:rFonts w:hint="eastAsia"/>
                <w:color w:val="auto"/>
                <w:sz w:val="24"/>
                <w:szCs w:val="24"/>
                <w:lang w:eastAsia="zh-CN"/>
              </w:rPr>
              <w:t>发展和改革局备案证明（编号：闽发改备〔202</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G120011</w:t>
            </w:r>
            <w:r>
              <w:rPr>
                <w:rFonts w:hint="eastAsia"/>
                <w:color w:val="auto"/>
                <w:sz w:val="24"/>
                <w:szCs w:val="24"/>
                <w:lang w:eastAsia="zh-CN"/>
              </w:rPr>
              <w:t>号），</w:t>
            </w:r>
            <w:r>
              <w:rPr>
                <w:rFonts w:hint="eastAsia"/>
                <w:color w:val="auto"/>
                <w:sz w:val="24"/>
                <w:szCs w:val="24"/>
                <w:lang w:val="en-US" w:eastAsia="zh-CN"/>
              </w:rPr>
              <w:t>2023年2月，建设单位委托技术单位编制《</w:t>
            </w:r>
            <w:r>
              <w:rPr>
                <w:rFonts w:hint="eastAsia"/>
                <w:color w:val="auto"/>
                <w:sz w:val="24"/>
                <w:szCs w:val="24"/>
                <w:lang w:eastAsia="zh-CN"/>
              </w:rPr>
              <w:t>大田福胜精密铸件生产及机械加工项目</w:t>
            </w:r>
            <w:r>
              <w:rPr>
                <w:rFonts w:hint="eastAsia"/>
                <w:color w:val="auto"/>
                <w:sz w:val="24"/>
                <w:szCs w:val="24"/>
                <w:lang w:val="en-US" w:eastAsia="zh-CN"/>
              </w:rPr>
              <w:t>环境影响报告表》（以下简称“原环评”），并于</w:t>
            </w:r>
            <w:r>
              <w:rPr>
                <w:rFonts w:hint="eastAsia"/>
                <w:color w:val="auto"/>
                <w:sz w:val="24"/>
                <w:szCs w:val="24"/>
                <w:lang w:eastAsia="zh-CN"/>
              </w:rPr>
              <w:t>202</w:t>
            </w:r>
            <w:r>
              <w:rPr>
                <w:rFonts w:hint="eastAsia"/>
                <w:color w:val="auto"/>
                <w:sz w:val="24"/>
                <w:szCs w:val="24"/>
                <w:lang w:val="en-US" w:eastAsia="zh-CN"/>
              </w:rPr>
              <w:t>3</w:t>
            </w:r>
            <w:r>
              <w:rPr>
                <w:rFonts w:hint="eastAsia"/>
                <w:color w:val="auto"/>
                <w:sz w:val="24"/>
                <w:szCs w:val="24"/>
                <w:lang w:eastAsia="zh-CN"/>
              </w:rPr>
              <w:t>年</w:t>
            </w:r>
            <w:r>
              <w:rPr>
                <w:rFonts w:hint="eastAsia"/>
                <w:color w:val="auto"/>
                <w:sz w:val="24"/>
                <w:szCs w:val="24"/>
                <w:lang w:val="en-US" w:eastAsia="zh-CN"/>
              </w:rPr>
              <w:t>5</w:t>
            </w:r>
            <w:r>
              <w:rPr>
                <w:rFonts w:hint="eastAsia"/>
                <w:color w:val="auto"/>
                <w:sz w:val="24"/>
                <w:szCs w:val="24"/>
                <w:lang w:eastAsia="zh-CN"/>
              </w:rPr>
              <w:t>月</w:t>
            </w:r>
            <w:r>
              <w:rPr>
                <w:rFonts w:hint="eastAsia"/>
                <w:color w:val="auto"/>
                <w:sz w:val="24"/>
                <w:szCs w:val="24"/>
                <w:lang w:val="en-US" w:eastAsia="zh-CN"/>
              </w:rPr>
              <w:t>25</w:t>
            </w:r>
            <w:r>
              <w:rPr>
                <w:rFonts w:hint="eastAsia"/>
                <w:color w:val="auto"/>
                <w:sz w:val="24"/>
                <w:szCs w:val="24"/>
                <w:lang w:eastAsia="zh-CN"/>
              </w:rPr>
              <w:t>日</w:t>
            </w:r>
            <w:r>
              <w:rPr>
                <w:rFonts w:hint="eastAsia"/>
                <w:color w:val="auto"/>
                <w:sz w:val="24"/>
                <w:szCs w:val="24"/>
                <w:lang w:val="en-US" w:eastAsia="zh-CN"/>
              </w:rPr>
              <w:t>通过三明市大田生态环境局审批</w:t>
            </w:r>
            <w:r>
              <w:rPr>
                <w:rFonts w:hint="eastAsia"/>
                <w:color w:val="auto"/>
                <w:sz w:val="24"/>
                <w:szCs w:val="24"/>
                <w:lang w:eastAsia="zh-CN"/>
              </w:rPr>
              <w:t>（审批文号：明环评田〔202</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lang w:val="en-US" w:eastAsia="zh-CN"/>
              </w:rPr>
              <w:t>13</w:t>
            </w:r>
            <w:r>
              <w:rPr>
                <w:rFonts w:hint="eastAsia"/>
                <w:color w:val="auto"/>
                <w:sz w:val="24"/>
                <w:szCs w:val="24"/>
                <w:lang w:eastAsia="zh-CN"/>
              </w:rPr>
              <w:t>号）。</w:t>
            </w:r>
          </w:p>
          <w:p w14:paraId="35CBAADC">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原环评及批复项目生产规模为：购置6套钢壳磁轭中频电炉（其中1吨钢壳磁轭中频电炉4套、2吨钢壳磁轭中频电炉2套），3套冷室压铸机（配备3套500kg压铸熔化炉），建设铸造生产线（包含3条粘土砂铸造生产线、1条树脂砂铸造生产线、1条熔模铸造生产线）、消防产品（包含消防栓箱、泵、阀门、喷头）生产线等，其中消防栓箱工艺包含PVC塑料米等原料的拌料挤出、铸件的化学抛光、机加工、喷粉等，泵、阀门、喷头等消防产品涉及红冲、压铸等工序，并配套相应的环保设施。计划年产精密铸件13000t、消防产品100万套/件（其中消防栓箱70万套；泵、阀门、喷头等消防产品30万件）。</w:t>
            </w:r>
          </w:p>
          <w:p w14:paraId="711F564B">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企业为适应市场需求及基于园区基础设施的完善，部分生产线工艺及工艺条件发生变化，如：熔模铸造生产线焙烧工序由电加热变更为天然气加热，增加退火工艺（天然气为燃料）等，新增灭火器生产，福胜公司</w:t>
            </w:r>
            <w:r>
              <w:rPr>
                <w:rFonts w:hint="eastAsia"/>
                <w:color w:val="auto"/>
                <w:sz w:val="24"/>
                <w:szCs w:val="24"/>
                <w:lang w:eastAsia="zh-CN"/>
              </w:rPr>
              <w:t>于202</w:t>
            </w:r>
            <w:r>
              <w:rPr>
                <w:rFonts w:hint="eastAsia"/>
                <w:color w:val="auto"/>
                <w:sz w:val="24"/>
                <w:szCs w:val="24"/>
                <w:lang w:val="en-US" w:eastAsia="zh-CN"/>
              </w:rPr>
              <w:t>5</w:t>
            </w:r>
            <w:r>
              <w:rPr>
                <w:rFonts w:hint="eastAsia"/>
                <w:color w:val="auto"/>
                <w:sz w:val="24"/>
                <w:szCs w:val="24"/>
                <w:lang w:eastAsia="zh-CN"/>
              </w:rPr>
              <w:t>年</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20</w:t>
            </w:r>
            <w:r>
              <w:rPr>
                <w:rFonts w:hint="eastAsia"/>
                <w:color w:val="auto"/>
                <w:sz w:val="24"/>
                <w:szCs w:val="24"/>
                <w:lang w:eastAsia="zh-CN"/>
              </w:rPr>
              <w:t>日</w:t>
            </w:r>
            <w:r>
              <w:rPr>
                <w:rFonts w:hint="eastAsia"/>
                <w:color w:val="auto"/>
                <w:sz w:val="24"/>
                <w:szCs w:val="24"/>
                <w:lang w:val="en-US" w:eastAsia="zh-CN"/>
              </w:rPr>
              <w:t>向大田县</w:t>
            </w:r>
            <w:r>
              <w:rPr>
                <w:rFonts w:hint="eastAsia"/>
                <w:color w:val="auto"/>
                <w:sz w:val="24"/>
                <w:szCs w:val="24"/>
                <w:lang w:eastAsia="zh-CN"/>
              </w:rPr>
              <w:t>发展和改革局</w:t>
            </w:r>
            <w:r>
              <w:rPr>
                <w:rFonts w:hint="eastAsia"/>
                <w:color w:val="auto"/>
                <w:sz w:val="24"/>
                <w:szCs w:val="24"/>
                <w:lang w:val="en-US" w:eastAsia="zh-CN"/>
              </w:rPr>
              <w:t>提出修改备案表建设内容和规模的申请，</w:t>
            </w:r>
            <w:r>
              <w:rPr>
                <w:rFonts w:hint="eastAsia"/>
                <w:color w:val="auto"/>
                <w:sz w:val="24"/>
                <w:szCs w:val="24"/>
                <w:lang w:eastAsia="zh-CN"/>
              </w:rPr>
              <w:t>202</w:t>
            </w:r>
            <w:r>
              <w:rPr>
                <w:rFonts w:hint="eastAsia"/>
                <w:color w:val="auto"/>
                <w:sz w:val="24"/>
                <w:szCs w:val="24"/>
                <w:lang w:val="en-US" w:eastAsia="zh-CN"/>
              </w:rPr>
              <w:t>5</w:t>
            </w:r>
            <w:r>
              <w:rPr>
                <w:rFonts w:hint="eastAsia"/>
                <w:color w:val="auto"/>
                <w:sz w:val="24"/>
                <w:szCs w:val="24"/>
                <w:lang w:eastAsia="zh-CN"/>
              </w:rPr>
              <w:t>年</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21</w:t>
            </w:r>
            <w:r>
              <w:rPr>
                <w:rFonts w:hint="eastAsia"/>
                <w:color w:val="auto"/>
                <w:sz w:val="24"/>
                <w:szCs w:val="24"/>
                <w:lang w:eastAsia="zh-CN"/>
              </w:rPr>
              <w:t>日</w:t>
            </w:r>
            <w:r>
              <w:rPr>
                <w:rFonts w:hint="eastAsia"/>
                <w:color w:val="auto"/>
                <w:sz w:val="24"/>
                <w:szCs w:val="24"/>
                <w:lang w:val="en-US" w:eastAsia="zh-CN"/>
              </w:rPr>
              <w:t>大田县</w:t>
            </w:r>
            <w:r>
              <w:rPr>
                <w:rFonts w:hint="eastAsia"/>
                <w:color w:val="auto"/>
                <w:sz w:val="24"/>
                <w:szCs w:val="24"/>
                <w:lang w:eastAsia="zh-CN"/>
              </w:rPr>
              <w:t>发展和改革局</w:t>
            </w:r>
            <w:r>
              <w:rPr>
                <w:rFonts w:hint="eastAsia"/>
                <w:color w:val="auto"/>
                <w:sz w:val="24"/>
                <w:szCs w:val="24"/>
                <w:lang w:val="en-US" w:eastAsia="zh-CN"/>
              </w:rPr>
              <w:t>同意备案</w:t>
            </w:r>
            <w:r>
              <w:rPr>
                <w:rFonts w:hint="eastAsia"/>
                <w:color w:val="auto"/>
                <w:sz w:val="24"/>
                <w:szCs w:val="24"/>
                <w:lang w:eastAsia="zh-CN"/>
              </w:rPr>
              <w:t>（编号：闽发改备〔202</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G120011</w:t>
            </w:r>
            <w:r>
              <w:rPr>
                <w:rFonts w:hint="eastAsia"/>
                <w:color w:val="auto"/>
                <w:sz w:val="24"/>
                <w:szCs w:val="24"/>
                <w:lang w:eastAsia="zh-CN"/>
              </w:rPr>
              <w:t>号）（</w:t>
            </w:r>
            <w:r>
              <w:rPr>
                <w:rFonts w:hint="eastAsia"/>
                <w:color w:val="auto"/>
                <w:sz w:val="24"/>
                <w:szCs w:val="24"/>
                <w:lang w:val="en-US" w:eastAsia="zh-CN"/>
              </w:rPr>
              <w:t>见附件三</w:t>
            </w:r>
            <w:r>
              <w:rPr>
                <w:rFonts w:hint="eastAsia"/>
                <w:color w:val="auto"/>
                <w:sz w:val="24"/>
                <w:szCs w:val="24"/>
                <w:lang w:eastAsia="zh-CN"/>
              </w:rPr>
              <w:t>）。</w:t>
            </w:r>
          </w:p>
          <w:p w14:paraId="28357329">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本项目较原环评变化情况见表2-1。</w:t>
            </w:r>
          </w:p>
          <w:p w14:paraId="52255A61">
            <w:pPr>
              <w:adjustRightInd w:val="0"/>
              <w:snapToGrid w:val="0"/>
              <w:spacing w:line="360" w:lineRule="auto"/>
              <w:jc w:val="center"/>
              <w:rPr>
                <w:rFonts w:hint="eastAsia"/>
                <w:b/>
                <w:bCs/>
                <w:color w:val="auto"/>
                <w:sz w:val="24"/>
                <w:szCs w:val="24"/>
                <w:lang w:val="en-US" w:eastAsia="zh-CN"/>
              </w:rPr>
            </w:pPr>
          </w:p>
          <w:p w14:paraId="6B6021DE">
            <w:pPr>
              <w:adjustRightInd w:val="0"/>
              <w:snapToGrid w:val="0"/>
              <w:spacing w:line="360" w:lineRule="auto"/>
              <w:jc w:val="center"/>
              <w:rPr>
                <w:rFonts w:hint="eastAsia"/>
                <w:b/>
                <w:bCs/>
                <w:color w:val="auto"/>
                <w:sz w:val="24"/>
                <w:szCs w:val="24"/>
                <w:lang w:val="en-US" w:eastAsia="zh-CN"/>
              </w:rPr>
            </w:pPr>
          </w:p>
          <w:p w14:paraId="4C319557">
            <w:pPr>
              <w:adjustRightInd w:val="0"/>
              <w:snapToGrid w:val="0"/>
              <w:spacing w:line="360" w:lineRule="auto"/>
              <w:jc w:val="center"/>
              <w:rPr>
                <w:rFonts w:hint="eastAsia"/>
                <w:b/>
                <w:bCs/>
                <w:color w:val="auto"/>
                <w:sz w:val="24"/>
                <w:szCs w:val="24"/>
                <w:lang w:val="en-US" w:eastAsia="zh-CN"/>
              </w:rPr>
            </w:pPr>
          </w:p>
          <w:p w14:paraId="098762AA">
            <w:pPr>
              <w:adjustRightInd w:val="0"/>
              <w:snapToGrid w:val="0"/>
              <w:spacing w:line="360" w:lineRule="auto"/>
              <w:jc w:val="center"/>
              <w:rPr>
                <w:rFonts w:hint="default"/>
                <w:b/>
                <w:bCs/>
                <w:color w:val="auto"/>
                <w:sz w:val="24"/>
                <w:szCs w:val="24"/>
                <w:lang w:val="en-US" w:eastAsia="zh-CN"/>
              </w:rPr>
            </w:pPr>
            <w:r>
              <w:rPr>
                <w:rFonts w:hint="eastAsia"/>
                <w:b/>
                <w:bCs/>
                <w:color w:val="auto"/>
                <w:sz w:val="24"/>
                <w:szCs w:val="24"/>
                <w:lang w:val="en-US" w:eastAsia="zh-CN"/>
              </w:rPr>
              <w:t>表2-1  本项目较原环评及批复主要变动情况分析</w:t>
            </w:r>
          </w:p>
          <w:tbl>
            <w:tblPr>
              <w:tblStyle w:val="29"/>
              <w:tblW w:w="86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77"/>
              <w:gridCol w:w="433"/>
              <w:gridCol w:w="517"/>
              <w:gridCol w:w="2826"/>
              <w:gridCol w:w="2627"/>
              <w:gridCol w:w="1682"/>
            </w:tblGrid>
            <w:tr w14:paraId="1C4BE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Align w:val="center"/>
                </w:tcPr>
                <w:p w14:paraId="5CF1A14E">
                  <w:pPr>
                    <w:pStyle w:val="37"/>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序号</w:t>
                  </w:r>
                </w:p>
              </w:tc>
              <w:tc>
                <w:tcPr>
                  <w:tcW w:w="950" w:type="dxa"/>
                  <w:gridSpan w:val="2"/>
                  <w:vAlign w:val="center"/>
                </w:tcPr>
                <w:p w14:paraId="38A0A313">
                  <w:pPr>
                    <w:pStyle w:val="37"/>
                    <w:jc w:val="center"/>
                    <w:rPr>
                      <w:rFonts w:hint="default" w:ascii="Times New Roman" w:hAnsi="Times New Roman" w:cs="Times New Roman" w:eastAsiaTheme="minorEastAsia"/>
                      <w:b/>
                      <w:bCs/>
                      <w:color w:val="auto"/>
                      <w:sz w:val="18"/>
                      <w:szCs w:val="18"/>
                      <w:lang w:eastAsia="zh-CN"/>
                    </w:rPr>
                  </w:pPr>
                  <w:r>
                    <w:rPr>
                      <w:rFonts w:hint="default" w:ascii="Times New Roman" w:hAnsi="Times New Roman" w:cs="Times New Roman" w:eastAsiaTheme="minorEastAsia"/>
                      <w:b/>
                      <w:bCs/>
                      <w:color w:val="auto"/>
                      <w:sz w:val="18"/>
                      <w:szCs w:val="18"/>
                      <w:lang w:val="en-US" w:eastAsia="zh-CN"/>
                    </w:rPr>
                    <w:t>名称</w:t>
                  </w:r>
                </w:p>
              </w:tc>
              <w:tc>
                <w:tcPr>
                  <w:tcW w:w="2826" w:type="dxa"/>
                  <w:vAlign w:val="center"/>
                </w:tcPr>
                <w:p w14:paraId="691D0E2C">
                  <w:pPr>
                    <w:pStyle w:val="37"/>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环评</w:t>
                  </w:r>
                  <w:r>
                    <w:rPr>
                      <w:rFonts w:hint="default" w:ascii="Times New Roman" w:hAnsi="Times New Roman" w:cs="Times New Roman" w:eastAsiaTheme="minorEastAsia"/>
                      <w:b/>
                      <w:bCs/>
                      <w:color w:val="auto"/>
                      <w:sz w:val="18"/>
                      <w:szCs w:val="18"/>
                      <w:lang w:val="en-US" w:eastAsia="zh-CN"/>
                    </w:rPr>
                    <w:t>及批复</w:t>
                  </w:r>
                  <w:r>
                    <w:rPr>
                      <w:rFonts w:hint="default" w:ascii="Times New Roman" w:hAnsi="Times New Roman" w:cs="Times New Roman" w:eastAsiaTheme="minorEastAsia"/>
                      <w:b/>
                      <w:bCs/>
                      <w:color w:val="auto"/>
                      <w:sz w:val="18"/>
                      <w:szCs w:val="18"/>
                    </w:rPr>
                    <w:t>情况</w:t>
                  </w:r>
                </w:p>
              </w:tc>
              <w:tc>
                <w:tcPr>
                  <w:tcW w:w="2627" w:type="dxa"/>
                  <w:vAlign w:val="center"/>
                </w:tcPr>
                <w:p w14:paraId="2A003C0F">
                  <w:pPr>
                    <w:pStyle w:val="37"/>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lang w:val="en-US" w:eastAsia="zh-CN"/>
                    </w:rPr>
                    <w:t>现状生产</w:t>
                  </w:r>
                  <w:r>
                    <w:rPr>
                      <w:rFonts w:hint="default" w:ascii="Times New Roman" w:hAnsi="Times New Roman" w:cs="Times New Roman" w:eastAsiaTheme="minorEastAsia"/>
                      <w:b/>
                      <w:bCs/>
                      <w:color w:val="auto"/>
                      <w:sz w:val="18"/>
                      <w:szCs w:val="18"/>
                    </w:rPr>
                    <w:t>情况</w:t>
                  </w:r>
                </w:p>
              </w:tc>
              <w:tc>
                <w:tcPr>
                  <w:tcW w:w="1682" w:type="dxa"/>
                  <w:vAlign w:val="center"/>
                </w:tcPr>
                <w:p w14:paraId="68477BA3">
                  <w:pPr>
                    <w:pStyle w:val="37"/>
                    <w:jc w:val="center"/>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变化情况</w:t>
                  </w:r>
                </w:p>
              </w:tc>
            </w:tr>
            <w:tr w14:paraId="4C61F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Align w:val="center"/>
                </w:tcPr>
                <w:p w14:paraId="7E18E96D">
                  <w:pPr>
                    <w:pStyle w:val="24"/>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950" w:type="dxa"/>
                  <w:gridSpan w:val="2"/>
                  <w:vAlign w:val="center"/>
                </w:tcPr>
                <w:p w14:paraId="054BE052">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精密铸件</w:t>
                  </w:r>
                </w:p>
              </w:tc>
              <w:tc>
                <w:tcPr>
                  <w:tcW w:w="2826" w:type="dxa"/>
                  <w:vAlign w:val="center"/>
                </w:tcPr>
                <w:p w14:paraId="565211DC">
                  <w:pPr>
                    <w:pStyle w:val="37"/>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color w:val="auto"/>
                      <w:sz w:val="18"/>
                      <w:szCs w:val="18"/>
                      <w:lang w:val="en-US" w:eastAsia="zh-CN"/>
                    </w:rPr>
                    <w:t>年产精密铸件</w:t>
                  </w:r>
                  <w:r>
                    <w:rPr>
                      <w:rFonts w:hint="eastAsia" w:ascii="Times New Roman" w:hAnsi="Times New Roman" w:cs="Times New Roman"/>
                      <w:color w:val="auto"/>
                      <w:sz w:val="18"/>
                      <w:szCs w:val="18"/>
                      <w:lang w:val="en-US" w:eastAsia="zh-CN"/>
                    </w:rPr>
                    <w:t>17</w:t>
                  </w:r>
                  <w:r>
                    <w:rPr>
                      <w:rFonts w:hint="default" w:ascii="Times New Roman" w:hAnsi="Times New Roman" w:cs="Times New Roman"/>
                      <w:color w:val="auto"/>
                      <w:sz w:val="18"/>
                      <w:szCs w:val="18"/>
                      <w:lang w:val="en-US" w:eastAsia="zh-CN"/>
                    </w:rPr>
                    <w:t>000t（</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lang w:val="en-US" w:eastAsia="zh-CN"/>
                    </w:rPr>
                    <w:t>000t/a</w:t>
                  </w:r>
                  <w:r>
                    <w:rPr>
                      <w:rFonts w:hint="eastAsia" w:ascii="Times New Roman" w:hAnsi="Times New Roman" w:cs="Times New Roman"/>
                      <w:color w:val="auto"/>
                      <w:sz w:val="18"/>
                      <w:szCs w:val="18"/>
                      <w:lang w:val="en-US" w:eastAsia="zh-CN"/>
                    </w:rPr>
                    <w:t>自用</w:t>
                  </w:r>
                  <w:r>
                    <w:rPr>
                      <w:rFonts w:hint="default" w:ascii="Times New Roman" w:hAnsi="Times New Roman" w:cs="Times New Roman"/>
                      <w:color w:val="auto"/>
                      <w:sz w:val="18"/>
                      <w:szCs w:val="18"/>
                      <w:lang w:val="en-US" w:eastAsia="zh-CN"/>
                    </w:rPr>
                    <w:t>，13000t/a外售）</w:t>
                  </w:r>
                </w:p>
              </w:tc>
              <w:tc>
                <w:tcPr>
                  <w:tcW w:w="2627" w:type="dxa"/>
                  <w:vAlign w:val="center"/>
                </w:tcPr>
                <w:p w14:paraId="75925571">
                  <w:pPr>
                    <w:pStyle w:val="37"/>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color w:val="auto"/>
                      <w:sz w:val="18"/>
                      <w:szCs w:val="18"/>
                      <w:lang w:val="en-US" w:eastAsia="zh-CN"/>
                    </w:rPr>
                    <w:t>年产精密铸件1</w:t>
                  </w:r>
                  <w:r>
                    <w:rPr>
                      <w:rFonts w:hint="eastAsia"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lang w:val="en-US" w:eastAsia="zh-CN"/>
                    </w:rPr>
                    <w:t>000t（</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lang w:val="en-US" w:eastAsia="zh-CN"/>
                    </w:rPr>
                    <w:t>000t/a</w:t>
                  </w:r>
                  <w:r>
                    <w:rPr>
                      <w:rFonts w:hint="eastAsia" w:ascii="Times New Roman" w:hAnsi="Times New Roman" w:cs="Times New Roman"/>
                      <w:color w:val="auto"/>
                      <w:sz w:val="18"/>
                      <w:szCs w:val="18"/>
                      <w:lang w:val="en-US" w:eastAsia="zh-CN"/>
                    </w:rPr>
                    <w:t>自用</w:t>
                  </w:r>
                  <w:r>
                    <w:rPr>
                      <w:rFonts w:hint="default"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lang w:val="en-US" w:eastAsia="zh-CN"/>
                    </w:rPr>
                    <w:t>000t/a外售）</w:t>
                  </w:r>
                </w:p>
              </w:tc>
              <w:tc>
                <w:tcPr>
                  <w:tcW w:w="1682" w:type="dxa"/>
                  <w:vAlign w:val="center"/>
                </w:tcPr>
                <w:p w14:paraId="2B41AFA3">
                  <w:pPr>
                    <w:pStyle w:val="37"/>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-2000t/a</w:t>
                  </w:r>
                </w:p>
              </w:tc>
            </w:tr>
            <w:tr w14:paraId="773EB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Align w:val="center"/>
                </w:tcPr>
                <w:p w14:paraId="4018A858">
                  <w:pPr>
                    <w:pStyle w:val="24"/>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950" w:type="dxa"/>
                  <w:gridSpan w:val="2"/>
                  <w:vAlign w:val="center"/>
                </w:tcPr>
                <w:p w14:paraId="5E54E69C">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消防产品</w:t>
                  </w:r>
                </w:p>
              </w:tc>
              <w:tc>
                <w:tcPr>
                  <w:tcW w:w="2826" w:type="dxa"/>
                  <w:vAlign w:val="center"/>
                </w:tcPr>
                <w:p w14:paraId="38CA798C">
                  <w:pPr>
                    <w:pStyle w:val="37"/>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color w:val="auto"/>
                      <w:sz w:val="18"/>
                      <w:szCs w:val="18"/>
                      <w:lang w:val="en-US" w:eastAsia="zh-CN"/>
                    </w:rPr>
                    <w:t>年产消防产品100万套/件（其中消防栓箱70万套；泵、阀门、喷头等消防产品30万件）</w:t>
                  </w:r>
                </w:p>
              </w:tc>
              <w:tc>
                <w:tcPr>
                  <w:tcW w:w="2627" w:type="dxa"/>
                  <w:vAlign w:val="center"/>
                </w:tcPr>
                <w:p w14:paraId="31A335CB">
                  <w:pPr>
                    <w:pStyle w:val="37"/>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年产消防栓箱70万套、消防配件（泵、阀门、喷头配件）30万件，灭火器200万具</w:t>
                  </w:r>
                </w:p>
              </w:tc>
              <w:tc>
                <w:tcPr>
                  <w:tcW w:w="1682" w:type="dxa"/>
                  <w:vAlign w:val="center"/>
                </w:tcPr>
                <w:p w14:paraId="6C58636F">
                  <w:pPr>
                    <w:pStyle w:val="37"/>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新增灭火器200万具</w:t>
                  </w:r>
                  <w:r>
                    <w:rPr>
                      <w:rFonts w:hint="eastAsia" w:ascii="Times New Roman" w:hAnsi="Times New Roman" w:cs="Times New Roman"/>
                      <w:color w:val="auto"/>
                      <w:sz w:val="18"/>
                      <w:szCs w:val="18"/>
                      <w:lang w:val="en-US" w:eastAsia="zh-CN"/>
                    </w:rPr>
                    <w:t>/年</w:t>
                  </w:r>
                </w:p>
              </w:tc>
            </w:tr>
            <w:tr w14:paraId="6F45E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restart"/>
                  <w:vAlign w:val="center"/>
                </w:tcPr>
                <w:p w14:paraId="4CAD9DBE">
                  <w:pPr>
                    <w:pStyle w:val="24"/>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433" w:type="dxa"/>
                  <w:vMerge w:val="restart"/>
                  <w:vAlign w:val="center"/>
                </w:tcPr>
                <w:p w14:paraId="159733C6">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主要生产工艺</w:t>
                  </w:r>
                </w:p>
              </w:tc>
              <w:tc>
                <w:tcPr>
                  <w:tcW w:w="517" w:type="dxa"/>
                  <w:vMerge w:val="restart"/>
                  <w:vAlign w:val="center"/>
                </w:tcPr>
                <w:p w14:paraId="52A4E378">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精密铸件</w:t>
                  </w:r>
                </w:p>
              </w:tc>
              <w:tc>
                <w:tcPr>
                  <w:tcW w:w="2826" w:type="dxa"/>
                  <w:shd w:val="clear" w:color="auto" w:fill="auto"/>
                  <w:vAlign w:val="center"/>
                </w:tcPr>
                <w:p w14:paraId="1D922E83">
                  <w:pPr>
                    <w:pStyle w:val="24"/>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eastAsiaTheme="minorEastAsia"/>
                      <w:color w:val="auto"/>
                      <w:sz w:val="18"/>
                      <w:szCs w:val="18"/>
                      <w:lang w:val="en-US" w:eastAsia="zh-CN"/>
                    </w:rPr>
                    <w:t>粘土砂铸造：制芯造型，生铁、废钢熔化，浇注，落砂，浇冒口切割，清理打磨等</w:t>
                  </w:r>
                </w:p>
              </w:tc>
              <w:tc>
                <w:tcPr>
                  <w:tcW w:w="2627" w:type="dxa"/>
                  <w:vAlign w:val="center"/>
                </w:tcPr>
                <w:p w14:paraId="35C4D738">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粘土砂铸造：制芯造型，生铁、废钢熔化，浇注，落砂，浇冒口切割，清理打磨，机加工，喷粉等</w:t>
                  </w:r>
                </w:p>
              </w:tc>
              <w:tc>
                <w:tcPr>
                  <w:tcW w:w="1682" w:type="dxa"/>
                  <w:vAlign w:val="center"/>
                </w:tcPr>
                <w:p w14:paraId="1026B178">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新增喷粉工艺，新增污染物排放</w:t>
                  </w:r>
                  <w:r>
                    <w:rPr>
                      <w:rFonts w:hint="eastAsia" w:ascii="Times New Roman" w:hAnsi="Times New Roman" w:cs="Times New Roman" w:eastAsiaTheme="minorEastAsia"/>
                      <w:color w:val="auto"/>
                      <w:sz w:val="18"/>
                      <w:szCs w:val="18"/>
                      <w:lang w:val="en-US" w:eastAsia="zh-CN"/>
                    </w:rPr>
                    <w:t>量</w:t>
                  </w:r>
                </w:p>
              </w:tc>
            </w:tr>
            <w:tr w14:paraId="3601F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04994718">
                  <w:pPr>
                    <w:pStyle w:val="24"/>
                    <w:jc w:val="center"/>
                    <w:rPr>
                      <w:rFonts w:hint="default" w:ascii="Times New Roman" w:hAnsi="Times New Roman" w:cs="Times New Roman" w:eastAsiaTheme="minorEastAsia"/>
                      <w:color w:val="auto"/>
                      <w:sz w:val="18"/>
                      <w:szCs w:val="18"/>
                    </w:rPr>
                  </w:pPr>
                </w:p>
              </w:tc>
              <w:tc>
                <w:tcPr>
                  <w:tcW w:w="433" w:type="dxa"/>
                  <w:vMerge w:val="continue"/>
                  <w:vAlign w:val="center"/>
                </w:tcPr>
                <w:p w14:paraId="786AD7FF">
                  <w:pPr>
                    <w:pStyle w:val="24"/>
                    <w:jc w:val="center"/>
                    <w:rPr>
                      <w:rFonts w:hint="default" w:ascii="Times New Roman" w:hAnsi="Times New Roman" w:cs="Times New Roman" w:eastAsiaTheme="minorEastAsia"/>
                      <w:color w:val="auto"/>
                      <w:sz w:val="18"/>
                      <w:szCs w:val="18"/>
                      <w:lang w:val="en-US" w:eastAsia="zh-CN"/>
                    </w:rPr>
                  </w:pPr>
                </w:p>
              </w:tc>
              <w:tc>
                <w:tcPr>
                  <w:tcW w:w="517" w:type="dxa"/>
                  <w:vMerge w:val="continue"/>
                  <w:vAlign w:val="center"/>
                </w:tcPr>
                <w:p w14:paraId="4597AE9F">
                  <w:pPr>
                    <w:pStyle w:val="24"/>
                    <w:jc w:val="center"/>
                    <w:rPr>
                      <w:rFonts w:hint="default" w:ascii="Times New Roman" w:hAnsi="Times New Roman" w:cs="Times New Roman" w:eastAsiaTheme="minorEastAsia"/>
                      <w:color w:val="auto"/>
                      <w:sz w:val="18"/>
                      <w:szCs w:val="18"/>
                      <w:lang w:val="en-US" w:eastAsia="zh-CN"/>
                    </w:rPr>
                  </w:pPr>
                </w:p>
              </w:tc>
              <w:tc>
                <w:tcPr>
                  <w:tcW w:w="2826" w:type="dxa"/>
                  <w:shd w:val="clear" w:color="auto" w:fill="auto"/>
                  <w:vAlign w:val="center"/>
                </w:tcPr>
                <w:p w14:paraId="0F3F8597">
                  <w:pPr>
                    <w:pStyle w:val="24"/>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eastAsiaTheme="minorEastAsia"/>
                      <w:color w:val="auto"/>
                      <w:sz w:val="18"/>
                      <w:szCs w:val="18"/>
                      <w:lang w:val="en-US" w:eastAsia="zh-CN"/>
                    </w:rPr>
                    <w:t>树脂砂铸造：制芯造型，生铁、废钢熔化，浇注，落砂，浇冒口切割，清理打磨、淬火等</w:t>
                  </w:r>
                </w:p>
              </w:tc>
              <w:tc>
                <w:tcPr>
                  <w:tcW w:w="2627" w:type="dxa"/>
                  <w:vAlign w:val="center"/>
                </w:tcPr>
                <w:p w14:paraId="400C7AD4">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树脂砂铸造：制芯造型，生铁、废钢熔化，浇注，落砂，浇冒口切割，清理打磨、淬火，机加工，喷粉等</w:t>
                  </w:r>
                </w:p>
              </w:tc>
              <w:tc>
                <w:tcPr>
                  <w:tcW w:w="1682" w:type="dxa"/>
                  <w:vAlign w:val="center"/>
                </w:tcPr>
                <w:p w14:paraId="70A60EAA">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新增喷粉工艺，新增污染物排放</w:t>
                  </w:r>
                </w:p>
              </w:tc>
            </w:tr>
            <w:tr w14:paraId="04F90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6D5CBDBA">
                  <w:pPr>
                    <w:pStyle w:val="24"/>
                    <w:jc w:val="center"/>
                    <w:rPr>
                      <w:rFonts w:hint="default" w:ascii="Times New Roman" w:hAnsi="Times New Roman" w:cs="Times New Roman" w:eastAsiaTheme="minorEastAsia"/>
                      <w:color w:val="auto"/>
                      <w:sz w:val="18"/>
                      <w:szCs w:val="18"/>
                    </w:rPr>
                  </w:pPr>
                </w:p>
              </w:tc>
              <w:tc>
                <w:tcPr>
                  <w:tcW w:w="433" w:type="dxa"/>
                  <w:vMerge w:val="continue"/>
                  <w:vAlign w:val="center"/>
                </w:tcPr>
                <w:p w14:paraId="37A6B973">
                  <w:pPr>
                    <w:pStyle w:val="24"/>
                    <w:jc w:val="center"/>
                    <w:rPr>
                      <w:rFonts w:hint="default" w:ascii="Times New Roman" w:hAnsi="Times New Roman" w:cs="Times New Roman" w:eastAsiaTheme="minorEastAsia"/>
                      <w:color w:val="auto"/>
                      <w:sz w:val="18"/>
                      <w:szCs w:val="18"/>
                      <w:lang w:val="en-US" w:eastAsia="zh-CN"/>
                    </w:rPr>
                  </w:pPr>
                </w:p>
              </w:tc>
              <w:tc>
                <w:tcPr>
                  <w:tcW w:w="517" w:type="dxa"/>
                  <w:vMerge w:val="continue"/>
                  <w:vAlign w:val="center"/>
                </w:tcPr>
                <w:p w14:paraId="43147A6F">
                  <w:pPr>
                    <w:pStyle w:val="24"/>
                    <w:jc w:val="center"/>
                    <w:rPr>
                      <w:rFonts w:hint="default" w:ascii="Times New Roman" w:hAnsi="Times New Roman" w:cs="Times New Roman" w:eastAsiaTheme="minorEastAsia"/>
                      <w:color w:val="auto"/>
                      <w:sz w:val="18"/>
                      <w:szCs w:val="18"/>
                      <w:lang w:val="en-US" w:eastAsia="zh-CN"/>
                    </w:rPr>
                  </w:pPr>
                </w:p>
              </w:tc>
              <w:tc>
                <w:tcPr>
                  <w:tcW w:w="2826" w:type="dxa"/>
                  <w:shd w:val="clear" w:color="auto" w:fill="auto"/>
                  <w:vAlign w:val="center"/>
                </w:tcPr>
                <w:p w14:paraId="61313C01">
                  <w:pPr>
                    <w:pStyle w:val="24"/>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eastAsiaTheme="minorEastAsia"/>
                      <w:color w:val="auto"/>
                      <w:sz w:val="18"/>
                      <w:szCs w:val="18"/>
                      <w:lang w:val="en-US" w:eastAsia="zh-CN"/>
                    </w:rPr>
                    <w:t>熔模铸造：制蜡膜、制壳、脱蜡（电）、焙烧（电），生铁熔化、浇注、冷却、脱壳清理，浇冒口切割等</w:t>
                  </w:r>
                </w:p>
              </w:tc>
              <w:tc>
                <w:tcPr>
                  <w:tcW w:w="2627" w:type="dxa"/>
                  <w:vAlign w:val="center"/>
                </w:tcPr>
                <w:p w14:paraId="2F43DACB">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熔模铸造：制蜡膜、制壳、脱蜡（电）、焙烧（天然气），生铁熔化、浇注、冷却、脱壳清理，浇冒口切割、抛丸、退火、抛丸、机加工，喷粉等</w:t>
                  </w:r>
                </w:p>
              </w:tc>
              <w:tc>
                <w:tcPr>
                  <w:tcW w:w="1682" w:type="dxa"/>
                  <w:vAlign w:val="center"/>
                </w:tcPr>
                <w:p w14:paraId="6D46C7BB">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焙烧工艺</w:t>
                  </w:r>
                  <w:r>
                    <w:rPr>
                      <w:rFonts w:hint="eastAsia" w:ascii="Times New Roman" w:hAnsi="Times New Roman" w:cs="Times New Roman" w:eastAsiaTheme="minorEastAsia"/>
                      <w:color w:val="auto"/>
                      <w:sz w:val="18"/>
                      <w:szCs w:val="18"/>
                      <w:lang w:val="en-US" w:eastAsia="zh-CN"/>
                    </w:rPr>
                    <w:t>能源</w:t>
                  </w:r>
                  <w:r>
                    <w:rPr>
                      <w:rFonts w:hint="default" w:ascii="Times New Roman" w:hAnsi="Times New Roman" w:cs="Times New Roman" w:eastAsiaTheme="minorEastAsia"/>
                      <w:color w:val="auto"/>
                      <w:sz w:val="18"/>
                      <w:szCs w:val="18"/>
                      <w:lang w:val="en-US" w:eastAsia="zh-CN"/>
                    </w:rPr>
                    <w:t>由电能变更为天然气，新增退火</w:t>
                  </w:r>
                  <w:r>
                    <w:rPr>
                      <w:rFonts w:hint="eastAsia" w:ascii="Times New Roman" w:hAnsi="Times New Roman" w:cs="Times New Roman" w:eastAsiaTheme="minorEastAsia"/>
                      <w:color w:val="auto"/>
                      <w:sz w:val="18"/>
                      <w:szCs w:val="18"/>
                      <w:lang w:val="en-US" w:eastAsia="zh-CN"/>
                    </w:rPr>
                    <w:t>工艺（以天然气为燃料）</w:t>
                  </w:r>
                  <w:r>
                    <w:rPr>
                      <w:rFonts w:hint="default" w:ascii="Times New Roman" w:hAnsi="Times New Roman" w:cs="Times New Roman" w:eastAsiaTheme="minorEastAsia"/>
                      <w:color w:val="auto"/>
                      <w:sz w:val="18"/>
                      <w:szCs w:val="18"/>
                      <w:lang w:val="en-US" w:eastAsia="zh-CN"/>
                    </w:rPr>
                    <w:t>、抛丸、机加工等工序，新增污染物排放</w:t>
                  </w:r>
                </w:p>
              </w:tc>
            </w:tr>
            <w:tr w14:paraId="28767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6DF05FF9">
                  <w:pPr>
                    <w:pStyle w:val="24"/>
                    <w:jc w:val="center"/>
                    <w:rPr>
                      <w:rFonts w:hint="default" w:ascii="Times New Roman" w:hAnsi="Times New Roman" w:cs="Times New Roman" w:eastAsiaTheme="minorEastAsia"/>
                      <w:color w:val="auto"/>
                      <w:sz w:val="18"/>
                      <w:szCs w:val="18"/>
                    </w:rPr>
                  </w:pPr>
                </w:p>
              </w:tc>
              <w:tc>
                <w:tcPr>
                  <w:tcW w:w="433" w:type="dxa"/>
                  <w:vMerge w:val="continue"/>
                  <w:vAlign w:val="center"/>
                </w:tcPr>
                <w:p w14:paraId="46D25466">
                  <w:pPr>
                    <w:pStyle w:val="24"/>
                    <w:jc w:val="center"/>
                    <w:rPr>
                      <w:rFonts w:hint="default" w:ascii="Times New Roman" w:hAnsi="Times New Roman" w:cs="Times New Roman" w:eastAsiaTheme="minorEastAsia"/>
                      <w:color w:val="auto"/>
                      <w:sz w:val="18"/>
                      <w:szCs w:val="18"/>
                      <w:lang w:val="en-US" w:eastAsia="zh-CN"/>
                    </w:rPr>
                  </w:pPr>
                </w:p>
              </w:tc>
              <w:tc>
                <w:tcPr>
                  <w:tcW w:w="517" w:type="dxa"/>
                  <w:vMerge w:val="restart"/>
                  <w:vAlign w:val="center"/>
                </w:tcPr>
                <w:p w14:paraId="70A1D8A1">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消防栓箱</w:t>
                  </w:r>
                </w:p>
              </w:tc>
              <w:tc>
                <w:tcPr>
                  <w:tcW w:w="2826" w:type="dxa"/>
                  <w:shd w:val="clear" w:color="auto" w:fill="auto"/>
                  <w:vAlign w:val="center"/>
                </w:tcPr>
                <w:p w14:paraId="1DD9E624">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消防软管卷盘：PVC塑料、增塑剂等混合搅拌，加热熔融，内管挤出、绕线、外管挤出，冷却，切管，试压，组装</w:t>
                  </w:r>
                </w:p>
              </w:tc>
              <w:tc>
                <w:tcPr>
                  <w:tcW w:w="2627" w:type="dxa"/>
                  <w:vAlign w:val="center"/>
                </w:tcPr>
                <w:p w14:paraId="36D14E6D">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消防软管卷盘：PVC塑料、增塑剂等混合搅拌，加热熔融，内管挤出、绕线、外管挤出，冷却，切管，试压，组装</w:t>
                  </w:r>
                </w:p>
              </w:tc>
              <w:tc>
                <w:tcPr>
                  <w:tcW w:w="1682" w:type="dxa"/>
                  <w:vAlign w:val="center"/>
                </w:tcPr>
                <w:p w14:paraId="5A950B0E">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不变</w:t>
                  </w:r>
                </w:p>
              </w:tc>
            </w:tr>
            <w:tr w14:paraId="16F2D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36FE3A01">
                  <w:pPr>
                    <w:pStyle w:val="24"/>
                    <w:jc w:val="center"/>
                    <w:rPr>
                      <w:rFonts w:hint="default" w:ascii="Times New Roman" w:hAnsi="Times New Roman" w:cs="Times New Roman" w:eastAsiaTheme="minorEastAsia"/>
                      <w:color w:val="auto"/>
                      <w:sz w:val="18"/>
                      <w:szCs w:val="18"/>
                    </w:rPr>
                  </w:pPr>
                </w:p>
              </w:tc>
              <w:tc>
                <w:tcPr>
                  <w:tcW w:w="433" w:type="dxa"/>
                  <w:vMerge w:val="continue"/>
                  <w:vAlign w:val="center"/>
                </w:tcPr>
                <w:p w14:paraId="7CE64C43">
                  <w:pPr>
                    <w:pStyle w:val="24"/>
                    <w:jc w:val="center"/>
                    <w:rPr>
                      <w:rFonts w:hint="default" w:ascii="Times New Roman" w:hAnsi="Times New Roman" w:cs="Times New Roman" w:eastAsiaTheme="minorEastAsia"/>
                      <w:color w:val="auto"/>
                      <w:sz w:val="18"/>
                      <w:szCs w:val="18"/>
                      <w:lang w:val="en-US" w:eastAsia="zh-CN"/>
                    </w:rPr>
                  </w:pPr>
                </w:p>
              </w:tc>
              <w:tc>
                <w:tcPr>
                  <w:tcW w:w="517" w:type="dxa"/>
                  <w:vMerge w:val="continue"/>
                  <w:vAlign w:val="center"/>
                </w:tcPr>
                <w:p w14:paraId="2DF6B545">
                  <w:pPr>
                    <w:pStyle w:val="24"/>
                    <w:jc w:val="center"/>
                    <w:rPr>
                      <w:rFonts w:hint="default" w:ascii="Times New Roman" w:hAnsi="Times New Roman" w:cs="Times New Roman" w:eastAsiaTheme="minorEastAsia"/>
                      <w:color w:val="auto"/>
                      <w:sz w:val="18"/>
                      <w:szCs w:val="18"/>
                      <w:lang w:val="en-US" w:eastAsia="zh-CN"/>
                    </w:rPr>
                  </w:pPr>
                </w:p>
              </w:tc>
              <w:tc>
                <w:tcPr>
                  <w:tcW w:w="2826" w:type="dxa"/>
                  <w:shd w:val="clear" w:color="auto" w:fill="auto"/>
                  <w:vAlign w:val="center"/>
                </w:tcPr>
                <w:p w14:paraId="2433B653">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消防水带：TPU加热挤出、工业涤纶丝捻丝、制造，过胶，穿管，</w:t>
                  </w:r>
                  <w:r>
                    <w:rPr>
                      <w:rFonts w:hint="eastAsia" w:ascii="Times New Roman" w:hAnsi="Times New Roman" w:cs="Times New Roman" w:eastAsiaTheme="minorEastAsia"/>
                      <w:color w:val="auto"/>
                      <w:sz w:val="18"/>
                      <w:szCs w:val="18"/>
                      <w:lang w:val="en-US" w:eastAsia="zh-CN"/>
                    </w:rPr>
                    <w:t>黏合</w:t>
                  </w:r>
                  <w:r>
                    <w:rPr>
                      <w:rFonts w:hint="default" w:ascii="Times New Roman" w:hAnsi="Times New Roman" w:cs="Times New Roman" w:eastAsiaTheme="minorEastAsia"/>
                      <w:color w:val="auto"/>
                      <w:sz w:val="18"/>
                      <w:szCs w:val="18"/>
                      <w:lang w:val="en-US" w:eastAsia="zh-CN"/>
                    </w:rPr>
                    <w:t>，接口捆扎（与铸件），试压</w:t>
                  </w:r>
                </w:p>
              </w:tc>
              <w:tc>
                <w:tcPr>
                  <w:tcW w:w="2627" w:type="dxa"/>
                  <w:vAlign w:val="center"/>
                </w:tcPr>
                <w:p w14:paraId="5F68CB82">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消防水带：TPU加热挤出、工业涤纶丝捻丝、制造，过胶，穿管，</w:t>
                  </w:r>
                  <w:r>
                    <w:rPr>
                      <w:rFonts w:hint="eastAsia" w:ascii="Times New Roman" w:hAnsi="Times New Roman" w:cs="Times New Roman" w:eastAsiaTheme="minorEastAsia"/>
                      <w:color w:val="auto"/>
                      <w:sz w:val="18"/>
                      <w:szCs w:val="18"/>
                      <w:lang w:val="en-US" w:eastAsia="zh-CN"/>
                    </w:rPr>
                    <w:t>黏合</w:t>
                  </w:r>
                  <w:r>
                    <w:rPr>
                      <w:rFonts w:hint="default" w:ascii="Times New Roman" w:hAnsi="Times New Roman" w:cs="Times New Roman" w:eastAsiaTheme="minorEastAsia"/>
                      <w:color w:val="auto"/>
                      <w:sz w:val="18"/>
                      <w:szCs w:val="18"/>
                      <w:lang w:val="en-US" w:eastAsia="zh-CN"/>
                    </w:rPr>
                    <w:t>，接口捆扎（与铸件），试压</w:t>
                  </w:r>
                </w:p>
              </w:tc>
              <w:tc>
                <w:tcPr>
                  <w:tcW w:w="1682" w:type="dxa"/>
                  <w:vAlign w:val="center"/>
                </w:tcPr>
                <w:p w14:paraId="3A98AE92">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不变</w:t>
                  </w:r>
                </w:p>
              </w:tc>
            </w:tr>
            <w:tr w14:paraId="61D1E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1421169E">
                  <w:pPr>
                    <w:pStyle w:val="24"/>
                    <w:jc w:val="center"/>
                    <w:rPr>
                      <w:rFonts w:hint="default" w:ascii="Times New Roman" w:hAnsi="Times New Roman" w:cs="Times New Roman" w:eastAsiaTheme="minorEastAsia"/>
                      <w:color w:val="auto"/>
                      <w:sz w:val="18"/>
                      <w:szCs w:val="18"/>
                    </w:rPr>
                  </w:pPr>
                </w:p>
              </w:tc>
              <w:tc>
                <w:tcPr>
                  <w:tcW w:w="433" w:type="dxa"/>
                  <w:vMerge w:val="continue"/>
                  <w:vAlign w:val="center"/>
                </w:tcPr>
                <w:p w14:paraId="39E150D2">
                  <w:pPr>
                    <w:pStyle w:val="24"/>
                    <w:jc w:val="center"/>
                    <w:rPr>
                      <w:rFonts w:hint="default" w:ascii="Times New Roman" w:hAnsi="Times New Roman" w:cs="Times New Roman" w:eastAsiaTheme="minorEastAsia"/>
                      <w:color w:val="auto"/>
                      <w:sz w:val="18"/>
                      <w:szCs w:val="18"/>
                      <w:lang w:val="en-US" w:eastAsia="zh-CN"/>
                    </w:rPr>
                  </w:pPr>
                </w:p>
              </w:tc>
              <w:tc>
                <w:tcPr>
                  <w:tcW w:w="517" w:type="dxa"/>
                  <w:vMerge w:val="continue"/>
                  <w:vAlign w:val="center"/>
                </w:tcPr>
                <w:p w14:paraId="4BD5637E">
                  <w:pPr>
                    <w:pStyle w:val="24"/>
                    <w:jc w:val="center"/>
                    <w:rPr>
                      <w:rFonts w:hint="default" w:ascii="Times New Roman" w:hAnsi="Times New Roman" w:cs="Times New Roman" w:eastAsiaTheme="minorEastAsia"/>
                      <w:color w:val="auto"/>
                      <w:sz w:val="18"/>
                      <w:szCs w:val="18"/>
                      <w:lang w:val="en-US" w:eastAsia="zh-CN"/>
                    </w:rPr>
                  </w:pPr>
                </w:p>
              </w:tc>
              <w:tc>
                <w:tcPr>
                  <w:tcW w:w="2826" w:type="dxa"/>
                  <w:shd w:val="clear" w:color="auto" w:fill="auto"/>
                  <w:vAlign w:val="center"/>
                </w:tcPr>
                <w:p w14:paraId="2815B5C0">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水枪头：铸钢件，机加工，化学抛光，水洗，组装，试压</w:t>
                  </w:r>
                </w:p>
              </w:tc>
              <w:tc>
                <w:tcPr>
                  <w:tcW w:w="2627" w:type="dxa"/>
                  <w:shd w:val="clear" w:color="auto" w:fill="auto"/>
                  <w:vAlign w:val="center"/>
                </w:tcPr>
                <w:p w14:paraId="6CD272D7">
                  <w:pPr>
                    <w:pStyle w:val="24"/>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eastAsiaTheme="minorEastAsia"/>
                      <w:color w:val="auto"/>
                      <w:sz w:val="18"/>
                      <w:szCs w:val="18"/>
                      <w:lang w:val="en-US" w:eastAsia="zh-CN"/>
                    </w:rPr>
                    <w:t>水枪头：铸钢件，机加工，化学抛光（外协），水洗（外协），组装，试压</w:t>
                  </w:r>
                </w:p>
              </w:tc>
              <w:tc>
                <w:tcPr>
                  <w:tcW w:w="1682" w:type="dxa"/>
                  <w:vAlign w:val="center"/>
                </w:tcPr>
                <w:p w14:paraId="4D116A02">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减少化学抛光、水洗工序</w:t>
                  </w:r>
                </w:p>
              </w:tc>
            </w:tr>
            <w:tr w14:paraId="35D51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049B193C">
                  <w:pPr>
                    <w:pStyle w:val="24"/>
                    <w:jc w:val="center"/>
                    <w:rPr>
                      <w:rFonts w:hint="default" w:ascii="Times New Roman" w:hAnsi="Times New Roman" w:cs="Times New Roman" w:eastAsiaTheme="minorEastAsia"/>
                      <w:color w:val="auto"/>
                      <w:sz w:val="18"/>
                      <w:szCs w:val="18"/>
                    </w:rPr>
                  </w:pPr>
                </w:p>
              </w:tc>
              <w:tc>
                <w:tcPr>
                  <w:tcW w:w="433" w:type="dxa"/>
                  <w:vMerge w:val="continue"/>
                  <w:vAlign w:val="center"/>
                </w:tcPr>
                <w:p w14:paraId="6B2096BA">
                  <w:pPr>
                    <w:pStyle w:val="24"/>
                    <w:jc w:val="center"/>
                    <w:rPr>
                      <w:rFonts w:hint="default" w:ascii="Times New Roman" w:hAnsi="Times New Roman" w:cs="Times New Roman" w:eastAsiaTheme="minorEastAsia"/>
                      <w:color w:val="auto"/>
                      <w:sz w:val="18"/>
                      <w:szCs w:val="18"/>
                      <w:lang w:val="en-US" w:eastAsia="zh-CN"/>
                    </w:rPr>
                  </w:pPr>
                </w:p>
              </w:tc>
              <w:tc>
                <w:tcPr>
                  <w:tcW w:w="517" w:type="dxa"/>
                  <w:vMerge w:val="continue"/>
                  <w:vAlign w:val="center"/>
                </w:tcPr>
                <w:p w14:paraId="47D2E21F">
                  <w:pPr>
                    <w:pStyle w:val="24"/>
                    <w:jc w:val="center"/>
                    <w:rPr>
                      <w:rFonts w:hint="default" w:ascii="Times New Roman" w:hAnsi="Times New Roman" w:cs="Times New Roman" w:eastAsiaTheme="minorEastAsia"/>
                      <w:color w:val="auto"/>
                      <w:sz w:val="18"/>
                      <w:szCs w:val="18"/>
                      <w:lang w:val="en-US" w:eastAsia="zh-CN"/>
                    </w:rPr>
                  </w:pPr>
                </w:p>
              </w:tc>
              <w:tc>
                <w:tcPr>
                  <w:tcW w:w="2826" w:type="dxa"/>
                  <w:vAlign w:val="center"/>
                </w:tcPr>
                <w:p w14:paraId="73B6E7A0">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报警阀门：机加工、组装，试压，喷粉，固化</w:t>
                  </w:r>
                </w:p>
              </w:tc>
              <w:tc>
                <w:tcPr>
                  <w:tcW w:w="2627" w:type="dxa"/>
                  <w:shd w:val="clear" w:color="auto" w:fill="auto"/>
                  <w:vAlign w:val="center"/>
                </w:tcPr>
                <w:p w14:paraId="41B4AE12">
                  <w:pPr>
                    <w:pStyle w:val="37"/>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报警阀门：</w:t>
                  </w:r>
                  <w:r>
                    <w:rPr>
                      <w:rFonts w:hint="eastAsia" w:ascii="Times New Roman" w:hAnsi="Times New Roman" w:cs="Times New Roman" w:eastAsiaTheme="minorEastAsia"/>
                      <w:color w:val="auto"/>
                      <w:sz w:val="18"/>
                      <w:szCs w:val="18"/>
                      <w:lang w:val="en-US" w:eastAsia="zh-CN"/>
                    </w:rPr>
                    <w:t>铸件</w:t>
                  </w:r>
                  <w:r>
                    <w:rPr>
                      <w:rFonts w:hint="default" w:ascii="Times New Roman" w:hAnsi="Times New Roman" w:cs="Times New Roman" w:eastAsiaTheme="minorEastAsia"/>
                      <w:color w:val="auto"/>
                      <w:sz w:val="18"/>
                      <w:szCs w:val="18"/>
                      <w:lang w:val="en-US" w:eastAsia="zh-CN"/>
                    </w:rPr>
                    <w:t>机加工、组装，试压，喷粉，固化</w:t>
                  </w:r>
                </w:p>
              </w:tc>
              <w:tc>
                <w:tcPr>
                  <w:tcW w:w="1682" w:type="dxa"/>
                  <w:vAlign w:val="center"/>
                </w:tcPr>
                <w:p w14:paraId="059405D6">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不变</w:t>
                  </w:r>
                </w:p>
              </w:tc>
            </w:tr>
            <w:tr w14:paraId="4981C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66C8D9B0">
                  <w:pPr>
                    <w:pStyle w:val="24"/>
                    <w:jc w:val="center"/>
                    <w:rPr>
                      <w:rFonts w:hint="default" w:ascii="Times New Roman" w:hAnsi="Times New Roman" w:cs="Times New Roman" w:eastAsiaTheme="minorEastAsia"/>
                      <w:color w:val="auto"/>
                      <w:sz w:val="18"/>
                      <w:szCs w:val="18"/>
                    </w:rPr>
                  </w:pPr>
                </w:p>
              </w:tc>
              <w:tc>
                <w:tcPr>
                  <w:tcW w:w="433" w:type="dxa"/>
                  <w:vMerge w:val="continue"/>
                  <w:vAlign w:val="center"/>
                </w:tcPr>
                <w:p w14:paraId="0A0C25B2">
                  <w:pPr>
                    <w:pStyle w:val="24"/>
                    <w:jc w:val="center"/>
                    <w:rPr>
                      <w:rFonts w:hint="default" w:ascii="Times New Roman" w:hAnsi="Times New Roman" w:cs="Times New Roman" w:eastAsiaTheme="minorEastAsia"/>
                      <w:color w:val="auto"/>
                      <w:sz w:val="18"/>
                      <w:szCs w:val="18"/>
                      <w:lang w:val="en-US" w:eastAsia="zh-CN"/>
                    </w:rPr>
                  </w:pPr>
                </w:p>
              </w:tc>
              <w:tc>
                <w:tcPr>
                  <w:tcW w:w="517" w:type="dxa"/>
                  <w:vAlign w:val="center"/>
                </w:tcPr>
                <w:p w14:paraId="1612812B">
                  <w:pPr>
                    <w:pStyle w:val="24"/>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灭火器</w:t>
                  </w:r>
                </w:p>
              </w:tc>
              <w:tc>
                <w:tcPr>
                  <w:tcW w:w="2826" w:type="dxa"/>
                  <w:vAlign w:val="center"/>
                </w:tcPr>
                <w:p w14:paraId="337541D7">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w:t>
                  </w:r>
                </w:p>
              </w:tc>
              <w:tc>
                <w:tcPr>
                  <w:tcW w:w="2627" w:type="dxa"/>
                  <w:shd w:val="clear" w:color="auto" w:fill="auto"/>
                  <w:vAlign w:val="center"/>
                </w:tcPr>
                <w:p w14:paraId="30B48494">
                  <w:pPr>
                    <w:pStyle w:val="24"/>
                    <w:jc w:val="center"/>
                    <w:rPr>
                      <w:rFonts w:hint="default"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eastAsiaTheme="minorEastAsia"/>
                      <w:color w:val="auto"/>
                      <w:kern w:val="0"/>
                      <w:sz w:val="18"/>
                      <w:szCs w:val="18"/>
                      <w:lang w:val="en-US" w:eastAsia="zh-CN" w:bidi="ar-SA"/>
                    </w:rPr>
                    <w:t>切割、焊接、喷粉固化、灌装、组装、充气等</w:t>
                  </w:r>
                </w:p>
              </w:tc>
              <w:tc>
                <w:tcPr>
                  <w:tcW w:w="1682" w:type="dxa"/>
                  <w:vAlign w:val="center"/>
                </w:tcPr>
                <w:p w14:paraId="2BE3BCBE">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新增产品，新增污染物排放</w:t>
                  </w:r>
                </w:p>
              </w:tc>
            </w:tr>
            <w:tr w14:paraId="74A3E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Align w:val="center"/>
                </w:tcPr>
                <w:p w14:paraId="334A49F9">
                  <w:pPr>
                    <w:pStyle w:val="24"/>
                    <w:jc w:val="center"/>
                    <w:rPr>
                      <w:rFonts w:hint="default" w:ascii="Times New Roman" w:hAnsi="Times New Roman" w:cs="Times New Roman" w:eastAsiaTheme="minorEastAsia"/>
                      <w:color w:val="auto"/>
                      <w:sz w:val="18"/>
                      <w:szCs w:val="18"/>
                      <w:lang w:eastAsia="zh-CN"/>
                    </w:rPr>
                  </w:pPr>
                  <w:r>
                    <w:rPr>
                      <w:rFonts w:hint="eastAsia" w:ascii="Times New Roman" w:hAnsi="Times New Roman" w:cs="Times New Roman" w:eastAsiaTheme="minorEastAsia"/>
                      <w:color w:val="auto"/>
                      <w:sz w:val="18"/>
                      <w:szCs w:val="18"/>
                      <w:lang w:val="en-US" w:eastAsia="zh-CN"/>
                    </w:rPr>
                    <w:t>4</w:t>
                  </w:r>
                </w:p>
              </w:tc>
              <w:tc>
                <w:tcPr>
                  <w:tcW w:w="950" w:type="dxa"/>
                  <w:gridSpan w:val="2"/>
                  <w:vAlign w:val="center"/>
                </w:tcPr>
                <w:p w14:paraId="210E2E4C">
                  <w:pPr>
                    <w:pStyle w:val="24"/>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生产时间</w:t>
                  </w:r>
                </w:p>
              </w:tc>
              <w:tc>
                <w:tcPr>
                  <w:tcW w:w="2826" w:type="dxa"/>
                  <w:vAlign w:val="center"/>
                </w:tcPr>
                <w:p w14:paraId="11176CEE">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年生产300天，日生产</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班，每班</w:t>
                  </w:r>
                  <w:r>
                    <w:rPr>
                      <w:rFonts w:hint="default" w:ascii="Times New Roman" w:hAnsi="Times New Roman" w:cs="Times New Roman" w:eastAsiaTheme="minorEastAsia"/>
                      <w:color w:val="auto"/>
                      <w:sz w:val="18"/>
                      <w:szCs w:val="18"/>
                      <w:lang w:val="en-US" w:eastAsia="zh-CN"/>
                    </w:rPr>
                    <w:t>8</w:t>
                  </w:r>
                  <w:r>
                    <w:rPr>
                      <w:rFonts w:hint="default" w:ascii="Times New Roman" w:hAnsi="Times New Roman" w:cs="Times New Roman" w:eastAsiaTheme="minorEastAsia"/>
                      <w:color w:val="auto"/>
                      <w:sz w:val="18"/>
                      <w:szCs w:val="18"/>
                    </w:rPr>
                    <w:t>小时</w:t>
                  </w:r>
                </w:p>
              </w:tc>
              <w:tc>
                <w:tcPr>
                  <w:tcW w:w="2627" w:type="dxa"/>
                  <w:vAlign w:val="center"/>
                </w:tcPr>
                <w:p w14:paraId="5D651894">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年生产300天，日生产</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班，每班</w:t>
                  </w:r>
                  <w:r>
                    <w:rPr>
                      <w:rFonts w:hint="default" w:ascii="Times New Roman" w:hAnsi="Times New Roman" w:cs="Times New Roman" w:eastAsiaTheme="minorEastAsia"/>
                      <w:color w:val="auto"/>
                      <w:sz w:val="18"/>
                      <w:szCs w:val="18"/>
                      <w:lang w:val="en-US" w:eastAsia="zh-CN"/>
                    </w:rPr>
                    <w:t>8</w:t>
                  </w:r>
                  <w:r>
                    <w:rPr>
                      <w:rFonts w:hint="default" w:ascii="Times New Roman" w:hAnsi="Times New Roman" w:cs="Times New Roman" w:eastAsiaTheme="minorEastAsia"/>
                      <w:color w:val="auto"/>
                      <w:sz w:val="18"/>
                      <w:szCs w:val="18"/>
                    </w:rPr>
                    <w:t>小时</w:t>
                  </w:r>
                </w:p>
              </w:tc>
              <w:tc>
                <w:tcPr>
                  <w:tcW w:w="1682" w:type="dxa"/>
                  <w:vAlign w:val="center"/>
                </w:tcPr>
                <w:p w14:paraId="149A6E1F">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不变</w:t>
                  </w:r>
                </w:p>
              </w:tc>
            </w:tr>
            <w:tr w14:paraId="7AD7F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restart"/>
                  <w:vAlign w:val="center"/>
                </w:tcPr>
                <w:p w14:paraId="4D8545D7">
                  <w:pPr>
                    <w:pStyle w:val="24"/>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5</w:t>
                  </w:r>
                </w:p>
              </w:tc>
              <w:tc>
                <w:tcPr>
                  <w:tcW w:w="433" w:type="dxa"/>
                  <w:vMerge w:val="restart"/>
                  <w:vAlign w:val="center"/>
                </w:tcPr>
                <w:p w14:paraId="032CEC09">
                  <w:pPr>
                    <w:pStyle w:val="24"/>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环境保护措施</w:t>
                  </w:r>
                </w:p>
              </w:tc>
              <w:tc>
                <w:tcPr>
                  <w:tcW w:w="517" w:type="dxa"/>
                  <w:vMerge w:val="restart"/>
                  <w:vAlign w:val="center"/>
                </w:tcPr>
                <w:p w14:paraId="074C3532">
                  <w:pPr>
                    <w:pStyle w:val="24"/>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废气</w:t>
                  </w:r>
                </w:p>
              </w:tc>
              <w:tc>
                <w:tcPr>
                  <w:tcW w:w="2826" w:type="dxa"/>
                  <w:vAlign w:val="center"/>
                </w:tcPr>
                <w:p w14:paraId="52452765">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熔化废气（DA001）</w:t>
                  </w:r>
                  <w:r>
                    <w:rPr>
                      <w:rFonts w:hint="eastAsia" w:ascii="Times New Roman" w:hAnsi="Times New Roman" w:cs="Times New Roman" w:eastAsiaTheme="minorEastAsia"/>
                      <w:color w:val="auto"/>
                      <w:sz w:val="18"/>
                      <w:szCs w:val="18"/>
                      <w:lang w:val="en-US" w:eastAsia="zh-CN"/>
                    </w:rPr>
                    <w:t>采用袋式除尘器处理后15m排气筒排放</w:t>
                  </w:r>
                </w:p>
              </w:tc>
              <w:tc>
                <w:tcPr>
                  <w:tcW w:w="2627" w:type="dxa"/>
                  <w:vMerge w:val="restart"/>
                  <w:vAlign w:val="center"/>
                </w:tcPr>
                <w:p w14:paraId="561B78B4">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金属熔化、熔模浇注、粘土砂浇注废气（DA001）</w:t>
                  </w:r>
                  <w:r>
                    <w:rPr>
                      <w:rFonts w:hint="eastAsia" w:ascii="Times New Roman" w:hAnsi="Times New Roman" w:cs="Times New Roman" w:eastAsiaTheme="minorEastAsia"/>
                      <w:color w:val="auto"/>
                      <w:sz w:val="18"/>
                      <w:szCs w:val="18"/>
                      <w:lang w:val="en-US" w:eastAsia="zh-CN"/>
                    </w:rPr>
                    <w:t>采用袋式除尘器处理后15m排气筒排放</w:t>
                  </w:r>
                </w:p>
              </w:tc>
              <w:tc>
                <w:tcPr>
                  <w:tcW w:w="1682" w:type="dxa"/>
                  <w:vMerge w:val="restart"/>
                  <w:vAlign w:val="center"/>
                </w:tcPr>
                <w:p w14:paraId="19DEBFD6">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将</w:t>
                  </w:r>
                  <w:r>
                    <w:rPr>
                      <w:rFonts w:hint="default" w:ascii="Times New Roman" w:hAnsi="Times New Roman" w:cs="Times New Roman" w:eastAsiaTheme="minorEastAsia"/>
                      <w:color w:val="auto"/>
                      <w:sz w:val="18"/>
                      <w:szCs w:val="18"/>
                    </w:rPr>
                    <w:t>粘土砂铸造浇注废气</w:t>
                  </w:r>
                  <w:r>
                    <w:rPr>
                      <w:rFonts w:hint="eastAsia" w:ascii="Times New Roman" w:hAnsi="Times New Roman" w:cs="Times New Roman" w:eastAsiaTheme="minorEastAsia"/>
                      <w:color w:val="auto"/>
                      <w:sz w:val="18"/>
                      <w:szCs w:val="18"/>
                      <w:lang w:eastAsia="zh-CN"/>
                    </w:rPr>
                    <w:t>、</w:t>
                  </w:r>
                  <w:r>
                    <w:rPr>
                      <w:rFonts w:hint="eastAsia" w:ascii="Times New Roman" w:hAnsi="Times New Roman" w:cs="Times New Roman" w:eastAsiaTheme="minorEastAsia"/>
                      <w:color w:val="auto"/>
                      <w:sz w:val="18"/>
                      <w:szCs w:val="18"/>
                      <w:lang w:val="en-US" w:eastAsia="zh-CN"/>
                    </w:rPr>
                    <w:t>熔模铸造浇注废气引入同一套袋式除尘器处理</w:t>
                  </w:r>
                </w:p>
              </w:tc>
            </w:tr>
            <w:tr w14:paraId="4A6B0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4CBE4ED6">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74DA8F78">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2BAC3100">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373B77FB">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粘土砂铸造浇注废气（DA003）</w:t>
                  </w:r>
                  <w:r>
                    <w:rPr>
                      <w:rFonts w:hint="eastAsia" w:ascii="Times New Roman" w:hAnsi="Times New Roman" w:cs="Times New Roman" w:eastAsiaTheme="minorEastAsia"/>
                      <w:color w:val="auto"/>
                      <w:sz w:val="18"/>
                      <w:szCs w:val="18"/>
                      <w:lang w:val="en-US" w:eastAsia="zh-CN"/>
                    </w:rPr>
                    <w:t>采用袋式除尘器处理后15m排气筒排放</w:t>
                  </w:r>
                </w:p>
              </w:tc>
              <w:tc>
                <w:tcPr>
                  <w:tcW w:w="2627" w:type="dxa"/>
                  <w:vMerge w:val="continue"/>
                  <w:vAlign w:val="center"/>
                </w:tcPr>
                <w:p w14:paraId="064E40D1">
                  <w:pPr>
                    <w:pStyle w:val="37"/>
                    <w:jc w:val="center"/>
                    <w:rPr>
                      <w:rFonts w:hint="default" w:ascii="Times New Roman" w:hAnsi="Times New Roman" w:cs="Times New Roman" w:eastAsiaTheme="minorEastAsia"/>
                      <w:color w:val="auto"/>
                      <w:sz w:val="18"/>
                      <w:szCs w:val="18"/>
                    </w:rPr>
                  </w:pPr>
                </w:p>
              </w:tc>
              <w:tc>
                <w:tcPr>
                  <w:tcW w:w="1682" w:type="dxa"/>
                  <w:vMerge w:val="continue"/>
                  <w:vAlign w:val="center"/>
                </w:tcPr>
                <w:p w14:paraId="2D23A947">
                  <w:pPr>
                    <w:pStyle w:val="37"/>
                    <w:jc w:val="center"/>
                    <w:rPr>
                      <w:rFonts w:hint="default" w:ascii="Times New Roman" w:hAnsi="Times New Roman" w:cs="Times New Roman" w:eastAsiaTheme="minorEastAsia"/>
                      <w:color w:val="auto"/>
                      <w:sz w:val="18"/>
                      <w:szCs w:val="18"/>
                      <w:lang w:val="en-US" w:eastAsia="zh-CN"/>
                    </w:rPr>
                  </w:pPr>
                </w:p>
              </w:tc>
            </w:tr>
            <w:tr w14:paraId="11B46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11F23699">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0DAAE2B7">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3EA1A9F0">
                  <w:pPr>
                    <w:pStyle w:val="24"/>
                    <w:jc w:val="center"/>
                    <w:rPr>
                      <w:rFonts w:hint="eastAsia" w:ascii="Times New Roman" w:hAnsi="Times New Roman" w:cs="Times New Roman" w:eastAsiaTheme="minorEastAsia"/>
                      <w:color w:val="auto"/>
                      <w:sz w:val="18"/>
                      <w:szCs w:val="18"/>
                      <w:lang w:val="en-US" w:eastAsia="zh-CN"/>
                    </w:rPr>
                  </w:pPr>
                </w:p>
              </w:tc>
              <w:tc>
                <w:tcPr>
                  <w:tcW w:w="2826" w:type="dxa"/>
                  <w:shd w:val="clear" w:color="auto" w:fill="auto"/>
                  <w:vAlign w:val="center"/>
                </w:tcPr>
                <w:p w14:paraId="63215B47">
                  <w:pPr>
                    <w:pStyle w:val="37"/>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制芯废气（DA002）</w:t>
                  </w:r>
                  <w:r>
                    <w:rPr>
                      <w:rFonts w:hint="eastAsia" w:ascii="Times New Roman" w:hAnsi="Times New Roman" w:cs="Times New Roman" w:eastAsiaTheme="minorEastAsia"/>
                      <w:color w:val="auto"/>
                      <w:sz w:val="18"/>
                      <w:szCs w:val="18"/>
                      <w:lang w:val="en-US" w:eastAsia="zh-CN"/>
                    </w:rPr>
                    <w:t>袋式除尘器+活性炭吸附处理后15m排气筒排放</w:t>
                  </w:r>
                </w:p>
              </w:tc>
              <w:tc>
                <w:tcPr>
                  <w:tcW w:w="2627" w:type="dxa"/>
                  <w:vMerge w:val="restart"/>
                  <w:shd w:val="clear" w:color="auto" w:fill="auto"/>
                  <w:vAlign w:val="center"/>
                </w:tcPr>
                <w:p w14:paraId="230BC9C2">
                  <w:pPr>
                    <w:pStyle w:val="37"/>
                    <w:jc w:val="center"/>
                    <w:rPr>
                      <w:rFonts w:hint="default" w:ascii="Times New Roman" w:hAnsi="Times New Roman" w:cs="Times New Roman" w:eastAsiaTheme="minorEastAsia"/>
                      <w:color w:val="auto"/>
                      <w:kern w:val="2"/>
                      <w:sz w:val="18"/>
                      <w:szCs w:val="18"/>
                      <w:lang w:val="en-US" w:eastAsia="zh-CN" w:bidi="ar-SA"/>
                    </w:rPr>
                  </w:pPr>
                  <w:r>
                    <w:rPr>
                      <w:rFonts w:hint="default" w:ascii="Times New Roman" w:hAnsi="Times New Roman" w:cs="Times New Roman" w:eastAsiaTheme="minorEastAsia"/>
                      <w:color w:val="auto"/>
                      <w:sz w:val="18"/>
                      <w:szCs w:val="18"/>
                    </w:rPr>
                    <w:t>制芯、树脂砂造型及浇注废气（DA002）</w:t>
                  </w:r>
                  <w:r>
                    <w:rPr>
                      <w:rFonts w:hint="eastAsia" w:ascii="Times New Roman" w:hAnsi="Times New Roman" w:cs="Times New Roman" w:eastAsiaTheme="minorEastAsia"/>
                      <w:color w:val="auto"/>
                      <w:sz w:val="18"/>
                      <w:szCs w:val="18"/>
                      <w:lang w:val="en-US" w:eastAsia="zh-CN"/>
                    </w:rPr>
                    <w:t>经</w:t>
                  </w:r>
                  <w:r>
                    <w:rPr>
                      <w:rFonts w:hint="default" w:ascii="Times New Roman" w:hAnsi="Times New Roman" w:cs="Times New Roman" w:eastAsiaTheme="minorEastAsia"/>
                      <w:color w:val="auto"/>
                      <w:sz w:val="18"/>
                      <w:szCs w:val="18"/>
                    </w:rPr>
                    <w:t>袋式除尘器+活性炭吸附处理</w:t>
                  </w:r>
                  <w:r>
                    <w:rPr>
                      <w:rFonts w:hint="eastAsia" w:ascii="Times New Roman" w:hAnsi="Times New Roman" w:cs="Times New Roman" w:eastAsiaTheme="minorEastAsia"/>
                      <w:color w:val="auto"/>
                      <w:sz w:val="18"/>
                      <w:szCs w:val="18"/>
                      <w:lang w:val="en-US" w:eastAsia="zh-CN"/>
                    </w:rPr>
                    <w:t>后</w:t>
                  </w:r>
                  <w:r>
                    <w:rPr>
                      <w:rFonts w:hint="default" w:ascii="Times New Roman" w:hAnsi="Times New Roman" w:cs="Times New Roman" w:eastAsiaTheme="minorEastAsia"/>
                      <w:color w:val="auto"/>
                      <w:sz w:val="18"/>
                      <w:szCs w:val="18"/>
                    </w:rPr>
                    <w:t>15m高排气筒排放</w:t>
                  </w:r>
                </w:p>
              </w:tc>
              <w:tc>
                <w:tcPr>
                  <w:tcW w:w="1682" w:type="dxa"/>
                  <w:vMerge w:val="restart"/>
                  <w:shd w:val="clear" w:color="auto" w:fill="auto"/>
                  <w:vAlign w:val="center"/>
                </w:tcPr>
                <w:p w14:paraId="3C032AC2">
                  <w:pPr>
                    <w:pStyle w:val="37"/>
                    <w:jc w:val="center"/>
                    <w:rPr>
                      <w:rFonts w:hint="eastAsia"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将树脂砂造型及</w:t>
                  </w:r>
                  <w:r>
                    <w:rPr>
                      <w:rFonts w:hint="default" w:ascii="Times New Roman" w:hAnsi="Times New Roman" w:cs="Times New Roman" w:eastAsiaTheme="minorEastAsia"/>
                      <w:color w:val="auto"/>
                      <w:sz w:val="18"/>
                      <w:szCs w:val="18"/>
                    </w:rPr>
                    <w:t>浇注废气</w:t>
                  </w:r>
                  <w:r>
                    <w:rPr>
                      <w:rFonts w:hint="eastAsia" w:ascii="Times New Roman" w:hAnsi="Times New Roman" w:cs="Times New Roman" w:eastAsiaTheme="minorEastAsia"/>
                      <w:color w:val="auto"/>
                      <w:sz w:val="18"/>
                      <w:szCs w:val="18"/>
                      <w:lang w:val="en-US" w:eastAsia="zh-CN"/>
                    </w:rPr>
                    <w:t>引入同一套袋式除尘器+活性炭吸附装置处理</w:t>
                  </w:r>
                </w:p>
              </w:tc>
            </w:tr>
            <w:tr w14:paraId="26C34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0B8BD067">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5D53881">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76B42A97">
                  <w:pPr>
                    <w:pStyle w:val="24"/>
                    <w:jc w:val="center"/>
                    <w:rPr>
                      <w:rFonts w:hint="eastAsia" w:ascii="Times New Roman" w:hAnsi="Times New Roman" w:cs="Times New Roman" w:eastAsiaTheme="minorEastAsia"/>
                      <w:color w:val="auto"/>
                      <w:sz w:val="18"/>
                      <w:szCs w:val="18"/>
                      <w:lang w:val="en-US" w:eastAsia="zh-CN"/>
                    </w:rPr>
                  </w:pPr>
                </w:p>
              </w:tc>
              <w:tc>
                <w:tcPr>
                  <w:tcW w:w="2826" w:type="dxa"/>
                  <w:shd w:val="clear" w:color="auto" w:fill="auto"/>
                  <w:vAlign w:val="center"/>
                </w:tcPr>
                <w:p w14:paraId="02309440">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树脂自硬砂铸造造型浇注废气（DA004）袋式除尘器+活性炭吸附处理</w:t>
                  </w:r>
                  <w:r>
                    <w:rPr>
                      <w:rFonts w:hint="eastAsia" w:ascii="Times New Roman" w:hAnsi="Times New Roman" w:cs="Times New Roman" w:eastAsiaTheme="minorEastAsia"/>
                      <w:color w:val="auto"/>
                      <w:sz w:val="18"/>
                      <w:szCs w:val="18"/>
                      <w:lang w:val="en-US" w:eastAsia="zh-CN"/>
                    </w:rPr>
                    <w:t>后</w:t>
                  </w:r>
                  <w:r>
                    <w:rPr>
                      <w:rFonts w:hint="default" w:ascii="Times New Roman" w:hAnsi="Times New Roman" w:cs="Times New Roman" w:eastAsiaTheme="minorEastAsia"/>
                      <w:color w:val="auto"/>
                      <w:sz w:val="18"/>
                      <w:szCs w:val="18"/>
                    </w:rPr>
                    <w:t>15m高排气筒排放</w:t>
                  </w:r>
                </w:p>
              </w:tc>
              <w:tc>
                <w:tcPr>
                  <w:tcW w:w="2627" w:type="dxa"/>
                  <w:vMerge w:val="continue"/>
                  <w:shd w:val="clear" w:color="auto" w:fill="auto"/>
                  <w:vAlign w:val="center"/>
                </w:tcPr>
                <w:p w14:paraId="31E250E5">
                  <w:pPr>
                    <w:pStyle w:val="37"/>
                    <w:jc w:val="center"/>
                    <w:rPr>
                      <w:rFonts w:hint="default" w:ascii="Times New Roman" w:hAnsi="Times New Roman" w:cs="Times New Roman" w:eastAsiaTheme="minorEastAsia"/>
                      <w:color w:val="auto"/>
                      <w:sz w:val="18"/>
                      <w:szCs w:val="18"/>
                    </w:rPr>
                  </w:pPr>
                </w:p>
              </w:tc>
              <w:tc>
                <w:tcPr>
                  <w:tcW w:w="1682" w:type="dxa"/>
                  <w:vMerge w:val="continue"/>
                  <w:shd w:val="clear" w:color="auto" w:fill="auto"/>
                  <w:vAlign w:val="center"/>
                </w:tcPr>
                <w:p w14:paraId="4C29249B">
                  <w:pPr>
                    <w:pStyle w:val="37"/>
                    <w:jc w:val="center"/>
                    <w:rPr>
                      <w:rFonts w:hint="eastAsia" w:ascii="Times New Roman" w:hAnsi="Times New Roman" w:cs="Times New Roman" w:eastAsiaTheme="minorEastAsia"/>
                      <w:color w:val="auto"/>
                      <w:sz w:val="18"/>
                      <w:szCs w:val="18"/>
                      <w:lang w:val="en-US" w:eastAsia="zh-CN"/>
                    </w:rPr>
                  </w:pPr>
                </w:p>
              </w:tc>
            </w:tr>
            <w:tr w14:paraId="6CAE9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4CBF5DCF">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0394518">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4065C19A">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4BA84DED">
                  <w:pPr>
                    <w:pStyle w:val="37"/>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w:t>
                  </w:r>
                </w:p>
              </w:tc>
              <w:tc>
                <w:tcPr>
                  <w:tcW w:w="2627" w:type="dxa"/>
                  <w:vAlign w:val="center"/>
                </w:tcPr>
                <w:p w14:paraId="3639BCF0">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蜡模组树废气（DA003）</w:t>
                  </w:r>
                  <w:r>
                    <w:rPr>
                      <w:rFonts w:hint="eastAsia" w:ascii="Times New Roman" w:hAnsi="Times New Roman" w:cs="Times New Roman" w:eastAsiaTheme="minorEastAsia"/>
                      <w:color w:val="auto"/>
                      <w:sz w:val="18"/>
                      <w:szCs w:val="18"/>
                      <w:lang w:val="en-US" w:eastAsia="zh-CN"/>
                    </w:rPr>
                    <w:t>采用活性炭吸附处理后15m排气筒排放</w:t>
                  </w:r>
                </w:p>
              </w:tc>
              <w:tc>
                <w:tcPr>
                  <w:tcW w:w="1682" w:type="dxa"/>
                  <w:vAlign w:val="center"/>
                </w:tcPr>
                <w:p w14:paraId="23160302">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原项目环评未分析蜡模组树废气</w:t>
                  </w:r>
                </w:p>
              </w:tc>
            </w:tr>
            <w:tr w14:paraId="01215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120248DE">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4BFA6756">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6B6F4F70">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7516100C">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熔模焙烧、浇注废气（DA005）</w:t>
                  </w:r>
                  <w:r>
                    <w:rPr>
                      <w:rFonts w:hint="eastAsia" w:ascii="Times New Roman" w:hAnsi="Times New Roman" w:cs="Times New Roman" w:eastAsiaTheme="minorEastAsia"/>
                      <w:color w:val="auto"/>
                      <w:sz w:val="18"/>
                      <w:szCs w:val="18"/>
                      <w:lang w:val="en-US" w:eastAsia="zh-CN"/>
                    </w:rPr>
                    <w:t>采用袋式除尘器+活性炭吸附处理后15m排气筒排放</w:t>
                  </w:r>
                </w:p>
              </w:tc>
              <w:tc>
                <w:tcPr>
                  <w:tcW w:w="2627" w:type="dxa"/>
                  <w:shd w:val="clear" w:color="auto" w:fill="auto"/>
                  <w:vAlign w:val="center"/>
                </w:tcPr>
                <w:p w14:paraId="1570E694">
                  <w:pPr>
                    <w:pStyle w:val="37"/>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熔模住在</w:t>
                  </w:r>
                  <w:r>
                    <w:rPr>
                      <w:rFonts w:hint="default" w:ascii="Times New Roman" w:hAnsi="Times New Roman" w:cs="Times New Roman" w:eastAsiaTheme="minorEastAsia"/>
                      <w:color w:val="auto"/>
                      <w:sz w:val="18"/>
                      <w:szCs w:val="18"/>
                    </w:rPr>
                    <w:t>脱蜡、型壳焙烧废气（DA004）</w:t>
                  </w:r>
                  <w:r>
                    <w:rPr>
                      <w:rFonts w:hint="eastAsia" w:ascii="Times New Roman" w:hAnsi="Times New Roman" w:cs="Times New Roman" w:eastAsiaTheme="minorEastAsia"/>
                      <w:color w:val="auto"/>
                      <w:sz w:val="18"/>
                      <w:szCs w:val="18"/>
                      <w:lang w:val="en-US" w:eastAsia="zh-CN"/>
                    </w:rPr>
                    <w:t>采用</w:t>
                  </w:r>
                  <w:r>
                    <w:rPr>
                      <w:rFonts w:hint="eastAsia" w:ascii="Times New Roman" w:hAnsi="Times New Roman" w:cs="Times New Roman" w:eastAsiaTheme="minorEastAsia"/>
                      <w:color w:val="auto"/>
                      <w:sz w:val="18"/>
                      <w:szCs w:val="18"/>
                      <w:lang w:eastAsia="zh-CN"/>
                    </w:rPr>
                    <w:t>水喷淋+干式过滤器+活性炭吸附</w:t>
                  </w:r>
                  <w:r>
                    <w:rPr>
                      <w:rFonts w:hint="default" w:ascii="Times New Roman" w:hAnsi="Times New Roman" w:cs="Times New Roman" w:eastAsiaTheme="minorEastAsia"/>
                      <w:color w:val="auto"/>
                      <w:sz w:val="18"/>
                      <w:szCs w:val="18"/>
                    </w:rPr>
                    <w:t>处理</w:t>
                  </w:r>
                  <w:r>
                    <w:rPr>
                      <w:rFonts w:hint="eastAsia" w:ascii="Times New Roman" w:hAnsi="Times New Roman" w:cs="Times New Roman" w:eastAsiaTheme="minorEastAsia"/>
                      <w:color w:val="auto"/>
                      <w:sz w:val="18"/>
                      <w:szCs w:val="18"/>
                      <w:lang w:val="en-US" w:eastAsia="zh-CN"/>
                    </w:rPr>
                    <w:t>后</w:t>
                  </w:r>
                  <w:r>
                    <w:rPr>
                      <w:rFonts w:hint="default" w:ascii="Times New Roman" w:hAnsi="Times New Roman" w:cs="Times New Roman" w:eastAsiaTheme="minorEastAsia"/>
                      <w:color w:val="auto"/>
                      <w:sz w:val="18"/>
                      <w:szCs w:val="18"/>
                    </w:rPr>
                    <w:t>15m高排气筒排放</w:t>
                  </w:r>
                </w:p>
              </w:tc>
              <w:tc>
                <w:tcPr>
                  <w:tcW w:w="1682" w:type="dxa"/>
                  <w:shd w:val="clear" w:color="auto" w:fill="auto"/>
                  <w:vAlign w:val="center"/>
                </w:tcPr>
                <w:p w14:paraId="5B559A02">
                  <w:pPr>
                    <w:pStyle w:val="37"/>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补充分析脱蜡工序废气源强分析，型壳焙烧由电能变更为天然气，废气治理工艺变更</w:t>
                  </w:r>
                </w:p>
              </w:tc>
            </w:tr>
            <w:tr w14:paraId="63799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3A1D51D3">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6317350">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26348C66">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25F2598D">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落砂、砂再生废气（DA006）</w:t>
                  </w:r>
                  <w:r>
                    <w:rPr>
                      <w:rFonts w:hint="eastAsia" w:ascii="Times New Roman" w:hAnsi="Times New Roman" w:cs="Times New Roman" w:eastAsiaTheme="minorEastAsia"/>
                      <w:color w:val="auto"/>
                      <w:sz w:val="18"/>
                      <w:szCs w:val="18"/>
                      <w:lang w:val="en-US" w:eastAsia="zh-CN"/>
                    </w:rPr>
                    <w:t>袋式除尘器处理后15m排气筒排放</w:t>
                  </w:r>
                </w:p>
              </w:tc>
              <w:tc>
                <w:tcPr>
                  <w:tcW w:w="2627" w:type="dxa"/>
                  <w:shd w:val="clear" w:color="auto" w:fill="auto"/>
                  <w:vAlign w:val="center"/>
                </w:tcPr>
                <w:p w14:paraId="27471350">
                  <w:pPr>
                    <w:pStyle w:val="37"/>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粘土砂造型废气，</w:t>
                  </w:r>
                  <w:r>
                    <w:rPr>
                      <w:rFonts w:hint="default" w:ascii="Times New Roman" w:hAnsi="Times New Roman" w:cs="Times New Roman" w:eastAsiaTheme="minorEastAsia"/>
                      <w:color w:val="auto"/>
                      <w:sz w:val="18"/>
                      <w:szCs w:val="18"/>
                    </w:rPr>
                    <w:t>落砂、砂再生废气（DA00</w:t>
                  </w:r>
                  <w:r>
                    <w:rPr>
                      <w:rFonts w:hint="eastAsia" w:ascii="Times New Roman" w:hAnsi="Times New Roman" w:cs="Times New Roman" w:eastAsiaTheme="minorEastAsia"/>
                      <w:color w:val="auto"/>
                      <w:sz w:val="18"/>
                      <w:szCs w:val="18"/>
                      <w:lang w:val="en-US" w:eastAsia="zh-CN"/>
                    </w:rPr>
                    <w:t>5</w:t>
                  </w:r>
                  <w:r>
                    <w:rPr>
                      <w:rFonts w:hint="default" w:ascii="Times New Roman" w:hAnsi="Times New Roman" w:cs="Times New Roman" w:eastAsiaTheme="minorEastAsia"/>
                      <w:color w:val="auto"/>
                      <w:sz w:val="18"/>
                      <w:szCs w:val="18"/>
                    </w:rPr>
                    <w:t>）</w:t>
                  </w:r>
                  <w:r>
                    <w:rPr>
                      <w:rFonts w:hint="eastAsia" w:ascii="Times New Roman" w:hAnsi="Times New Roman" w:cs="Times New Roman" w:eastAsiaTheme="minorEastAsia"/>
                      <w:color w:val="auto"/>
                      <w:sz w:val="18"/>
                      <w:szCs w:val="18"/>
                      <w:lang w:val="en-US" w:eastAsia="zh-CN"/>
                    </w:rPr>
                    <w:t>袋式除尘器处理后15m排气筒排放</w:t>
                  </w:r>
                </w:p>
              </w:tc>
              <w:tc>
                <w:tcPr>
                  <w:tcW w:w="1682" w:type="dxa"/>
                  <w:vAlign w:val="center"/>
                </w:tcPr>
                <w:p w14:paraId="1CDF5B3B">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将粘土砂造型废气引入同一套袋式除尘器处理，处理工艺不变</w:t>
                  </w:r>
                </w:p>
              </w:tc>
            </w:tr>
            <w:tr w14:paraId="1D8A8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577" w:type="dxa"/>
                  <w:vMerge w:val="continue"/>
                  <w:vAlign w:val="center"/>
                </w:tcPr>
                <w:p w14:paraId="74D7C084">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B5A92C1">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138B473F">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3D8E4CD0">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脱壳、清理</w:t>
                  </w:r>
                  <w:r>
                    <w:rPr>
                      <w:rFonts w:hint="default" w:ascii="Times New Roman" w:hAnsi="Times New Roman" w:cs="Times New Roman" w:eastAsiaTheme="minorEastAsia"/>
                      <w:color w:val="auto"/>
                      <w:sz w:val="18"/>
                      <w:szCs w:val="18"/>
                    </w:rPr>
                    <w:t>打磨废气（DA007）</w:t>
                  </w:r>
                  <w:r>
                    <w:rPr>
                      <w:rFonts w:hint="eastAsia" w:ascii="Times New Roman" w:hAnsi="Times New Roman" w:cs="Times New Roman" w:eastAsiaTheme="minorEastAsia"/>
                      <w:color w:val="auto"/>
                      <w:sz w:val="18"/>
                      <w:szCs w:val="18"/>
                      <w:lang w:val="en-US" w:eastAsia="zh-CN"/>
                    </w:rPr>
                    <w:t>经袋式除尘器处理后15m排气筒排放</w:t>
                  </w:r>
                </w:p>
              </w:tc>
              <w:tc>
                <w:tcPr>
                  <w:tcW w:w="2627" w:type="dxa"/>
                  <w:vAlign w:val="center"/>
                </w:tcPr>
                <w:p w14:paraId="492E3AAA">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DA006排气筒（铸件抛丸清理、二次抛丸）</w:t>
                  </w:r>
                  <w:r>
                    <w:rPr>
                      <w:rFonts w:hint="eastAsia" w:ascii="Times New Roman" w:hAnsi="Times New Roman" w:cs="Times New Roman" w:eastAsiaTheme="minorEastAsia"/>
                      <w:color w:val="auto"/>
                      <w:sz w:val="18"/>
                      <w:szCs w:val="18"/>
                      <w:lang w:val="en-US" w:eastAsia="zh-CN"/>
                    </w:rPr>
                    <w:t>经袋式除尘器处理后15m排气筒排放</w:t>
                  </w:r>
                </w:p>
              </w:tc>
              <w:tc>
                <w:tcPr>
                  <w:tcW w:w="1682" w:type="dxa"/>
                  <w:vAlign w:val="center"/>
                </w:tcPr>
                <w:p w14:paraId="2D91ECA8">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不变</w:t>
                  </w:r>
                </w:p>
              </w:tc>
            </w:tr>
            <w:tr w14:paraId="6BDD7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39683588">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EB8A1E1">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5E42B8E9">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23D9B37B">
                  <w:pPr>
                    <w:pStyle w:val="37"/>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w:t>
                  </w:r>
                </w:p>
              </w:tc>
              <w:tc>
                <w:tcPr>
                  <w:tcW w:w="2627" w:type="dxa"/>
                  <w:vAlign w:val="center"/>
                </w:tcPr>
                <w:p w14:paraId="74B0997F">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熔模铸件退火废气（DA00</w:t>
                  </w:r>
                  <w:r>
                    <w:rPr>
                      <w:rFonts w:hint="eastAsia" w:ascii="Times New Roman" w:hAnsi="Times New Roman" w:cs="Times New Roman" w:eastAsiaTheme="minorEastAsia"/>
                      <w:color w:val="auto"/>
                      <w:sz w:val="18"/>
                      <w:szCs w:val="18"/>
                      <w:lang w:val="en-US" w:eastAsia="zh-CN"/>
                    </w:rPr>
                    <w:t>7</w:t>
                  </w:r>
                  <w:r>
                    <w:rPr>
                      <w:rFonts w:hint="default" w:ascii="Times New Roman" w:hAnsi="Times New Roman" w:cs="Times New Roman" w:eastAsiaTheme="minorEastAsia"/>
                      <w:color w:val="auto"/>
                      <w:sz w:val="18"/>
                      <w:szCs w:val="18"/>
                    </w:rPr>
                    <w:t>）</w:t>
                  </w:r>
                  <w:r>
                    <w:rPr>
                      <w:rFonts w:hint="eastAsia" w:ascii="Times New Roman" w:hAnsi="Times New Roman" w:cs="Times New Roman" w:eastAsiaTheme="minorEastAsia"/>
                      <w:color w:val="auto"/>
                      <w:sz w:val="18"/>
                      <w:szCs w:val="18"/>
                      <w:lang w:val="en-US" w:eastAsia="zh-CN"/>
                    </w:rPr>
                    <w:t>使用天然气为燃料，废气经15m排气筒排放</w:t>
                  </w:r>
                </w:p>
              </w:tc>
              <w:tc>
                <w:tcPr>
                  <w:tcW w:w="1682" w:type="dxa"/>
                  <w:vAlign w:val="center"/>
                </w:tcPr>
                <w:p w14:paraId="758EE67B">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新增退火废气</w:t>
                  </w:r>
                </w:p>
              </w:tc>
            </w:tr>
            <w:tr w14:paraId="36B8D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7460623C">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585F5A3E">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430AFCEB">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69933C5E">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喷粉废气（DA008）</w:t>
                  </w:r>
                  <w:r>
                    <w:rPr>
                      <w:rFonts w:hint="eastAsia" w:ascii="Times New Roman" w:hAnsi="Times New Roman" w:cs="Times New Roman" w:eastAsiaTheme="minorEastAsia"/>
                      <w:color w:val="auto"/>
                      <w:sz w:val="18"/>
                      <w:szCs w:val="18"/>
                      <w:lang w:val="en-US" w:eastAsia="zh-CN"/>
                    </w:rPr>
                    <w:t>经袋式除尘器处理后15m排气筒排放</w:t>
                  </w:r>
                </w:p>
              </w:tc>
              <w:tc>
                <w:tcPr>
                  <w:tcW w:w="2627" w:type="dxa"/>
                  <w:vAlign w:val="center"/>
                </w:tcPr>
                <w:p w14:paraId="3BBD3F7E">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喷粉废气（DA00</w:t>
                  </w:r>
                  <w:r>
                    <w:rPr>
                      <w:rFonts w:hint="eastAsia" w:ascii="Times New Roman" w:hAnsi="Times New Roman" w:cs="Times New Roman" w:eastAsiaTheme="minorEastAsia"/>
                      <w:color w:val="auto"/>
                      <w:sz w:val="18"/>
                      <w:szCs w:val="18"/>
                      <w:lang w:val="en-US" w:eastAsia="zh-CN"/>
                    </w:rPr>
                    <w:t>8</w:t>
                  </w:r>
                  <w:r>
                    <w:rPr>
                      <w:rFonts w:hint="default" w:ascii="Times New Roman" w:hAnsi="Times New Roman" w:cs="Times New Roman" w:eastAsiaTheme="minorEastAsia"/>
                      <w:color w:val="auto"/>
                      <w:sz w:val="18"/>
                      <w:szCs w:val="18"/>
                    </w:rPr>
                    <w:t>）</w:t>
                  </w:r>
                  <w:r>
                    <w:rPr>
                      <w:rFonts w:hint="eastAsia" w:ascii="Times New Roman" w:hAnsi="Times New Roman" w:cs="Times New Roman" w:eastAsiaTheme="minorEastAsia"/>
                      <w:color w:val="auto"/>
                      <w:sz w:val="18"/>
                      <w:szCs w:val="18"/>
                      <w:lang w:val="en-US" w:eastAsia="zh-CN"/>
                    </w:rPr>
                    <w:t>经袋式除尘器处理后15m排气筒排放</w:t>
                  </w:r>
                </w:p>
              </w:tc>
              <w:tc>
                <w:tcPr>
                  <w:tcW w:w="1682" w:type="dxa"/>
                  <w:vAlign w:val="center"/>
                </w:tcPr>
                <w:p w14:paraId="3895F96A">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不变</w:t>
                  </w:r>
                </w:p>
              </w:tc>
            </w:tr>
            <w:tr w14:paraId="1373E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79AAA4D4">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40EBFE5C">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73F0FBAE">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18A94742">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固化废气（DA009）</w:t>
                  </w:r>
                  <w:r>
                    <w:rPr>
                      <w:rFonts w:hint="eastAsia" w:ascii="Times New Roman" w:hAnsi="Times New Roman" w:cs="Times New Roman" w:eastAsiaTheme="minorEastAsia"/>
                      <w:color w:val="auto"/>
                      <w:sz w:val="18"/>
                      <w:szCs w:val="18"/>
                      <w:lang w:val="en-US" w:eastAsia="zh-CN"/>
                    </w:rPr>
                    <w:t>活性炭吸附处理后15m排气筒排放</w:t>
                  </w:r>
                </w:p>
              </w:tc>
              <w:tc>
                <w:tcPr>
                  <w:tcW w:w="2627" w:type="dxa"/>
                  <w:vAlign w:val="center"/>
                </w:tcPr>
                <w:p w14:paraId="2B05E477">
                  <w:pPr>
                    <w:pStyle w:val="37"/>
                    <w:jc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固化</w:t>
                  </w:r>
                  <w:r>
                    <w:rPr>
                      <w:rFonts w:hint="default" w:ascii="Times New Roman" w:hAnsi="Times New Roman" w:cs="Times New Roman" w:eastAsiaTheme="minorEastAsia"/>
                      <w:color w:val="auto"/>
                      <w:sz w:val="18"/>
                      <w:szCs w:val="18"/>
                    </w:rPr>
                    <w:t>废气（DA0</w:t>
                  </w:r>
                  <w:r>
                    <w:rPr>
                      <w:rFonts w:hint="eastAsia" w:ascii="Times New Roman" w:hAnsi="Times New Roman" w:cs="Times New Roman" w:eastAsiaTheme="minorEastAsia"/>
                      <w:color w:val="auto"/>
                      <w:sz w:val="18"/>
                      <w:szCs w:val="18"/>
                      <w:lang w:val="en-US" w:eastAsia="zh-CN"/>
                    </w:rPr>
                    <w:t>09</w:t>
                  </w:r>
                  <w:r>
                    <w:rPr>
                      <w:rFonts w:hint="default" w:ascii="Times New Roman" w:hAnsi="Times New Roman" w:cs="Times New Roman" w:eastAsiaTheme="minorEastAsia"/>
                      <w:color w:val="auto"/>
                      <w:sz w:val="18"/>
                      <w:szCs w:val="18"/>
                    </w:rPr>
                    <w:t>）</w:t>
                  </w:r>
                  <w:r>
                    <w:rPr>
                      <w:rFonts w:hint="eastAsia" w:ascii="Times New Roman" w:hAnsi="Times New Roman" w:cs="Times New Roman" w:eastAsiaTheme="minorEastAsia"/>
                      <w:color w:val="auto"/>
                      <w:sz w:val="18"/>
                      <w:szCs w:val="18"/>
                      <w:lang w:val="en-US" w:eastAsia="zh-CN"/>
                    </w:rPr>
                    <w:t>经</w:t>
                  </w:r>
                  <w:r>
                    <w:rPr>
                      <w:rFonts w:hint="eastAsia" w:ascii="Times New Roman" w:hAnsi="Times New Roman" w:cs="Times New Roman" w:eastAsiaTheme="minorEastAsia"/>
                      <w:color w:val="auto"/>
                      <w:sz w:val="18"/>
                      <w:szCs w:val="18"/>
                      <w:lang w:eastAsia="zh-CN"/>
                    </w:rPr>
                    <w:t>水喷淋+干式过滤器+活性炭吸附</w:t>
                  </w:r>
                  <w:r>
                    <w:rPr>
                      <w:rFonts w:hint="eastAsia" w:ascii="Times New Roman" w:hAnsi="Times New Roman" w:cs="Times New Roman" w:eastAsiaTheme="minorEastAsia"/>
                      <w:color w:val="auto"/>
                      <w:sz w:val="18"/>
                      <w:szCs w:val="18"/>
                      <w:lang w:val="en-US" w:eastAsia="zh-CN"/>
                    </w:rPr>
                    <w:t>处理后15m排气筒排放</w:t>
                  </w:r>
                </w:p>
              </w:tc>
              <w:tc>
                <w:tcPr>
                  <w:tcW w:w="1682" w:type="dxa"/>
                  <w:vAlign w:val="center"/>
                </w:tcPr>
                <w:p w14:paraId="24027D6C">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废气治理工艺增加水喷淋和干式过滤器设施</w:t>
                  </w:r>
                </w:p>
              </w:tc>
            </w:tr>
            <w:tr w14:paraId="661C6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084FC9B0">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D4651EB">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168075E0">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23214167">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化学抛光废气（DA010）</w:t>
                  </w:r>
                  <w:r>
                    <w:rPr>
                      <w:rFonts w:hint="eastAsia" w:ascii="Times New Roman" w:hAnsi="Times New Roman" w:cs="Times New Roman" w:eastAsiaTheme="minorEastAsia"/>
                      <w:color w:val="auto"/>
                      <w:sz w:val="18"/>
                      <w:szCs w:val="18"/>
                      <w:lang w:val="en-US" w:eastAsia="zh-CN"/>
                    </w:rPr>
                    <w:t>碱液喷淋处理后15m排气筒排放</w:t>
                  </w:r>
                </w:p>
              </w:tc>
              <w:tc>
                <w:tcPr>
                  <w:tcW w:w="2627" w:type="dxa"/>
                  <w:vAlign w:val="center"/>
                </w:tcPr>
                <w:p w14:paraId="15C3444E">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生产工艺不再涉及化学抛光工艺</w:t>
                  </w:r>
                </w:p>
              </w:tc>
              <w:tc>
                <w:tcPr>
                  <w:tcW w:w="1682" w:type="dxa"/>
                  <w:vAlign w:val="center"/>
                </w:tcPr>
                <w:p w14:paraId="423C9154">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减少化学抛光工艺</w:t>
                  </w:r>
                </w:p>
              </w:tc>
            </w:tr>
            <w:tr w14:paraId="27B90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233487FD">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33489252">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41FFB10B">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61D2B0F0">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投料拌料废气（DA011）</w:t>
                  </w:r>
                  <w:r>
                    <w:rPr>
                      <w:rFonts w:hint="eastAsia" w:ascii="Times New Roman" w:hAnsi="Times New Roman" w:cs="Times New Roman" w:eastAsiaTheme="minorEastAsia"/>
                      <w:color w:val="auto"/>
                      <w:sz w:val="18"/>
                      <w:szCs w:val="18"/>
                      <w:lang w:val="en-US" w:eastAsia="zh-CN"/>
                    </w:rPr>
                    <w:t>经袋式除尘器处理后15m排气筒排放</w:t>
                  </w:r>
                </w:p>
              </w:tc>
              <w:tc>
                <w:tcPr>
                  <w:tcW w:w="2627" w:type="dxa"/>
                  <w:vAlign w:val="center"/>
                </w:tcPr>
                <w:p w14:paraId="6D6E9691">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投料拌料废气（DA01</w:t>
                  </w:r>
                  <w:r>
                    <w:rPr>
                      <w:rFonts w:hint="eastAsia" w:ascii="Times New Roman" w:hAnsi="Times New Roman" w:cs="Times New Roman" w:eastAsiaTheme="minorEastAsia"/>
                      <w:color w:val="auto"/>
                      <w:sz w:val="18"/>
                      <w:szCs w:val="18"/>
                      <w:lang w:val="en-US" w:eastAsia="zh-CN"/>
                    </w:rPr>
                    <w:t>0</w:t>
                  </w:r>
                  <w:r>
                    <w:rPr>
                      <w:rFonts w:hint="default" w:ascii="Times New Roman" w:hAnsi="Times New Roman" w:cs="Times New Roman" w:eastAsiaTheme="minorEastAsia"/>
                      <w:color w:val="auto"/>
                      <w:sz w:val="18"/>
                      <w:szCs w:val="18"/>
                    </w:rPr>
                    <w:t>）</w:t>
                  </w:r>
                  <w:r>
                    <w:rPr>
                      <w:rFonts w:hint="eastAsia" w:ascii="Times New Roman" w:hAnsi="Times New Roman" w:cs="Times New Roman" w:eastAsiaTheme="minorEastAsia"/>
                      <w:color w:val="auto"/>
                      <w:sz w:val="18"/>
                      <w:szCs w:val="18"/>
                      <w:lang w:val="en-US" w:eastAsia="zh-CN"/>
                    </w:rPr>
                    <w:t>经袋式除尘器处理后15m排气筒排放</w:t>
                  </w:r>
                </w:p>
              </w:tc>
              <w:tc>
                <w:tcPr>
                  <w:tcW w:w="1682" w:type="dxa"/>
                  <w:vAlign w:val="center"/>
                </w:tcPr>
                <w:p w14:paraId="72A7D94E">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不变</w:t>
                  </w:r>
                </w:p>
              </w:tc>
            </w:tr>
            <w:tr w14:paraId="0C631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5F4FB117">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14677383">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76FF0880">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1494CE68">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造粒、挤出废气（DA012）</w:t>
                  </w:r>
                  <w:r>
                    <w:rPr>
                      <w:rFonts w:hint="eastAsia" w:ascii="Times New Roman" w:hAnsi="Times New Roman" w:cs="Times New Roman" w:eastAsiaTheme="minorEastAsia"/>
                      <w:color w:val="auto"/>
                      <w:sz w:val="18"/>
                      <w:szCs w:val="18"/>
                      <w:lang w:val="en-US" w:eastAsia="zh-CN"/>
                    </w:rPr>
                    <w:t>经袋式除尘器+活性炭吸附处理后15m排气筒排放</w:t>
                  </w:r>
                </w:p>
              </w:tc>
              <w:tc>
                <w:tcPr>
                  <w:tcW w:w="2627" w:type="dxa"/>
                  <w:vAlign w:val="center"/>
                </w:tcPr>
                <w:p w14:paraId="3DA2A45E">
                  <w:pPr>
                    <w:pStyle w:val="37"/>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造粒、挤出、挤管</w:t>
                  </w:r>
                  <w:r>
                    <w:rPr>
                      <w:rFonts w:hint="eastAsia" w:ascii="Times New Roman" w:hAnsi="Times New Roman" w:cs="Times New Roman" w:eastAsiaTheme="minorEastAsia"/>
                      <w:color w:val="auto"/>
                      <w:sz w:val="18"/>
                      <w:szCs w:val="18"/>
                      <w:highlight w:val="none"/>
                      <w:lang w:val="en-US" w:eastAsia="zh-CN"/>
                    </w:rPr>
                    <w:t>废气</w:t>
                  </w:r>
                  <w:r>
                    <w:rPr>
                      <w:rFonts w:hint="default" w:ascii="Times New Roman" w:hAnsi="Times New Roman" w:cs="Times New Roman" w:eastAsiaTheme="minorEastAsia"/>
                      <w:color w:val="auto"/>
                      <w:sz w:val="18"/>
                      <w:szCs w:val="18"/>
                      <w:highlight w:val="none"/>
                    </w:rPr>
                    <w:t>（DA01</w:t>
                  </w:r>
                  <w:r>
                    <w:rPr>
                      <w:rFonts w:hint="eastAsia" w:ascii="Times New Roman" w:hAnsi="Times New Roman" w:cs="Times New Roman" w:eastAsiaTheme="minorEastAsia"/>
                      <w:color w:val="auto"/>
                      <w:sz w:val="18"/>
                      <w:szCs w:val="18"/>
                      <w:highlight w:val="none"/>
                      <w:lang w:val="en-US" w:eastAsia="zh-CN"/>
                    </w:rPr>
                    <w:t>1</w:t>
                  </w:r>
                  <w:r>
                    <w:rPr>
                      <w:rFonts w:hint="default" w:ascii="Times New Roman" w:hAnsi="Times New Roman" w:cs="Times New Roman" w:eastAsiaTheme="minorEastAsia"/>
                      <w:color w:val="auto"/>
                      <w:sz w:val="18"/>
                      <w:szCs w:val="18"/>
                      <w:highlight w:val="none"/>
                    </w:rPr>
                    <w:t>）</w:t>
                  </w:r>
                  <w:r>
                    <w:rPr>
                      <w:rFonts w:hint="eastAsia" w:ascii="Times New Roman" w:hAnsi="Times New Roman" w:cs="Times New Roman" w:eastAsiaTheme="minorEastAsia"/>
                      <w:color w:val="auto"/>
                      <w:sz w:val="18"/>
                      <w:szCs w:val="18"/>
                      <w:highlight w:val="none"/>
                      <w:lang w:val="en-US" w:eastAsia="zh-CN"/>
                    </w:rPr>
                    <w:t>经活性炭吸附处理后15m排气筒排放</w:t>
                  </w:r>
                </w:p>
              </w:tc>
              <w:tc>
                <w:tcPr>
                  <w:tcW w:w="1682" w:type="dxa"/>
                  <w:vAlign w:val="center"/>
                </w:tcPr>
                <w:p w14:paraId="65A131F1">
                  <w:pPr>
                    <w:pStyle w:val="37"/>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经分析，</w:t>
                  </w:r>
                  <w:r>
                    <w:rPr>
                      <w:rFonts w:hint="default" w:ascii="Times New Roman" w:hAnsi="Times New Roman" w:cs="Times New Roman" w:eastAsiaTheme="minorEastAsia"/>
                      <w:color w:val="auto"/>
                      <w:sz w:val="18"/>
                      <w:szCs w:val="18"/>
                      <w:highlight w:val="none"/>
                    </w:rPr>
                    <w:t>造粒、挤出、挤管</w:t>
                  </w:r>
                  <w:r>
                    <w:rPr>
                      <w:rFonts w:hint="eastAsia" w:ascii="Times New Roman" w:hAnsi="Times New Roman" w:cs="Times New Roman" w:eastAsiaTheme="minorEastAsia"/>
                      <w:color w:val="auto"/>
                      <w:sz w:val="18"/>
                      <w:szCs w:val="18"/>
                      <w:highlight w:val="none"/>
                      <w:lang w:val="en-US" w:eastAsia="zh-CN"/>
                    </w:rPr>
                    <w:t>等工序无颗粒物产生，废气治理设施减少袋式除尘器</w:t>
                  </w:r>
                </w:p>
              </w:tc>
            </w:tr>
            <w:tr w14:paraId="04D14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200F62EC">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016B403D">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70354F8A">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7EB62DB8">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锅炉废气（DA013）</w:t>
                  </w:r>
                  <w:r>
                    <w:rPr>
                      <w:rFonts w:hint="eastAsia" w:ascii="Times New Roman" w:hAnsi="Times New Roman" w:cs="Times New Roman" w:eastAsiaTheme="minorEastAsia"/>
                      <w:color w:val="auto"/>
                      <w:sz w:val="18"/>
                      <w:szCs w:val="18"/>
                    </w:rPr>
                    <w:t>通过1根</w:t>
                  </w:r>
                  <w:r>
                    <w:rPr>
                      <w:rFonts w:hint="eastAsia" w:ascii="Times New Roman" w:hAnsi="Times New Roman" w:cs="Times New Roman" w:eastAsiaTheme="minorEastAsia"/>
                      <w:color w:val="auto"/>
                      <w:sz w:val="18"/>
                      <w:szCs w:val="18"/>
                      <w:lang w:val="en-US" w:eastAsia="zh-CN"/>
                    </w:rPr>
                    <w:t>8</w:t>
                  </w:r>
                  <w:r>
                    <w:rPr>
                      <w:rFonts w:hint="default" w:ascii="Times New Roman" w:hAnsi="Times New Roman" w:cs="Times New Roman" w:eastAsiaTheme="minorEastAsia"/>
                      <w:color w:val="auto"/>
                      <w:sz w:val="18"/>
                      <w:szCs w:val="18"/>
                    </w:rPr>
                    <w:t>m</w:t>
                  </w:r>
                  <w:r>
                    <w:rPr>
                      <w:rFonts w:hint="eastAsia" w:ascii="Times New Roman" w:hAnsi="Times New Roman" w:cs="Times New Roman" w:eastAsiaTheme="minorEastAsia"/>
                      <w:color w:val="auto"/>
                      <w:sz w:val="18"/>
                      <w:szCs w:val="18"/>
                    </w:rPr>
                    <w:t>高排气筒排放</w:t>
                  </w:r>
                </w:p>
              </w:tc>
              <w:tc>
                <w:tcPr>
                  <w:tcW w:w="2627" w:type="dxa"/>
                  <w:vAlign w:val="center"/>
                </w:tcPr>
                <w:p w14:paraId="2DD7BDEE">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锅炉废气（DA01</w:t>
                  </w:r>
                  <w:r>
                    <w:rPr>
                      <w:rFonts w:hint="eastAsia"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rPr>
                    <w:t>）</w:t>
                  </w:r>
                  <w:r>
                    <w:rPr>
                      <w:rFonts w:hint="eastAsia" w:ascii="Times New Roman" w:hAnsi="Times New Roman" w:cs="Times New Roman" w:eastAsiaTheme="minorEastAsia"/>
                      <w:color w:val="auto"/>
                      <w:sz w:val="18"/>
                      <w:szCs w:val="18"/>
                      <w:lang w:val="en-US" w:eastAsia="zh-CN"/>
                    </w:rPr>
                    <w:t>通过1根15m排气筒排放</w:t>
                  </w:r>
                </w:p>
              </w:tc>
              <w:tc>
                <w:tcPr>
                  <w:tcW w:w="1682" w:type="dxa"/>
                  <w:vAlign w:val="center"/>
                </w:tcPr>
                <w:p w14:paraId="187811C2">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排气筒高度增高</w:t>
                  </w:r>
                </w:p>
              </w:tc>
            </w:tr>
            <w:tr w14:paraId="1C1FE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302FD9A5">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0633DB2E">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2533F8F2">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556CF072">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加热炉燃料废气(红冲工序)（DA014）</w:t>
                  </w:r>
                  <w:r>
                    <w:rPr>
                      <w:rFonts w:hint="eastAsia" w:ascii="Times New Roman" w:hAnsi="Times New Roman" w:cs="Times New Roman" w:eastAsiaTheme="minorEastAsia"/>
                      <w:color w:val="auto"/>
                      <w:sz w:val="18"/>
                      <w:szCs w:val="18"/>
                    </w:rPr>
                    <w:t>通过1根15</w:t>
                  </w:r>
                  <w:r>
                    <w:rPr>
                      <w:rFonts w:hint="default" w:ascii="Times New Roman" w:hAnsi="Times New Roman" w:cs="Times New Roman" w:eastAsiaTheme="minorEastAsia"/>
                      <w:color w:val="auto"/>
                      <w:sz w:val="18"/>
                      <w:szCs w:val="18"/>
                    </w:rPr>
                    <w:t>m</w:t>
                  </w:r>
                  <w:r>
                    <w:rPr>
                      <w:rFonts w:hint="eastAsia" w:ascii="Times New Roman" w:hAnsi="Times New Roman" w:cs="Times New Roman" w:eastAsiaTheme="minorEastAsia"/>
                      <w:color w:val="auto"/>
                      <w:sz w:val="18"/>
                      <w:szCs w:val="18"/>
                    </w:rPr>
                    <w:t>高排气筒排放</w:t>
                  </w:r>
                </w:p>
              </w:tc>
              <w:tc>
                <w:tcPr>
                  <w:tcW w:w="2627" w:type="dxa"/>
                  <w:vAlign w:val="center"/>
                </w:tcPr>
                <w:p w14:paraId="7EF5A013">
                  <w:pPr>
                    <w:pStyle w:val="37"/>
                    <w:jc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rPr>
                    <w:t>红冲加热炉</w:t>
                  </w:r>
                  <w:r>
                    <w:rPr>
                      <w:rFonts w:hint="eastAsia" w:ascii="Times New Roman" w:hAnsi="Times New Roman" w:cs="Times New Roman" w:eastAsiaTheme="minorEastAsia"/>
                      <w:color w:val="auto"/>
                      <w:sz w:val="18"/>
                      <w:szCs w:val="18"/>
                      <w:lang w:val="en-US" w:eastAsia="zh-CN"/>
                    </w:rPr>
                    <w:t>废气</w:t>
                  </w:r>
                  <w:r>
                    <w:rPr>
                      <w:rFonts w:hint="default" w:ascii="Times New Roman" w:hAnsi="Times New Roman" w:cs="Times New Roman" w:eastAsiaTheme="minorEastAsia"/>
                      <w:color w:val="auto"/>
                      <w:sz w:val="18"/>
                      <w:szCs w:val="18"/>
                    </w:rPr>
                    <w:t>（DA01</w:t>
                  </w:r>
                  <w:r>
                    <w:rPr>
                      <w:rFonts w:hint="eastAsia"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rPr>
                    <w:t>）</w:t>
                  </w:r>
                  <w:r>
                    <w:rPr>
                      <w:rFonts w:hint="eastAsia" w:ascii="Times New Roman" w:hAnsi="Times New Roman" w:cs="Times New Roman" w:eastAsiaTheme="minorEastAsia"/>
                      <w:color w:val="auto"/>
                      <w:sz w:val="18"/>
                      <w:szCs w:val="18"/>
                    </w:rPr>
                    <w:t>通过1根15</w:t>
                  </w:r>
                  <w:r>
                    <w:rPr>
                      <w:rFonts w:hint="default" w:ascii="Times New Roman" w:hAnsi="Times New Roman" w:cs="Times New Roman" w:eastAsiaTheme="minorEastAsia"/>
                      <w:color w:val="auto"/>
                      <w:sz w:val="18"/>
                      <w:szCs w:val="18"/>
                    </w:rPr>
                    <w:t>m</w:t>
                  </w:r>
                  <w:r>
                    <w:rPr>
                      <w:rFonts w:hint="eastAsia" w:ascii="Times New Roman" w:hAnsi="Times New Roman" w:cs="Times New Roman" w:eastAsiaTheme="minorEastAsia"/>
                      <w:color w:val="auto"/>
                      <w:sz w:val="18"/>
                      <w:szCs w:val="18"/>
                    </w:rPr>
                    <w:t>高排气筒排放</w:t>
                  </w:r>
                </w:p>
              </w:tc>
              <w:tc>
                <w:tcPr>
                  <w:tcW w:w="1682" w:type="dxa"/>
                  <w:vAlign w:val="center"/>
                </w:tcPr>
                <w:p w14:paraId="02798EDB">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不变</w:t>
                  </w:r>
                </w:p>
              </w:tc>
            </w:tr>
            <w:tr w14:paraId="48FE3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6A6869D2">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2E1271FF">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24231ABD">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3C2384E7">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冲压废气（DA015）</w:t>
                  </w:r>
                  <w:r>
                    <w:rPr>
                      <w:rFonts w:hint="eastAsia" w:ascii="Times New Roman" w:hAnsi="Times New Roman" w:cs="Times New Roman" w:eastAsiaTheme="minorEastAsia"/>
                      <w:color w:val="auto"/>
                      <w:sz w:val="18"/>
                      <w:szCs w:val="18"/>
                      <w:lang w:val="en-US" w:eastAsia="zh-CN"/>
                    </w:rPr>
                    <w:t>经袋式除尘器处理后15m排气筒排放</w:t>
                  </w:r>
                </w:p>
              </w:tc>
              <w:tc>
                <w:tcPr>
                  <w:tcW w:w="2627" w:type="dxa"/>
                  <w:vMerge w:val="restart"/>
                  <w:vAlign w:val="center"/>
                </w:tcPr>
                <w:p w14:paraId="01355E1C">
                  <w:pPr>
                    <w:pStyle w:val="37"/>
                    <w:jc w:val="center"/>
                    <w:rPr>
                      <w:rFonts w:hint="default" w:ascii="Times New Roman" w:hAnsi="Times New Roman" w:cs="Times New Roman" w:eastAsiaTheme="minorEastAsia"/>
                      <w:color w:val="auto"/>
                      <w:sz w:val="18"/>
                      <w:szCs w:val="18"/>
                    </w:rPr>
                  </w:pPr>
                  <w:r>
                    <w:rPr>
                      <w:rFonts w:hint="eastAsia" w:ascii="Times New Roman" w:hAnsi="Times New Roman" w:eastAsia="宋体" w:cs="Times New Roman"/>
                      <w:color w:val="auto"/>
                      <w:kern w:val="2"/>
                      <w:sz w:val="18"/>
                      <w:szCs w:val="18"/>
                      <w:lang w:val="en-US" w:eastAsia="zh-CN" w:bidi="ar-SA"/>
                    </w:rPr>
                    <w:t>抛丸废气经设备自带除尘器处理后，冲压、打磨废气配备一套袋式除尘器处理，熔化和压铸废气配备一套袋式除尘器处理后，再汇集至一根15m排气筒排放</w:t>
                  </w:r>
                  <w:r>
                    <w:rPr>
                      <w:rFonts w:hint="default" w:ascii="Times New Roman" w:hAnsi="Times New Roman" w:cs="Times New Roman" w:eastAsiaTheme="minorEastAsia"/>
                      <w:color w:val="auto"/>
                      <w:sz w:val="18"/>
                      <w:szCs w:val="18"/>
                      <w:highlight w:val="none"/>
                    </w:rPr>
                    <w:t>（DA01</w:t>
                  </w:r>
                  <w:r>
                    <w:rPr>
                      <w:rFonts w:hint="eastAsia" w:ascii="Times New Roman" w:hAnsi="Times New Roman" w:cs="Times New Roman" w:eastAsiaTheme="minorEastAsia"/>
                      <w:color w:val="auto"/>
                      <w:sz w:val="18"/>
                      <w:szCs w:val="18"/>
                      <w:highlight w:val="none"/>
                      <w:lang w:val="en-US" w:eastAsia="zh-CN"/>
                    </w:rPr>
                    <w:t>4</w:t>
                  </w:r>
                  <w:r>
                    <w:rPr>
                      <w:rFonts w:hint="default" w:ascii="Times New Roman" w:hAnsi="Times New Roman" w:cs="Times New Roman" w:eastAsiaTheme="minorEastAsia"/>
                      <w:color w:val="auto"/>
                      <w:sz w:val="18"/>
                      <w:szCs w:val="18"/>
                      <w:highlight w:val="none"/>
                    </w:rPr>
                    <w:t>）</w:t>
                  </w:r>
                </w:p>
              </w:tc>
              <w:tc>
                <w:tcPr>
                  <w:tcW w:w="1682" w:type="dxa"/>
                  <w:vMerge w:val="restart"/>
                  <w:vAlign w:val="center"/>
                </w:tcPr>
                <w:p w14:paraId="574BEE9C">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废气分别处理后合并至一根排气筒排放</w:t>
                  </w:r>
                </w:p>
              </w:tc>
            </w:tr>
            <w:tr w14:paraId="4504C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44668FBD">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02C7FDFA">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6A54AF8E">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08AE41EE">
                  <w:pPr>
                    <w:pStyle w:val="37"/>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红冲工序抛丸废气（DA016）</w:t>
                  </w:r>
                  <w:r>
                    <w:rPr>
                      <w:rFonts w:hint="eastAsia" w:ascii="Times New Roman" w:hAnsi="Times New Roman" w:cs="Times New Roman" w:eastAsiaTheme="minorEastAsia"/>
                      <w:color w:val="auto"/>
                      <w:sz w:val="18"/>
                      <w:szCs w:val="18"/>
                      <w:lang w:val="en-US" w:eastAsia="zh-CN"/>
                    </w:rPr>
                    <w:t>经袋式除尘器处理后15m排气筒排放</w:t>
                  </w:r>
                </w:p>
              </w:tc>
              <w:tc>
                <w:tcPr>
                  <w:tcW w:w="2627" w:type="dxa"/>
                  <w:vMerge w:val="continue"/>
                  <w:vAlign w:val="center"/>
                </w:tcPr>
                <w:p w14:paraId="78229915">
                  <w:pPr>
                    <w:pStyle w:val="37"/>
                    <w:jc w:val="center"/>
                    <w:rPr>
                      <w:rFonts w:hint="default" w:ascii="Times New Roman" w:hAnsi="Times New Roman" w:cs="Times New Roman" w:eastAsiaTheme="minorEastAsia"/>
                      <w:color w:val="auto"/>
                      <w:sz w:val="18"/>
                      <w:szCs w:val="18"/>
                    </w:rPr>
                  </w:pPr>
                </w:p>
              </w:tc>
              <w:tc>
                <w:tcPr>
                  <w:tcW w:w="1682" w:type="dxa"/>
                  <w:vMerge w:val="continue"/>
                  <w:vAlign w:val="center"/>
                </w:tcPr>
                <w:p w14:paraId="6154F655">
                  <w:pPr>
                    <w:pStyle w:val="37"/>
                    <w:jc w:val="center"/>
                    <w:rPr>
                      <w:rFonts w:hint="default" w:ascii="Times New Roman" w:hAnsi="Times New Roman" w:cs="Times New Roman" w:eastAsiaTheme="minorEastAsia"/>
                      <w:color w:val="auto"/>
                      <w:sz w:val="18"/>
                      <w:szCs w:val="18"/>
                      <w:lang w:val="en-US" w:eastAsia="zh-CN"/>
                    </w:rPr>
                  </w:pPr>
                </w:p>
              </w:tc>
            </w:tr>
            <w:tr w14:paraId="72F72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4DB5964C">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5533239A">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2A57AA2D">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10667E2E">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压铸熔化废气（DA017）</w:t>
                  </w:r>
                </w:p>
              </w:tc>
              <w:tc>
                <w:tcPr>
                  <w:tcW w:w="2627" w:type="dxa"/>
                  <w:vMerge w:val="continue"/>
                  <w:vAlign w:val="center"/>
                </w:tcPr>
                <w:p w14:paraId="03D7DC0C">
                  <w:pPr>
                    <w:pStyle w:val="37"/>
                    <w:jc w:val="center"/>
                    <w:rPr>
                      <w:rFonts w:hint="eastAsia" w:ascii="Times New Roman" w:hAnsi="Times New Roman" w:cs="Times New Roman" w:eastAsiaTheme="minorEastAsia"/>
                      <w:color w:val="auto"/>
                      <w:sz w:val="18"/>
                      <w:szCs w:val="18"/>
                      <w:lang w:val="en-US" w:eastAsia="zh-CN"/>
                    </w:rPr>
                  </w:pPr>
                </w:p>
              </w:tc>
              <w:tc>
                <w:tcPr>
                  <w:tcW w:w="1682" w:type="dxa"/>
                  <w:vMerge w:val="continue"/>
                  <w:vAlign w:val="center"/>
                </w:tcPr>
                <w:p w14:paraId="752A55C5">
                  <w:pPr>
                    <w:pStyle w:val="37"/>
                    <w:jc w:val="center"/>
                    <w:rPr>
                      <w:rFonts w:hint="default" w:ascii="Times New Roman" w:hAnsi="Times New Roman" w:cs="Times New Roman" w:eastAsiaTheme="minorEastAsia"/>
                      <w:color w:val="auto"/>
                      <w:sz w:val="18"/>
                      <w:szCs w:val="18"/>
                      <w:lang w:val="en-US" w:eastAsia="zh-CN"/>
                    </w:rPr>
                  </w:pPr>
                </w:p>
              </w:tc>
            </w:tr>
            <w:tr w14:paraId="040D1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65A0B0AE">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4948CDB0">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2D8D3FE1">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3598AA05">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压铸废气（DA018）</w:t>
                  </w:r>
                </w:p>
              </w:tc>
              <w:tc>
                <w:tcPr>
                  <w:tcW w:w="2627" w:type="dxa"/>
                  <w:vMerge w:val="continue"/>
                  <w:vAlign w:val="center"/>
                </w:tcPr>
                <w:p w14:paraId="63C01928">
                  <w:pPr>
                    <w:pStyle w:val="37"/>
                    <w:jc w:val="center"/>
                    <w:rPr>
                      <w:rFonts w:hint="default" w:ascii="Times New Roman" w:hAnsi="Times New Roman" w:cs="Times New Roman" w:eastAsiaTheme="minorEastAsia"/>
                      <w:color w:val="auto"/>
                      <w:sz w:val="18"/>
                      <w:szCs w:val="18"/>
                    </w:rPr>
                  </w:pPr>
                </w:p>
              </w:tc>
              <w:tc>
                <w:tcPr>
                  <w:tcW w:w="1682" w:type="dxa"/>
                  <w:vMerge w:val="continue"/>
                  <w:vAlign w:val="center"/>
                </w:tcPr>
                <w:p w14:paraId="5FB34917">
                  <w:pPr>
                    <w:pStyle w:val="37"/>
                    <w:jc w:val="center"/>
                    <w:rPr>
                      <w:rFonts w:hint="default" w:ascii="Times New Roman" w:hAnsi="Times New Roman" w:cs="Times New Roman" w:eastAsiaTheme="minorEastAsia"/>
                      <w:color w:val="auto"/>
                      <w:sz w:val="18"/>
                      <w:szCs w:val="18"/>
                      <w:lang w:val="en-US" w:eastAsia="zh-CN"/>
                    </w:rPr>
                  </w:pPr>
                </w:p>
              </w:tc>
            </w:tr>
            <w:tr w14:paraId="5133F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53D8534C">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2357AAB6">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6751B48D">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0005CA03">
                  <w:pPr>
                    <w:pStyle w:val="37"/>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打磨废气(压铸工序)（DA019）</w:t>
                  </w:r>
                </w:p>
              </w:tc>
              <w:tc>
                <w:tcPr>
                  <w:tcW w:w="2627" w:type="dxa"/>
                  <w:vMerge w:val="continue"/>
                  <w:vAlign w:val="center"/>
                </w:tcPr>
                <w:p w14:paraId="723B58E5">
                  <w:pPr>
                    <w:pStyle w:val="37"/>
                    <w:jc w:val="center"/>
                    <w:rPr>
                      <w:rFonts w:hint="default" w:ascii="Times New Roman" w:hAnsi="Times New Roman" w:cs="Times New Roman" w:eastAsiaTheme="minorEastAsia"/>
                      <w:color w:val="auto"/>
                      <w:sz w:val="18"/>
                      <w:szCs w:val="18"/>
                    </w:rPr>
                  </w:pPr>
                </w:p>
              </w:tc>
              <w:tc>
                <w:tcPr>
                  <w:tcW w:w="1682" w:type="dxa"/>
                  <w:vMerge w:val="continue"/>
                  <w:vAlign w:val="center"/>
                </w:tcPr>
                <w:p w14:paraId="438DC337">
                  <w:pPr>
                    <w:pStyle w:val="37"/>
                    <w:jc w:val="center"/>
                    <w:rPr>
                      <w:rFonts w:hint="default" w:ascii="Times New Roman" w:hAnsi="Times New Roman" w:cs="Times New Roman" w:eastAsiaTheme="minorEastAsia"/>
                      <w:color w:val="auto"/>
                      <w:sz w:val="18"/>
                      <w:szCs w:val="18"/>
                      <w:lang w:val="en-US" w:eastAsia="zh-CN"/>
                    </w:rPr>
                  </w:pPr>
                </w:p>
              </w:tc>
            </w:tr>
            <w:tr w14:paraId="35C2B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31E541C2">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F7C455F">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0EA316E0">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57E66304">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无焊接工序</w:t>
                  </w:r>
                </w:p>
              </w:tc>
              <w:tc>
                <w:tcPr>
                  <w:tcW w:w="2627" w:type="dxa"/>
                  <w:shd w:val="clear" w:color="auto" w:fill="auto"/>
                  <w:vAlign w:val="center"/>
                </w:tcPr>
                <w:p w14:paraId="61416760">
                  <w:pPr>
                    <w:pStyle w:val="37"/>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熔模铸件焊接烟尘经移动式烟尘净化器处理后无组织排放</w:t>
                  </w:r>
                </w:p>
              </w:tc>
              <w:tc>
                <w:tcPr>
                  <w:tcW w:w="1682" w:type="dxa"/>
                  <w:vAlign w:val="center"/>
                </w:tcPr>
                <w:p w14:paraId="4F764E1E">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新增</w:t>
                  </w:r>
                </w:p>
              </w:tc>
            </w:tr>
            <w:tr w14:paraId="65340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59D2AAD6">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4F90F443">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6AB6D683">
                  <w:pPr>
                    <w:pStyle w:val="24"/>
                    <w:jc w:val="center"/>
                    <w:rPr>
                      <w:rFonts w:hint="eastAsia" w:ascii="Times New Roman" w:hAnsi="Times New Roman" w:cs="Times New Roman" w:eastAsiaTheme="minorEastAsia"/>
                      <w:color w:val="auto"/>
                      <w:sz w:val="18"/>
                      <w:szCs w:val="18"/>
                      <w:lang w:val="en-US" w:eastAsia="zh-CN"/>
                    </w:rPr>
                  </w:pPr>
                </w:p>
              </w:tc>
              <w:tc>
                <w:tcPr>
                  <w:tcW w:w="2826" w:type="dxa"/>
                  <w:vMerge w:val="restart"/>
                  <w:vAlign w:val="center"/>
                </w:tcPr>
                <w:p w14:paraId="0687807D">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无灭火器生产</w:t>
                  </w:r>
                </w:p>
              </w:tc>
              <w:tc>
                <w:tcPr>
                  <w:tcW w:w="2627" w:type="dxa"/>
                  <w:shd w:val="clear" w:color="auto" w:fill="auto"/>
                  <w:vAlign w:val="center"/>
                </w:tcPr>
                <w:p w14:paraId="6FD72109">
                  <w:pPr>
                    <w:pStyle w:val="37"/>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灭火器筒体冷轧板切割经移动式烟尘净化器处理后无组织排放</w:t>
                  </w:r>
                </w:p>
              </w:tc>
              <w:tc>
                <w:tcPr>
                  <w:tcW w:w="1682" w:type="dxa"/>
                  <w:vAlign w:val="center"/>
                </w:tcPr>
                <w:p w14:paraId="6C9BB3CD">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新增</w:t>
                  </w:r>
                </w:p>
              </w:tc>
            </w:tr>
            <w:tr w14:paraId="1D1A3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1F2E7DB9">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0C5CDBB5">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039914F8">
                  <w:pPr>
                    <w:pStyle w:val="24"/>
                    <w:jc w:val="center"/>
                    <w:rPr>
                      <w:rFonts w:hint="eastAsia" w:ascii="Times New Roman" w:hAnsi="Times New Roman" w:cs="Times New Roman" w:eastAsiaTheme="minorEastAsia"/>
                      <w:color w:val="auto"/>
                      <w:sz w:val="18"/>
                      <w:szCs w:val="18"/>
                      <w:lang w:val="en-US" w:eastAsia="zh-CN"/>
                    </w:rPr>
                  </w:pPr>
                </w:p>
              </w:tc>
              <w:tc>
                <w:tcPr>
                  <w:tcW w:w="2826" w:type="dxa"/>
                  <w:vMerge w:val="continue"/>
                  <w:vAlign w:val="center"/>
                </w:tcPr>
                <w:p w14:paraId="3FD5730B">
                  <w:pPr>
                    <w:pStyle w:val="37"/>
                    <w:jc w:val="center"/>
                    <w:rPr>
                      <w:rFonts w:hint="default" w:ascii="Times New Roman" w:hAnsi="Times New Roman" w:cs="Times New Roman" w:eastAsiaTheme="minorEastAsia"/>
                      <w:color w:val="auto"/>
                      <w:sz w:val="18"/>
                      <w:szCs w:val="18"/>
                      <w:lang w:val="en-US" w:eastAsia="zh-CN"/>
                    </w:rPr>
                  </w:pPr>
                </w:p>
              </w:tc>
              <w:tc>
                <w:tcPr>
                  <w:tcW w:w="2627" w:type="dxa"/>
                  <w:shd w:val="clear" w:color="auto" w:fill="auto"/>
                  <w:vAlign w:val="center"/>
                </w:tcPr>
                <w:p w14:paraId="031BF52C">
                  <w:pPr>
                    <w:pStyle w:val="37"/>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灭火器筒体焊接烟尘经移动式烟尘净化器处理后无组织排放</w:t>
                  </w:r>
                </w:p>
              </w:tc>
              <w:tc>
                <w:tcPr>
                  <w:tcW w:w="1682" w:type="dxa"/>
                  <w:vAlign w:val="center"/>
                </w:tcPr>
                <w:p w14:paraId="323A488C">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新增</w:t>
                  </w:r>
                </w:p>
              </w:tc>
            </w:tr>
            <w:tr w14:paraId="32BEA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150FDCFE">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55874E61">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2C429937">
                  <w:pPr>
                    <w:pStyle w:val="24"/>
                    <w:jc w:val="center"/>
                    <w:rPr>
                      <w:rFonts w:hint="eastAsia" w:ascii="Times New Roman" w:hAnsi="Times New Roman" w:cs="Times New Roman" w:eastAsiaTheme="minorEastAsia"/>
                      <w:color w:val="auto"/>
                      <w:sz w:val="18"/>
                      <w:szCs w:val="18"/>
                      <w:lang w:val="en-US" w:eastAsia="zh-CN"/>
                    </w:rPr>
                  </w:pPr>
                </w:p>
              </w:tc>
              <w:tc>
                <w:tcPr>
                  <w:tcW w:w="2826" w:type="dxa"/>
                  <w:vMerge w:val="continue"/>
                  <w:vAlign w:val="center"/>
                </w:tcPr>
                <w:p w14:paraId="0DE16F40">
                  <w:pPr>
                    <w:pStyle w:val="37"/>
                    <w:jc w:val="center"/>
                    <w:rPr>
                      <w:rFonts w:hint="default" w:ascii="Times New Roman" w:hAnsi="Times New Roman" w:cs="Times New Roman" w:eastAsiaTheme="minorEastAsia"/>
                      <w:color w:val="auto"/>
                      <w:sz w:val="18"/>
                      <w:szCs w:val="18"/>
                      <w:lang w:val="en-US" w:eastAsia="zh-CN"/>
                    </w:rPr>
                  </w:pPr>
                </w:p>
              </w:tc>
              <w:tc>
                <w:tcPr>
                  <w:tcW w:w="2627" w:type="dxa"/>
                  <w:shd w:val="clear" w:color="auto" w:fill="auto"/>
                  <w:vAlign w:val="center"/>
                </w:tcPr>
                <w:p w14:paraId="26CEA212">
                  <w:pPr>
                    <w:pStyle w:val="37"/>
                    <w:jc w:val="center"/>
                    <w:rPr>
                      <w:rFonts w:hint="default" w:ascii="Times New Roman" w:hAnsi="Times New Roman" w:cs="Times New Roman" w:eastAsiaTheme="minorEastAsia"/>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灭火器筒体喷粉、固化工序依托1#厂房喷粉、固化生产线生产</w:t>
                  </w:r>
                </w:p>
              </w:tc>
              <w:tc>
                <w:tcPr>
                  <w:tcW w:w="1682" w:type="dxa"/>
                  <w:vAlign w:val="center"/>
                </w:tcPr>
                <w:p w14:paraId="6A5BEB63">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新增</w:t>
                  </w:r>
                </w:p>
              </w:tc>
            </w:tr>
            <w:tr w14:paraId="4113F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7A39F648">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4245D710">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restart"/>
                  <w:vAlign w:val="center"/>
                </w:tcPr>
                <w:p w14:paraId="782A2AE6">
                  <w:pPr>
                    <w:pStyle w:val="24"/>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废水</w:t>
                  </w:r>
                </w:p>
              </w:tc>
              <w:tc>
                <w:tcPr>
                  <w:tcW w:w="2826" w:type="dxa"/>
                  <w:vAlign w:val="center"/>
                </w:tcPr>
                <w:p w14:paraId="4BB4781C">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生活污水经化粪池处理后排入市政污水管网，汇入园区污水处理厂处理</w:t>
                  </w:r>
                </w:p>
              </w:tc>
              <w:tc>
                <w:tcPr>
                  <w:tcW w:w="2627" w:type="dxa"/>
                  <w:vAlign w:val="center"/>
                </w:tcPr>
                <w:p w14:paraId="266E232D">
                  <w:pPr>
                    <w:pStyle w:val="37"/>
                    <w:jc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生活污水经化粪池处理后排入市政污水管网，汇入园区污水处理厂处理</w:t>
                  </w:r>
                </w:p>
              </w:tc>
              <w:tc>
                <w:tcPr>
                  <w:tcW w:w="1682" w:type="dxa"/>
                  <w:vAlign w:val="center"/>
                </w:tcPr>
                <w:p w14:paraId="1B3696F3">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不变</w:t>
                  </w:r>
                </w:p>
              </w:tc>
            </w:tr>
            <w:tr w14:paraId="3B4C9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5307C104">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325D029">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56DD94A7">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49259BB7">
                  <w:pPr>
                    <w:pStyle w:val="37"/>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生产废水：①碱液喷淋塔喷淋废水和化学抛光产生的酸性废水经自建污水站（采用“调节+中和+混凝沉淀+MBR+消毒+二级过滤”工艺）处理后全部回用，不外排。</w:t>
                  </w:r>
                </w:p>
                <w:p w14:paraId="62DF280C">
                  <w:pPr>
                    <w:pStyle w:val="39"/>
                    <w:ind w:left="0" w:leftChars="0" w:firstLine="0" w:firstLineChars="0"/>
                    <w:rPr>
                      <w:rFonts w:hint="default"/>
                      <w:color w:val="auto"/>
                      <w:lang w:val="en-US" w:eastAsia="zh-CN"/>
                    </w:rPr>
                  </w:pPr>
                  <w:r>
                    <w:rPr>
                      <w:rFonts w:hint="eastAsia" w:ascii="Times New Roman" w:cs="Times New Roman" w:eastAsiaTheme="minorEastAsia"/>
                      <w:b w:val="0"/>
                      <w:bCs w:val="0"/>
                      <w:color w:val="auto"/>
                      <w:sz w:val="18"/>
                      <w:szCs w:val="18"/>
                      <w:lang w:val="en-US" w:eastAsia="zh-CN"/>
                    </w:rPr>
                    <w:t>②冷却水、试压水等循环使用不外排。</w:t>
                  </w:r>
                </w:p>
              </w:tc>
              <w:tc>
                <w:tcPr>
                  <w:tcW w:w="2627" w:type="dxa"/>
                  <w:vAlign w:val="center"/>
                </w:tcPr>
                <w:p w14:paraId="28AFB772">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取消化学抛光工序，无碱性喷淋水和酸性废水产生，</w:t>
                  </w:r>
                  <w:r>
                    <w:rPr>
                      <w:rFonts w:hint="eastAsia" w:ascii="Times New Roman" w:cs="Times New Roman" w:eastAsiaTheme="minorEastAsia"/>
                      <w:b w:val="0"/>
                      <w:bCs w:val="0"/>
                      <w:color w:val="auto"/>
                      <w:sz w:val="18"/>
                      <w:szCs w:val="18"/>
                      <w:lang w:val="en-US" w:eastAsia="zh-CN"/>
                    </w:rPr>
                    <w:t>冷却水、试压水等循环使用，定期更换，更换废水回用于粘土砂造型混料用水，不外排。</w:t>
                  </w:r>
                </w:p>
              </w:tc>
              <w:tc>
                <w:tcPr>
                  <w:tcW w:w="1682" w:type="dxa"/>
                  <w:vAlign w:val="center"/>
                </w:tcPr>
                <w:p w14:paraId="2D876C97">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减少碱性喷淋水和酸性废水</w:t>
                  </w:r>
                </w:p>
              </w:tc>
            </w:tr>
            <w:tr w14:paraId="0C9B1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683156DC">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64985C1A">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restart"/>
                  <w:vAlign w:val="center"/>
                </w:tcPr>
                <w:p w14:paraId="728CDD9C">
                  <w:pPr>
                    <w:pStyle w:val="24"/>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固体废物</w:t>
                  </w:r>
                </w:p>
              </w:tc>
              <w:tc>
                <w:tcPr>
                  <w:tcW w:w="2826" w:type="dxa"/>
                  <w:vAlign w:val="center"/>
                </w:tcPr>
                <w:p w14:paraId="27587874">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一般工业固体废物分类暂存于130㎡暂存间内，外售综合利用</w:t>
                  </w:r>
                </w:p>
              </w:tc>
              <w:tc>
                <w:tcPr>
                  <w:tcW w:w="2627" w:type="dxa"/>
                  <w:vAlign w:val="center"/>
                </w:tcPr>
                <w:p w14:paraId="08999D7D">
                  <w:pPr>
                    <w:pStyle w:val="37"/>
                    <w:jc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一般工业固体废物分类暂存于130㎡暂存间内，外售综合利用</w:t>
                  </w:r>
                </w:p>
              </w:tc>
              <w:tc>
                <w:tcPr>
                  <w:tcW w:w="1682" w:type="dxa"/>
                  <w:vAlign w:val="center"/>
                </w:tcPr>
                <w:p w14:paraId="2436408D">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不变</w:t>
                  </w:r>
                </w:p>
              </w:tc>
            </w:tr>
            <w:tr w14:paraId="1BBE2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3" w:hRule="atLeast"/>
                <w:jc w:val="center"/>
              </w:trPr>
              <w:tc>
                <w:tcPr>
                  <w:tcW w:w="577" w:type="dxa"/>
                  <w:vMerge w:val="continue"/>
                  <w:vAlign w:val="center"/>
                </w:tcPr>
                <w:p w14:paraId="5D955408">
                  <w:pPr>
                    <w:pStyle w:val="24"/>
                    <w:jc w:val="center"/>
                    <w:rPr>
                      <w:rFonts w:hint="eastAsia" w:ascii="Times New Roman" w:hAnsi="Times New Roman" w:cs="Times New Roman" w:eastAsiaTheme="minorEastAsia"/>
                      <w:color w:val="auto"/>
                      <w:sz w:val="18"/>
                      <w:szCs w:val="18"/>
                      <w:lang w:val="en-US" w:eastAsia="zh-CN"/>
                    </w:rPr>
                  </w:pPr>
                </w:p>
              </w:tc>
              <w:tc>
                <w:tcPr>
                  <w:tcW w:w="433" w:type="dxa"/>
                  <w:vMerge w:val="continue"/>
                  <w:vAlign w:val="center"/>
                </w:tcPr>
                <w:p w14:paraId="3C281BF9">
                  <w:pPr>
                    <w:pStyle w:val="24"/>
                    <w:jc w:val="center"/>
                    <w:rPr>
                      <w:rFonts w:hint="eastAsia" w:ascii="Times New Roman" w:hAnsi="Times New Roman" w:cs="Times New Roman" w:eastAsiaTheme="minorEastAsia"/>
                      <w:color w:val="auto"/>
                      <w:sz w:val="18"/>
                      <w:szCs w:val="18"/>
                      <w:lang w:val="en-US" w:eastAsia="zh-CN"/>
                    </w:rPr>
                  </w:pPr>
                </w:p>
              </w:tc>
              <w:tc>
                <w:tcPr>
                  <w:tcW w:w="517" w:type="dxa"/>
                  <w:vMerge w:val="continue"/>
                  <w:vAlign w:val="center"/>
                </w:tcPr>
                <w:p w14:paraId="44E73913">
                  <w:pPr>
                    <w:pStyle w:val="24"/>
                    <w:jc w:val="center"/>
                    <w:rPr>
                      <w:rFonts w:hint="eastAsia" w:ascii="Times New Roman" w:hAnsi="Times New Roman" w:cs="Times New Roman" w:eastAsiaTheme="minorEastAsia"/>
                      <w:color w:val="auto"/>
                      <w:sz w:val="18"/>
                      <w:szCs w:val="18"/>
                      <w:lang w:val="en-US" w:eastAsia="zh-CN"/>
                    </w:rPr>
                  </w:pPr>
                </w:p>
              </w:tc>
              <w:tc>
                <w:tcPr>
                  <w:tcW w:w="2826" w:type="dxa"/>
                  <w:vAlign w:val="center"/>
                </w:tcPr>
                <w:p w14:paraId="3EFD74CF">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危险废物分类暂存于125㎡的暂存间内，交由有资质单位处置。</w:t>
                  </w:r>
                </w:p>
              </w:tc>
              <w:tc>
                <w:tcPr>
                  <w:tcW w:w="2627" w:type="dxa"/>
                  <w:vAlign w:val="center"/>
                </w:tcPr>
                <w:p w14:paraId="43C3092C">
                  <w:pPr>
                    <w:pStyle w:val="37"/>
                    <w:jc w:val="center"/>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危险废物分类暂存于125㎡的暂存间内，交由有资质单位处置。</w:t>
                  </w:r>
                </w:p>
              </w:tc>
              <w:tc>
                <w:tcPr>
                  <w:tcW w:w="1682" w:type="dxa"/>
                  <w:vAlign w:val="center"/>
                </w:tcPr>
                <w:p w14:paraId="339D1549">
                  <w:pPr>
                    <w:pStyle w:val="37"/>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不变</w:t>
                  </w:r>
                </w:p>
              </w:tc>
            </w:tr>
          </w:tbl>
          <w:p w14:paraId="323C0140">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hAnsiTheme="minorEastAsia" w:eastAsiaTheme="minorEastAsia"/>
                <w:color w:val="auto"/>
                <w:sz w:val="24"/>
                <w:szCs w:val="24"/>
              </w:rPr>
            </w:pPr>
            <w:r>
              <w:rPr>
                <w:rFonts w:hint="eastAsia" w:hAnsiTheme="minorEastAsia" w:eastAsiaTheme="minorEastAsia"/>
                <w:color w:val="auto"/>
                <w:sz w:val="24"/>
                <w:szCs w:val="24"/>
              </w:rPr>
              <w:t>对照《关于印发污染影响类建设项目重大变动清单（试行）》（环办环评函〔2020〕688号），本次变动属于重大变动（具体分析详见表</w:t>
            </w:r>
            <w:r>
              <w:rPr>
                <w:rFonts w:hint="eastAsia" w:hAnsiTheme="minorEastAsia" w:eastAsiaTheme="minorEastAsia"/>
                <w:color w:val="auto"/>
                <w:sz w:val="24"/>
                <w:szCs w:val="24"/>
                <w:lang w:val="en-US" w:eastAsia="zh-CN"/>
              </w:rPr>
              <w:t>2-2</w:t>
            </w:r>
            <w:r>
              <w:rPr>
                <w:rFonts w:hint="eastAsia" w:hAnsiTheme="minorEastAsia" w:eastAsiaTheme="minorEastAsia"/>
                <w:color w:val="auto"/>
                <w:sz w:val="24"/>
                <w:szCs w:val="24"/>
              </w:rPr>
              <w:t>）</w:t>
            </w:r>
            <w:r>
              <w:rPr>
                <w:rFonts w:hint="eastAsia" w:hAnsiTheme="minorEastAsia" w:eastAsiaTheme="minorEastAsia"/>
                <w:color w:val="auto"/>
                <w:sz w:val="24"/>
                <w:szCs w:val="24"/>
                <w:lang w:eastAsia="zh-CN"/>
              </w:rPr>
              <w:t>，</w:t>
            </w:r>
            <w:r>
              <w:rPr>
                <w:rFonts w:hint="eastAsia" w:hAnsiTheme="minorEastAsia" w:eastAsiaTheme="minorEastAsia"/>
                <w:color w:val="auto"/>
                <w:sz w:val="24"/>
                <w:szCs w:val="24"/>
                <w:lang w:val="en-US" w:eastAsia="zh-CN"/>
              </w:rPr>
              <w:t>需重新报批环境影响评价文件</w:t>
            </w:r>
            <w:r>
              <w:rPr>
                <w:rFonts w:hint="eastAsia" w:hAnsiTheme="minorEastAsia" w:eastAsiaTheme="minorEastAsia"/>
                <w:color w:val="auto"/>
                <w:sz w:val="24"/>
                <w:szCs w:val="24"/>
              </w:rPr>
              <w:t>。</w:t>
            </w:r>
          </w:p>
          <w:p w14:paraId="005E894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hAnsiTheme="minorEastAsia" w:eastAsiaTheme="minorEastAsia"/>
                <w:b/>
                <w:bCs/>
                <w:color w:val="auto"/>
                <w:sz w:val="24"/>
                <w:szCs w:val="24"/>
              </w:rPr>
            </w:pPr>
            <w:r>
              <w:rPr>
                <w:rFonts w:hint="eastAsia" w:hAnsiTheme="minorEastAsia" w:eastAsiaTheme="minorEastAsia"/>
                <w:b/>
                <w:bCs/>
                <w:color w:val="auto"/>
                <w:sz w:val="24"/>
                <w:szCs w:val="24"/>
              </w:rPr>
              <w:t>表</w:t>
            </w:r>
            <w:r>
              <w:rPr>
                <w:rFonts w:hint="eastAsia" w:hAnsiTheme="minorEastAsia" w:eastAsiaTheme="minorEastAsia"/>
                <w:b/>
                <w:bCs/>
                <w:color w:val="auto"/>
                <w:sz w:val="24"/>
                <w:szCs w:val="24"/>
                <w:lang w:val="en-US" w:eastAsia="zh-CN"/>
              </w:rPr>
              <w:t xml:space="preserve">2-2 </w:t>
            </w:r>
            <w:r>
              <w:rPr>
                <w:rFonts w:hint="eastAsia" w:hAnsiTheme="minorEastAsia" w:eastAsiaTheme="minorEastAsia"/>
                <w:b/>
                <w:bCs/>
                <w:color w:val="auto"/>
                <w:sz w:val="24"/>
                <w:szCs w:val="24"/>
              </w:rPr>
              <w:t xml:space="preserve"> 污染影响类建设项目重大变动清单（试行）</w:t>
            </w:r>
          </w:p>
          <w:tbl>
            <w:tblPr>
              <w:tblStyle w:val="29"/>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6"/>
              <w:gridCol w:w="5376"/>
              <w:gridCol w:w="2027"/>
              <w:gridCol w:w="670"/>
            </w:tblGrid>
            <w:tr w14:paraId="657B1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tcBorders>
                    <w:tl2br w:val="nil"/>
                    <w:tr2bl w:val="nil"/>
                  </w:tcBorders>
                  <w:noWrap/>
                  <w:vAlign w:val="center"/>
                </w:tcPr>
                <w:p w14:paraId="752DBD46">
                  <w:pPr>
                    <w:spacing w:line="240" w:lineRule="auto"/>
                    <w:jc w:val="center"/>
                    <w:rPr>
                      <w:b/>
                      <w:bCs/>
                      <w:color w:val="auto"/>
                      <w:sz w:val="18"/>
                      <w:szCs w:val="18"/>
                    </w:rPr>
                  </w:pPr>
                  <w:r>
                    <w:rPr>
                      <w:b/>
                      <w:bCs/>
                      <w:color w:val="auto"/>
                      <w:sz w:val="18"/>
                      <w:szCs w:val="18"/>
                    </w:rPr>
                    <w:t>项目</w:t>
                  </w:r>
                </w:p>
              </w:tc>
              <w:tc>
                <w:tcPr>
                  <w:tcW w:w="3107" w:type="pct"/>
                  <w:tcBorders>
                    <w:tl2br w:val="nil"/>
                    <w:tr2bl w:val="nil"/>
                  </w:tcBorders>
                  <w:noWrap/>
                  <w:vAlign w:val="center"/>
                </w:tcPr>
                <w:p w14:paraId="7C68F3F9">
                  <w:pPr>
                    <w:spacing w:line="240" w:lineRule="auto"/>
                    <w:jc w:val="center"/>
                    <w:rPr>
                      <w:b/>
                      <w:bCs/>
                      <w:color w:val="auto"/>
                      <w:sz w:val="18"/>
                      <w:szCs w:val="18"/>
                    </w:rPr>
                  </w:pPr>
                  <w:r>
                    <w:rPr>
                      <w:b/>
                      <w:bCs/>
                      <w:color w:val="auto"/>
                      <w:sz w:val="18"/>
                      <w:szCs w:val="18"/>
                    </w:rPr>
                    <w:t>判断依据</w:t>
                  </w:r>
                </w:p>
              </w:tc>
              <w:tc>
                <w:tcPr>
                  <w:tcW w:w="1171" w:type="pct"/>
                  <w:tcBorders>
                    <w:tl2br w:val="nil"/>
                    <w:tr2bl w:val="nil"/>
                  </w:tcBorders>
                  <w:noWrap/>
                  <w:vAlign w:val="center"/>
                </w:tcPr>
                <w:p w14:paraId="1CA81AA0">
                  <w:pPr>
                    <w:spacing w:line="240" w:lineRule="auto"/>
                    <w:jc w:val="center"/>
                    <w:rPr>
                      <w:b/>
                      <w:bCs/>
                      <w:color w:val="auto"/>
                      <w:sz w:val="18"/>
                      <w:szCs w:val="18"/>
                    </w:rPr>
                  </w:pPr>
                  <w:r>
                    <w:rPr>
                      <w:b/>
                      <w:bCs/>
                      <w:color w:val="auto"/>
                      <w:sz w:val="18"/>
                      <w:szCs w:val="18"/>
                    </w:rPr>
                    <w:t>变动情况</w:t>
                  </w:r>
                </w:p>
              </w:tc>
              <w:tc>
                <w:tcPr>
                  <w:tcW w:w="387" w:type="pct"/>
                  <w:tcBorders>
                    <w:tl2br w:val="nil"/>
                    <w:tr2bl w:val="nil"/>
                  </w:tcBorders>
                  <w:noWrap/>
                  <w:vAlign w:val="center"/>
                </w:tcPr>
                <w:p w14:paraId="57D86544">
                  <w:pPr>
                    <w:spacing w:line="240" w:lineRule="auto"/>
                    <w:jc w:val="center"/>
                    <w:rPr>
                      <w:b/>
                      <w:bCs/>
                      <w:color w:val="auto"/>
                      <w:sz w:val="18"/>
                      <w:szCs w:val="18"/>
                    </w:rPr>
                  </w:pPr>
                  <w:r>
                    <w:rPr>
                      <w:b/>
                      <w:bCs/>
                      <w:color w:val="auto"/>
                      <w:sz w:val="18"/>
                      <w:szCs w:val="18"/>
                    </w:rPr>
                    <w:t>判定结果</w:t>
                  </w:r>
                </w:p>
              </w:tc>
            </w:tr>
            <w:tr w14:paraId="74DE9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tcBorders>
                    <w:tl2br w:val="nil"/>
                    <w:tr2bl w:val="nil"/>
                  </w:tcBorders>
                  <w:noWrap/>
                  <w:vAlign w:val="center"/>
                </w:tcPr>
                <w:p w14:paraId="0F3DA056">
                  <w:pPr>
                    <w:spacing w:line="240" w:lineRule="auto"/>
                    <w:jc w:val="center"/>
                    <w:rPr>
                      <w:color w:val="auto"/>
                      <w:sz w:val="18"/>
                      <w:szCs w:val="18"/>
                    </w:rPr>
                  </w:pPr>
                  <w:r>
                    <w:rPr>
                      <w:color w:val="auto"/>
                      <w:sz w:val="18"/>
                      <w:szCs w:val="18"/>
                    </w:rPr>
                    <w:t>性质</w:t>
                  </w:r>
                </w:p>
              </w:tc>
              <w:tc>
                <w:tcPr>
                  <w:tcW w:w="3107" w:type="pct"/>
                  <w:tcBorders>
                    <w:tl2br w:val="nil"/>
                    <w:tr2bl w:val="nil"/>
                  </w:tcBorders>
                  <w:noWrap/>
                  <w:vAlign w:val="center"/>
                </w:tcPr>
                <w:p w14:paraId="05B23D4E">
                  <w:pPr>
                    <w:spacing w:line="240" w:lineRule="auto"/>
                    <w:rPr>
                      <w:color w:val="auto"/>
                      <w:sz w:val="18"/>
                      <w:szCs w:val="18"/>
                    </w:rPr>
                  </w:pPr>
                  <w:r>
                    <w:rPr>
                      <w:color w:val="auto"/>
                      <w:sz w:val="18"/>
                      <w:szCs w:val="18"/>
                    </w:rPr>
                    <w:t>1、建设项目开发、使用功能发生变化的</w:t>
                  </w:r>
                </w:p>
              </w:tc>
              <w:tc>
                <w:tcPr>
                  <w:tcW w:w="1171" w:type="pct"/>
                  <w:tcBorders>
                    <w:tl2br w:val="nil"/>
                    <w:tr2bl w:val="nil"/>
                  </w:tcBorders>
                  <w:noWrap/>
                  <w:vAlign w:val="center"/>
                </w:tcPr>
                <w:p w14:paraId="4922D45A">
                  <w:pPr>
                    <w:spacing w:line="240" w:lineRule="auto"/>
                    <w:jc w:val="center"/>
                    <w:rPr>
                      <w:color w:val="auto"/>
                      <w:sz w:val="18"/>
                      <w:szCs w:val="18"/>
                    </w:rPr>
                  </w:pPr>
                  <w:r>
                    <w:rPr>
                      <w:rFonts w:hint="eastAsia"/>
                      <w:color w:val="auto"/>
                      <w:sz w:val="18"/>
                      <w:szCs w:val="18"/>
                    </w:rPr>
                    <w:t>不涉及</w:t>
                  </w:r>
                </w:p>
              </w:tc>
              <w:tc>
                <w:tcPr>
                  <w:tcW w:w="387" w:type="pct"/>
                  <w:vMerge w:val="restart"/>
                  <w:tcBorders>
                    <w:tl2br w:val="nil"/>
                    <w:tr2bl w:val="nil"/>
                  </w:tcBorders>
                  <w:noWrap/>
                  <w:vAlign w:val="center"/>
                </w:tcPr>
                <w:p w14:paraId="52DAFADE">
                  <w:pPr>
                    <w:spacing w:line="240" w:lineRule="auto"/>
                    <w:jc w:val="center"/>
                    <w:rPr>
                      <w:color w:val="auto"/>
                      <w:sz w:val="18"/>
                      <w:szCs w:val="18"/>
                    </w:rPr>
                  </w:pPr>
                  <w:r>
                    <w:rPr>
                      <w:rFonts w:hint="eastAsia"/>
                      <w:color w:val="auto"/>
                      <w:sz w:val="18"/>
                      <w:szCs w:val="18"/>
                    </w:rPr>
                    <w:t>构成重大变动</w:t>
                  </w:r>
                </w:p>
              </w:tc>
            </w:tr>
            <w:tr w14:paraId="6D5DF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restart"/>
                  <w:tcBorders>
                    <w:tl2br w:val="nil"/>
                    <w:tr2bl w:val="nil"/>
                  </w:tcBorders>
                  <w:noWrap/>
                  <w:vAlign w:val="center"/>
                </w:tcPr>
                <w:p w14:paraId="17F71000">
                  <w:pPr>
                    <w:spacing w:line="240" w:lineRule="auto"/>
                    <w:jc w:val="center"/>
                    <w:rPr>
                      <w:color w:val="auto"/>
                      <w:sz w:val="18"/>
                      <w:szCs w:val="18"/>
                    </w:rPr>
                  </w:pPr>
                  <w:r>
                    <w:rPr>
                      <w:color w:val="auto"/>
                      <w:sz w:val="18"/>
                      <w:szCs w:val="18"/>
                    </w:rPr>
                    <w:t>规模</w:t>
                  </w:r>
                </w:p>
              </w:tc>
              <w:tc>
                <w:tcPr>
                  <w:tcW w:w="3107" w:type="pct"/>
                  <w:tcBorders>
                    <w:tl2br w:val="nil"/>
                    <w:tr2bl w:val="nil"/>
                  </w:tcBorders>
                  <w:noWrap/>
                  <w:vAlign w:val="center"/>
                </w:tcPr>
                <w:p w14:paraId="32290570">
                  <w:pPr>
                    <w:spacing w:line="240" w:lineRule="auto"/>
                    <w:rPr>
                      <w:color w:val="auto"/>
                      <w:sz w:val="18"/>
                      <w:szCs w:val="18"/>
                    </w:rPr>
                  </w:pPr>
                  <w:r>
                    <w:rPr>
                      <w:color w:val="auto"/>
                      <w:sz w:val="18"/>
                      <w:szCs w:val="18"/>
                    </w:rPr>
                    <w:t>2、生产、处置或储存能力增大30%及以上的</w:t>
                  </w:r>
                </w:p>
              </w:tc>
              <w:tc>
                <w:tcPr>
                  <w:tcW w:w="1171" w:type="pct"/>
                  <w:tcBorders>
                    <w:tl2br w:val="nil"/>
                    <w:tr2bl w:val="nil"/>
                  </w:tcBorders>
                  <w:noWrap/>
                  <w:vAlign w:val="center"/>
                </w:tcPr>
                <w:p w14:paraId="485C50D4">
                  <w:pPr>
                    <w:widowControl w:val="0"/>
                    <w:adjustRightInd/>
                    <w:snapToGrid/>
                    <w:spacing w:line="240" w:lineRule="auto"/>
                    <w:jc w:val="center"/>
                    <w:textAlignment w:val="center"/>
                    <w:rPr>
                      <w:rFonts w:hint="default" w:eastAsia="宋体"/>
                      <w:color w:val="auto"/>
                      <w:sz w:val="18"/>
                      <w:szCs w:val="18"/>
                      <w:lang w:val="en-US" w:eastAsia="zh-CN"/>
                    </w:rPr>
                  </w:pPr>
                  <w:r>
                    <w:rPr>
                      <w:rFonts w:hint="eastAsia"/>
                      <w:color w:val="auto"/>
                      <w:sz w:val="18"/>
                      <w:szCs w:val="18"/>
                    </w:rPr>
                    <w:t>项目</w:t>
                  </w:r>
                  <w:r>
                    <w:rPr>
                      <w:rFonts w:hint="eastAsia"/>
                      <w:color w:val="auto"/>
                      <w:sz w:val="18"/>
                      <w:szCs w:val="18"/>
                      <w:lang w:val="en-US" w:eastAsia="zh-CN"/>
                    </w:rPr>
                    <w:t>产品新增灭火器生产</w:t>
                  </w:r>
                </w:p>
              </w:tc>
              <w:tc>
                <w:tcPr>
                  <w:tcW w:w="387" w:type="pct"/>
                  <w:vMerge w:val="continue"/>
                  <w:tcBorders>
                    <w:tl2br w:val="nil"/>
                    <w:tr2bl w:val="nil"/>
                  </w:tcBorders>
                  <w:noWrap/>
                  <w:vAlign w:val="center"/>
                </w:tcPr>
                <w:p w14:paraId="25957C7C">
                  <w:pPr>
                    <w:spacing w:line="240" w:lineRule="auto"/>
                    <w:jc w:val="center"/>
                    <w:rPr>
                      <w:color w:val="auto"/>
                      <w:sz w:val="18"/>
                      <w:szCs w:val="18"/>
                    </w:rPr>
                  </w:pPr>
                </w:p>
              </w:tc>
            </w:tr>
            <w:tr w14:paraId="15007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6FDBC974">
                  <w:pPr>
                    <w:spacing w:line="240" w:lineRule="auto"/>
                    <w:jc w:val="center"/>
                    <w:rPr>
                      <w:color w:val="auto"/>
                      <w:sz w:val="18"/>
                      <w:szCs w:val="18"/>
                    </w:rPr>
                  </w:pPr>
                </w:p>
              </w:tc>
              <w:tc>
                <w:tcPr>
                  <w:tcW w:w="3107" w:type="pct"/>
                  <w:tcBorders>
                    <w:tl2br w:val="nil"/>
                    <w:tr2bl w:val="nil"/>
                  </w:tcBorders>
                  <w:noWrap/>
                  <w:vAlign w:val="center"/>
                </w:tcPr>
                <w:p w14:paraId="23018107">
                  <w:pPr>
                    <w:spacing w:line="240" w:lineRule="auto"/>
                    <w:rPr>
                      <w:color w:val="auto"/>
                      <w:sz w:val="18"/>
                      <w:szCs w:val="18"/>
                    </w:rPr>
                  </w:pPr>
                  <w:r>
                    <w:rPr>
                      <w:color w:val="auto"/>
                      <w:sz w:val="18"/>
                      <w:szCs w:val="18"/>
                    </w:rPr>
                    <w:t>3、生产、处置或储存能力增大，导致废水第一类污染物排放量增加的</w:t>
                  </w:r>
                </w:p>
              </w:tc>
              <w:tc>
                <w:tcPr>
                  <w:tcW w:w="1171" w:type="pct"/>
                  <w:tcBorders>
                    <w:tl2br w:val="nil"/>
                    <w:tr2bl w:val="nil"/>
                  </w:tcBorders>
                  <w:noWrap/>
                  <w:vAlign w:val="center"/>
                </w:tcPr>
                <w:p w14:paraId="46603A88">
                  <w:pPr>
                    <w:widowControl w:val="0"/>
                    <w:adjustRightInd/>
                    <w:snapToGrid/>
                    <w:spacing w:line="240" w:lineRule="auto"/>
                    <w:jc w:val="center"/>
                    <w:textAlignment w:val="center"/>
                    <w:rPr>
                      <w:rFonts w:hint="default" w:eastAsia="宋体"/>
                      <w:color w:val="auto"/>
                      <w:sz w:val="18"/>
                      <w:szCs w:val="18"/>
                      <w:lang w:val="en-US" w:eastAsia="zh-CN"/>
                    </w:rPr>
                  </w:pPr>
                  <w:r>
                    <w:rPr>
                      <w:rFonts w:hint="eastAsia"/>
                      <w:color w:val="auto"/>
                      <w:sz w:val="18"/>
                      <w:szCs w:val="18"/>
                    </w:rPr>
                    <w:t>项目</w:t>
                  </w:r>
                  <w:r>
                    <w:rPr>
                      <w:rFonts w:hint="eastAsia"/>
                      <w:color w:val="auto"/>
                      <w:sz w:val="18"/>
                      <w:szCs w:val="18"/>
                      <w:lang w:val="en-US" w:eastAsia="zh-CN"/>
                    </w:rPr>
                    <w:t>新增灭火器生产</w:t>
                  </w:r>
                  <w:r>
                    <w:rPr>
                      <w:rFonts w:hint="eastAsia"/>
                      <w:color w:val="auto"/>
                      <w:sz w:val="18"/>
                      <w:szCs w:val="18"/>
                    </w:rPr>
                    <w:t>，</w:t>
                  </w:r>
                  <w:r>
                    <w:rPr>
                      <w:rFonts w:hint="eastAsia"/>
                      <w:color w:val="auto"/>
                      <w:sz w:val="18"/>
                      <w:szCs w:val="18"/>
                      <w:lang w:val="en-US" w:eastAsia="zh-CN"/>
                    </w:rPr>
                    <w:t>无生产废水排放</w:t>
                  </w:r>
                </w:p>
              </w:tc>
              <w:tc>
                <w:tcPr>
                  <w:tcW w:w="387" w:type="pct"/>
                  <w:vMerge w:val="continue"/>
                  <w:tcBorders>
                    <w:tl2br w:val="nil"/>
                    <w:tr2bl w:val="nil"/>
                  </w:tcBorders>
                  <w:noWrap/>
                  <w:vAlign w:val="center"/>
                </w:tcPr>
                <w:p w14:paraId="588EC50A">
                  <w:pPr>
                    <w:spacing w:line="240" w:lineRule="auto"/>
                    <w:jc w:val="center"/>
                    <w:rPr>
                      <w:color w:val="auto"/>
                      <w:sz w:val="18"/>
                      <w:szCs w:val="18"/>
                    </w:rPr>
                  </w:pPr>
                </w:p>
              </w:tc>
            </w:tr>
            <w:tr w14:paraId="50CA6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6D5A2E98">
                  <w:pPr>
                    <w:spacing w:line="240" w:lineRule="auto"/>
                    <w:jc w:val="center"/>
                    <w:rPr>
                      <w:color w:val="auto"/>
                      <w:sz w:val="18"/>
                      <w:szCs w:val="18"/>
                    </w:rPr>
                  </w:pPr>
                </w:p>
              </w:tc>
              <w:tc>
                <w:tcPr>
                  <w:tcW w:w="3107" w:type="pct"/>
                  <w:tcBorders>
                    <w:tl2br w:val="nil"/>
                    <w:tr2bl w:val="nil"/>
                  </w:tcBorders>
                  <w:noWrap/>
                  <w:vAlign w:val="center"/>
                </w:tcPr>
                <w:p w14:paraId="74485E05">
                  <w:pPr>
                    <w:spacing w:line="240" w:lineRule="auto"/>
                    <w:rPr>
                      <w:color w:val="auto"/>
                      <w:sz w:val="18"/>
                      <w:szCs w:val="18"/>
                    </w:rPr>
                  </w:pPr>
                  <w:r>
                    <w:rPr>
                      <w:color w:val="auto"/>
                      <w:sz w:val="18"/>
                      <w:szCs w:val="18"/>
                    </w:rPr>
                    <w:t>4、位于环境质量不达标区的建设项目生产、处置或储存能力增大，导致相应污染物排放量增加的（细颗粒物不达标区，相应污染物为二氧化硫、氮氧化物、可吸入颗粒物、挥发性有机物；臭气不达标区，相应污染物为氮氧化物、挥发性有机物；其他大气、水污染物因子不达标区，相应污染物为超标污染因子）；位于达标区的建设项目生产、处置或储存能力增大，导致污染物排放量增加10%及以上的。</w:t>
                  </w:r>
                </w:p>
              </w:tc>
              <w:tc>
                <w:tcPr>
                  <w:tcW w:w="1171" w:type="pct"/>
                  <w:tcBorders>
                    <w:tl2br w:val="nil"/>
                    <w:tr2bl w:val="nil"/>
                  </w:tcBorders>
                  <w:noWrap/>
                  <w:vAlign w:val="center"/>
                </w:tcPr>
                <w:p w14:paraId="6DC94769">
                  <w:pPr>
                    <w:widowControl w:val="0"/>
                    <w:adjustRightInd/>
                    <w:snapToGrid/>
                    <w:spacing w:line="240" w:lineRule="auto"/>
                    <w:jc w:val="center"/>
                    <w:textAlignment w:val="center"/>
                    <w:rPr>
                      <w:rFonts w:hint="default" w:eastAsia="宋体"/>
                      <w:color w:val="auto"/>
                      <w:sz w:val="18"/>
                      <w:szCs w:val="18"/>
                      <w:lang w:val="en-US" w:eastAsia="zh-CN"/>
                    </w:rPr>
                  </w:pPr>
                  <w:r>
                    <w:rPr>
                      <w:rFonts w:hint="eastAsia"/>
                      <w:color w:val="auto"/>
                      <w:sz w:val="18"/>
                      <w:szCs w:val="18"/>
                    </w:rPr>
                    <w:t>项目位于达标区，</w:t>
                  </w:r>
                  <w:r>
                    <w:rPr>
                      <w:rFonts w:hint="eastAsia"/>
                      <w:color w:val="auto"/>
                      <w:sz w:val="18"/>
                      <w:szCs w:val="18"/>
                      <w:lang w:val="en-US" w:eastAsia="zh-CN"/>
                    </w:rPr>
                    <w:t>但产品新增灭火器生产，熔模铸造工艺新增退火工艺，型壳焙烧由电能变更天然气，喷粉工件数量增多，以上</w:t>
                  </w:r>
                  <w:r>
                    <w:rPr>
                      <w:rFonts w:hint="eastAsia"/>
                      <w:color w:val="auto"/>
                      <w:sz w:val="18"/>
                      <w:szCs w:val="18"/>
                    </w:rPr>
                    <w:t>变动导致污染物排放量增加</w:t>
                  </w:r>
                  <w:r>
                    <w:rPr>
                      <w:rFonts w:hint="eastAsia"/>
                      <w:color w:val="auto"/>
                      <w:sz w:val="18"/>
                      <w:szCs w:val="18"/>
                      <w:lang w:val="en-US" w:eastAsia="zh-CN"/>
                    </w:rPr>
                    <w:t>10%以上</w:t>
                  </w:r>
                </w:p>
              </w:tc>
              <w:tc>
                <w:tcPr>
                  <w:tcW w:w="387" w:type="pct"/>
                  <w:vMerge w:val="continue"/>
                  <w:tcBorders>
                    <w:tl2br w:val="nil"/>
                    <w:tr2bl w:val="nil"/>
                  </w:tcBorders>
                  <w:noWrap/>
                  <w:vAlign w:val="center"/>
                </w:tcPr>
                <w:p w14:paraId="4A813CEC">
                  <w:pPr>
                    <w:spacing w:line="240" w:lineRule="auto"/>
                    <w:jc w:val="center"/>
                    <w:rPr>
                      <w:color w:val="auto"/>
                      <w:sz w:val="18"/>
                      <w:szCs w:val="18"/>
                    </w:rPr>
                  </w:pPr>
                </w:p>
              </w:tc>
            </w:tr>
            <w:tr w14:paraId="5B10F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tcBorders>
                    <w:tl2br w:val="nil"/>
                    <w:tr2bl w:val="nil"/>
                  </w:tcBorders>
                  <w:noWrap/>
                  <w:vAlign w:val="center"/>
                </w:tcPr>
                <w:p w14:paraId="3F9B73F5">
                  <w:pPr>
                    <w:spacing w:line="240" w:lineRule="auto"/>
                    <w:jc w:val="center"/>
                    <w:rPr>
                      <w:color w:val="auto"/>
                      <w:sz w:val="18"/>
                      <w:szCs w:val="18"/>
                    </w:rPr>
                  </w:pPr>
                  <w:r>
                    <w:rPr>
                      <w:color w:val="auto"/>
                      <w:sz w:val="18"/>
                      <w:szCs w:val="18"/>
                    </w:rPr>
                    <w:t>地点</w:t>
                  </w:r>
                </w:p>
              </w:tc>
              <w:tc>
                <w:tcPr>
                  <w:tcW w:w="3107" w:type="pct"/>
                  <w:tcBorders>
                    <w:tl2br w:val="nil"/>
                    <w:tr2bl w:val="nil"/>
                  </w:tcBorders>
                  <w:noWrap/>
                  <w:vAlign w:val="center"/>
                </w:tcPr>
                <w:p w14:paraId="2C8231F3">
                  <w:pPr>
                    <w:spacing w:line="240" w:lineRule="auto"/>
                    <w:rPr>
                      <w:color w:val="auto"/>
                      <w:sz w:val="18"/>
                      <w:szCs w:val="18"/>
                    </w:rPr>
                  </w:pPr>
                  <w:r>
                    <w:rPr>
                      <w:color w:val="auto"/>
                      <w:sz w:val="18"/>
                      <w:szCs w:val="18"/>
                    </w:rPr>
                    <w:t>5、重新选址；在原厂址附近调整</w:t>
                  </w:r>
                  <w:r>
                    <w:rPr>
                      <w:rFonts w:hint="eastAsia"/>
                      <w:color w:val="auto"/>
                      <w:sz w:val="18"/>
                      <w:szCs w:val="18"/>
                    </w:rPr>
                    <w:t>（</w:t>
                  </w:r>
                  <w:r>
                    <w:rPr>
                      <w:rFonts w:hint="eastAsia" w:ascii="宋体" w:hAnsi="宋体"/>
                      <w:color w:val="auto"/>
                      <w:sz w:val="18"/>
                      <w:szCs w:val="18"/>
                    </w:rPr>
                    <w:t>包括总平布置变化）导致环境防护距离范围变</w:t>
                  </w:r>
                  <w:r>
                    <w:rPr>
                      <w:color w:val="auto"/>
                      <w:sz w:val="18"/>
                      <w:szCs w:val="18"/>
                    </w:rPr>
                    <w:t>化且新增敏感点的。</w:t>
                  </w:r>
                </w:p>
              </w:tc>
              <w:tc>
                <w:tcPr>
                  <w:tcW w:w="1171" w:type="pct"/>
                  <w:tcBorders>
                    <w:tl2br w:val="nil"/>
                    <w:tr2bl w:val="nil"/>
                  </w:tcBorders>
                  <w:noWrap/>
                  <w:vAlign w:val="center"/>
                </w:tcPr>
                <w:p w14:paraId="5F86180E">
                  <w:pPr>
                    <w:widowControl w:val="0"/>
                    <w:adjustRightInd/>
                    <w:snapToGrid/>
                    <w:spacing w:line="240" w:lineRule="auto"/>
                    <w:jc w:val="center"/>
                    <w:textAlignment w:val="center"/>
                    <w:rPr>
                      <w:rFonts w:hint="default" w:eastAsia="宋体"/>
                      <w:color w:val="auto"/>
                      <w:sz w:val="18"/>
                      <w:szCs w:val="18"/>
                      <w:lang w:val="en-US" w:eastAsia="zh-CN"/>
                    </w:rPr>
                  </w:pPr>
                  <w:r>
                    <w:rPr>
                      <w:rFonts w:hint="eastAsia"/>
                      <w:color w:val="auto"/>
                      <w:sz w:val="18"/>
                      <w:szCs w:val="18"/>
                    </w:rPr>
                    <w:t>项目选址未发生变化，</w:t>
                  </w:r>
                  <w:r>
                    <w:rPr>
                      <w:rFonts w:hint="eastAsia"/>
                      <w:color w:val="auto"/>
                      <w:sz w:val="18"/>
                      <w:szCs w:val="18"/>
                      <w:lang w:val="en-US" w:eastAsia="zh-CN"/>
                    </w:rPr>
                    <w:t>车间平面布局发生变化</w:t>
                  </w:r>
                  <w:r>
                    <w:rPr>
                      <w:rFonts w:hint="eastAsia"/>
                      <w:color w:val="auto"/>
                      <w:sz w:val="18"/>
                      <w:szCs w:val="18"/>
                      <w:lang w:eastAsia="zh-CN"/>
                    </w:rPr>
                    <w:t>，</w:t>
                  </w:r>
                  <w:r>
                    <w:rPr>
                      <w:rFonts w:hint="eastAsia"/>
                      <w:color w:val="auto"/>
                      <w:sz w:val="18"/>
                      <w:szCs w:val="18"/>
                      <w:lang w:val="en-US" w:eastAsia="zh-CN"/>
                    </w:rPr>
                    <w:t>但未新增敏感点</w:t>
                  </w:r>
                </w:p>
              </w:tc>
              <w:tc>
                <w:tcPr>
                  <w:tcW w:w="387" w:type="pct"/>
                  <w:tcBorders>
                    <w:tl2br w:val="nil"/>
                    <w:tr2bl w:val="nil"/>
                  </w:tcBorders>
                  <w:noWrap/>
                  <w:vAlign w:val="center"/>
                </w:tcPr>
                <w:p w14:paraId="79D13E5D">
                  <w:pPr>
                    <w:spacing w:line="240" w:lineRule="auto"/>
                    <w:jc w:val="center"/>
                    <w:rPr>
                      <w:color w:val="auto"/>
                      <w:sz w:val="18"/>
                      <w:szCs w:val="18"/>
                    </w:rPr>
                  </w:pPr>
                  <w:r>
                    <w:rPr>
                      <w:rFonts w:hint="eastAsia"/>
                      <w:color w:val="auto"/>
                      <w:sz w:val="18"/>
                      <w:szCs w:val="18"/>
                    </w:rPr>
                    <w:t>不构成重大变动</w:t>
                  </w:r>
                </w:p>
              </w:tc>
            </w:tr>
            <w:tr w14:paraId="1620A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restart"/>
                  <w:tcBorders>
                    <w:tl2br w:val="nil"/>
                    <w:tr2bl w:val="nil"/>
                  </w:tcBorders>
                  <w:noWrap/>
                  <w:vAlign w:val="center"/>
                </w:tcPr>
                <w:p w14:paraId="39B1358A">
                  <w:pPr>
                    <w:spacing w:line="240" w:lineRule="auto"/>
                    <w:jc w:val="center"/>
                    <w:rPr>
                      <w:color w:val="auto"/>
                      <w:sz w:val="18"/>
                      <w:szCs w:val="18"/>
                    </w:rPr>
                  </w:pPr>
                  <w:r>
                    <w:rPr>
                      <w:color w:val="auto"/>
                      <w:sz w:val="18"/>
                      <w:szCs w:val="18"/>
                    </w:rPr>
                    <w:t>生产工艺</w:t>
                  </w:r>
                </w:p>
              </w:tc>
              <w:tc>
                <w:tcPr>
                  <w:tcW w:w="3107" w:type="pct"/>
                  <w:tcBorders>
                    <w:tl2br w:val="nil"/>
                    <w:tr2bl w:val="nil"/>
                  </w:tcBorders>
                  <w:noWrap/>
                  <w:vAlign w:val="center"/>
                </w:tcPr>
                <w:p w14:paraId="1B27C2A7">
                  <w:pPr>
                    <w:spacing w:line="240" w:lineRule="auto"/>
                    <w:rPr>
                      <w:rFonts w:ascii="宋体" w:hAnsi="宋体"/>
                      <w:color w:val="auto"/>
                      <w:sz w:val="18"/>
                      <w:szCs w:val="18"/>
                    </w:rPr>
                  </w:pPr>
                  <w:r>
                    <w:rPr>
                      <w:color w:val="auto"/>
                      <w:sz w:val="18"/>
                      <w:szCs w:val="18"/>
                    </w:rPr>
                    <w:t>6、新增产品品种或生产</w:t>
                  </w:r>
                  <w:r>
                    <w:rPr>
                      <w:rFonts w:hint="eastAsia" w:ascii="宋体" w:hAnsi="宋体"/>
                      <w:color w:val="auto"/>
                      <w:sz w:val="18"/>
                      <w:szCs w:val="18"/>
                    </w:rPr>
                    <w:t>工艺（含主要生产装置、设备及配套设施）、主要原辅材料、燃料变化，导致以下情形</w:t>
                  </w:r>
                  <w:r>
                    <w:rPr>
                      <w:rFonts w:hint="eastAsia" w:ascii="宋体" w:hAnsi="宋体"/>
                      <w:color w:val="auto"/>
                      <w:sz w:val="18"/>
                      <w:szCs w:val="18"/>
                      <w:lang w:val="en-US" w:eastAsia="zh-CN"/>
                    </w:rPr>
                    <w:t>之一</w:t>
                  </w:r>
                  <w:r>
                    <w:rPr>
                      <w:rFonts w:hint="eastAsia" w:ascii="宋体" w:hAnsi="宋体"/>
                      <w:color w:val="auto"/>
                      <w:sz w:val="18"/>
                      <w:szCs w:val="18"/>
                    </w:rPr>
                    <w:t>：</w:t>
                  </w:r>
                </w:p>
                <w:p w14:paraId="08EE0E71">
                  <w:pPr>
                    <w:spacing w:line="240" w:lineRule="auto"/>
                    <w:rPr>
                      <w:rFonts w:ascii="宋体" w:hAnsi="宋体"/>
                      <w:color w:val="auto"/>
                      <w:sz w:val="18"/>
                      <w:szCs w:val="18"/>
                    </w:rPr>
                  </w:pPr>
                  <w:r>
                    <w:rPr>
                      <w:rFonts w:hint="eastAsia" w:ascii="宋体" w:hAnsi="宋体"/>
                      <w:color w:val="auto"/>
                      <w:sz w:val="18"/>
                      <w:szCs w:val="18"/>
                    </w:rPr>
                    <w:t>（</w:t>
                  </w:r>
                  <w:r>
                    <w:rPr>
                      <w:color w:val="auto"/>
                      <w:sz w:val="18"/>
                      <w:szCs w:val="18"/>
                    </w:rPr>
                    <w:t>1</w:t>
                  </w:r>
                  <w:r>
                    <w:rPr>
                      <w:rFonts w:hint="eastAsia" w:ascii="宋体" w:hAnsi="宋体"/>
                      <w:color w:val="auto"/>
                      <w:sz w:val="18"/>
                      <w:szCs w:val="18"/>
                    </w:rPr>
                    <w:t>）新增排放污染物种类的（毒性、挥发性降低的除外）；</w:t>
                  </w:r>
                </w:p>
                <w:p w14:paraId="2DED0516">
                  <w:pPr>
                    <w:spacing w:line="240" w:lineRule="auto"/>
                    <w:rPr>
                      <w:color w:val="auto"/>
                      <w:sz w:val="18"/>
                      <w:szCs w:val="18"/>
                    </w:rPr>
                  </w:pPr>
                  <w:r>
                    <w:rPr>
                      <w:rFonts w:hint="eastAsia" w:ascii="宋体" w:hAnsi="宋体"/>
                      <w:color w:val="auto"/>
                      <w:sz w:val="18"/>
                      <w:szCs w:val="18"/>
                    </w:rPr>
                    <w:t>（</w:t>
                  </w:r>
                  <w:r>
                    <w:rPr>
                      <w:color w:val="auto"/>
                      <w:sz w:val="18"/>
                      <w:szCs w:val="18"/>
                    </w:rPr>
                    <w:t>2</w:t>
                  </w:r>
                  <w:r>
                    <w:rPr>
                      <w:rFonts w:hint="eastAsia" w:ascii="宋体" w:hAnsi="宋体"/>
                      <w:color w:val="auto"/>
                      <w:sz w:val="18"/>
                      <w:szCs w:val="18"/>
                    </w:rPr>
                    <w:t>）位于环境质量不达标区的建设项目相应污染物排放量增</w:t>
                  </w:r>
                  <w:r>
                    <w:rPr>
                      <w:color w:val="auto"/>
                      <w:sz w:val="18"/>
                      <w:szCs w:val="18"/>
                    </w:rPr>
                    <w:t>加的；</w:t>
                  </w:r>
                </w:p>
                <w:p w14:paraId="51732CB2">
                  <w:pPr>
                    <w:spacing w:line="240" w:lineRule="auto"/>
                    <w:rPr>
                      <w:color w:val="auto"/>
                      <w:sz w:val="18"/>
                      <w:szCs w:val="18"/>
                    </w:rPr>
                  </w:pPr>
                  <w:r>
                    <w:rPr>
                      <w:color w:val="auto"/>
                      <w:sz w:val="18"/>
                      <w:szCs w:val="18"/>
                    </w:rPr>
                    <w:t>（3）废水第一类污染物排放量增加的；</w:t>
                  </w:r>
                </w:p>
                <w:p w14:paraId="219CC6DA">
                  <w:pPr>
                    <w:spacing w:line="240" w:lineRule="auto"/>
                    <w:rPr>
                      <w:bCs/>
                      <w:color w:val="auto"/>
                      <w:sz w:val="18"/>
                      <w:szCs w:val="18"/>
                    </w:rPr>
                  </w:pPr>
                  <w:r>
                    <w:rPr>
                      <w:color w:val="auto"/>
                      <w:sz w:val="18"/>
                      <w:szCs w:val="18"/>
                    </w:rPr>
                    <w:t>（4）其他污染物排放量增加10%及以上的。</w:t>
                  </w:r>
                </w:p>
              </w:tc>
              <w:tc>
                <w:tcPr>
                  <w:tcW w:w="1171" w:type="pct"/>
                  <w:tcBorders>
                    <w:tl2br w:val="nil"/>
                    <w:tr2bl w:val="nil"/>
                  </w:tcBorders>
                  <w:noWrap/>
                  <w:vAlign w:val="center"/>
                </w:tcPr>
                <w:p w14:paraId="3450BE43">
                  <w:pPr>
                    <w:spacing w:line="240" w:lineRule="auto"/>
                    <w:jc w:val="center"/>
                    <w:rPr>
                      <w:rFonts w:hint="default" w:eastAsia="宋体"/>
                      <w:color w:val="auto"/>
                      <w:sz w:val="18"/>
                      <w:szCs w:val="18"/>
                      <w:lang w:val="en-US" w:eastAsia="zh-CN"/>
                    </w:rPr>
                  </w:pPr>
                  <w:r>
                    <w:rPr>
                      <w:rFonts w:hint="eastAsia"/>
                      <w:color w:val="auto"/>
                      <w:sz w:val="18"/>
                      <w:szCs w:val="18"/>
                      <w:lang w:val="en-US" w:eastAsia="zh-CN"/>
                    </w:rPr>
                    <w:t>产品新增灭火器生产，熔模铸造工艺新增退火工艺，型壳焙烧由电能变更天然气，喷粉工件数量增多，以上</w:t>
                  </w:r>
                  <w:r>
                    <w:rPr>
                      <w:rFonts w:hint="eastAsia"/>
                      <w:color w:val="auto"/>
                      <w:sz w:val="18"/>
                      <w:szCs w:val="18"/>
                    </w:rPr>
                    <w:t>变动导致污染物排放量增加</w:t>
                  </w:r>
                  <w:r>
                    <w:rPr>
                      <w:rFonts w:hint="eastAsia"/>
                      <w:color w:val="auto"/>
                      <w:sz w:val="18"/>
                      <w:szCs w:val="18"/>
                      <w:lang w:val="en-US" w:eastAsia="zh-CN"/>
                    </w:rPr>
                    <w:t>10%以上</w:t>
                  </w:r>
                </w:p>
              </w:tc>
              <w:tc>
                <w:tcPr>
                  <w:tcW w:w="387" w:type="pct"/>
                  <w:tcBorders>
                    <w:tl2br w:val="nil"/>
                    <w:tr2bl w:val="nil"/>
                  </w:tcBorders>
                  <w:noWrap/>
                  <w:vAlign w:val="center"/>
                </w:tcPr>
                <w:p w14:paraId="4DE69A1C">
                  <w:pPr>
                    <w:spacing w:line="240" w:lineRule="auto"/>
                    <w:jc w:val="center"/>
                    <w:rPr>
                      <w:color w:val="auto"/>
                      <w:sz w:val="18"/>
                      <w:szCs w:val="18"/>
                    </w:rPr>
                  </w:pPr>
                  <w:r>
                    <w:rPr>
                      <w:rFonts w:hint="eastAsia"/>
                      <w:color w:val="auto"/>
                      <w:sz w:val="18"/>
                      <w:szCs w:val="18"/>
                    </w:rPr>
                    <w:t>构成重大变动</w:t>
                  </w:r>
                </w:p>
              </w:tc>
            </w:tr>
            <w:tr w14:paraId="3ACE2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230E4F65">
                  <w:pPr>
                    <w:spacing w:line="240" w:lineRule="auto"/>
                    <w:jc w:val="center"/>
                    <w:rPr>
                      <w:color w:val="auto"/>
                      <w:sz w:val="18"/>
                      <w:szCs w:val="18"/>
                    </w:rPr>
                  </w:pPr>
                </w:p>
              </w:tc>
              <w:tc>
                <w:tcPr>
                  <w:tcW w:w="3107" w:type="pct"/>
                  <w:tcBorders>
                    <w:tl2br w:val="nil"/>
                    <w:tr2bl w:val="nil"/>
                  </w:tcBorders>
                  <w:noWrap/>
                  <w:vAlign w:val="center"/>
                </w:tcPr>
                <w:p w14:paraId="40319464">
                  <w:pPr>
                    <w:spacing w:line="240" w:lineRule="auto"/>
                    <w:rPr>
                      <w:bCs/>
                      <w:color w:val="auto"/>
                      <w:sz w:val="18"/>
                      <w:szCs w:val="18"/>
                    </w:rPr>
                  </w:pPr>
                  <w:r>
                    <w:rPr>
                      <w:color w:val="auto"/>
                      <w:sz w:val="18"/>
                      <w:szCs w:val="18"/>
                    </w:rPr>
                    <w:t>7、物料运输、装卸、贮存方式变化，导致大气污染物无组织排放量增加10%及以上的。</w:t>
                  </w:r>
                </w:p>
              </w:tc>
              <w:tc>
                <w:tcPr>
                  <w:tcW w:w="1171" w:type="pct"/>
                  <w:tcBorders>
                    <w:tl2br w:val="nil"/>
                    <w:tr2bl w:val="nil"/>
                  </w:tcBorders>
                  <w:noWrap/>
                  <w:vAlign w:val="center"/>
                </w:tcPr>
                <w:p w14:paraId="5D0223EB">
                  <w:pPr>
                    <w:spacing w:line="240" w:lineRule="auto"/>
                    <w:jc w:val="center"/>
                    <w:rPr>
                      <w:rFonts w:hint="eastAsia" w:eastAsia="宋体"/>
                      <w:bCs/>
                      <w:color w:val="auto"/>
                      <w:sz w:val="18"/>
                      <w:szCs w:val="18"/>
                      <w:lang w:eastAsia="zh-CN"/>
                    </w:rPr>
                  </w:pPr>
                  <w:r>
                    <w:rPr>
                      <w:rFonts w:hint="eastAsia"/>
                      <w:color w:val="auto"/>
                      <w:sz w:val="18"/>
                      <w:szCs w:val="18"/>
                    </w:rPr>
                    <w:t>项目物料运输、装卸、贮存方式未发生变化</w:t>
                  </w:r>
                </w:p>
              </w:tc>
              <w:tc>
                <w:tcPr>
                  <w:tcW w:w="387" w:type="pct"/>
                  <w:tcBorders>
                    <w:tl2br w:val="nil"/>
                    <w:tr2bl w:val="nil"/>
                  </w:tcBorders>
                  <w:noWrap/>
                  <w:vAlign w:val="center"/>
                </w:tcPr>
                <w:p w14:paraId="0C34AC0D">
                  <w:pPr>
                    <w:spacing w:line="240" w:lineRule="auto"/>
                    <w:jc w:val="center"/>
                    <w:rPr>
                      <w:color w:val="auto"/>
                      <w:sz w:val="18"/>
                      <w:szCs w:val="18"/>
                    </w:rPr>
                  </w:pPr>
                  <w:r>
                    <w:rPr>
                      <w:rFonts w:hint="eastAsia"/>
                      <w:color w:val="auto"/>
                      <w:sz w:val="18"/>
                      <w:szCs w:val="18"/>
                    </w:rPr>
                    <w:t>无变化</w:t>
                  </w:r>
                </w:p>
              </w:tc>
            </w:tr>
            <w:tr w14:paraId="5AD6E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8" w:hRule="atLeast"/>
                <w:jc w:val="center"/>
              </w:trPr>
              <w:tc>
                <w:tcPr>
                  <w:tcW w:w="332" w:type="pct"/>
                  <w:vMerge w:val="restart"/>
                  <w:tcBorders>
                    <w:tl2br w:val="nil"/>
                    <w:tr2bl w:val="nil"/>
                  </w:tcBorders>
                  <w:noWrap/>
                  <w:vAlign w:val="center"/>
                </w:tcPr>
                <w:p w14:paraId="0A9832E4">
                  <w:pPr>
                    <w:spacing w:line="240" w:lineRule="auto"/>
                    <w:jc w:val="center"/>
                    <w:rPr>
                      <w:color w:val="auto"/>
                      <w:sz w:val="18"/>
                      <w:szCs w:val="18"/>
                    </w:rPr>
                  </w:pPr>
                  <w:r>
                    <w:rPr>
                      <w:color w:val="auto"/>
                      <w:sz w:val="18"/>
                      <w:szCs w:val="18"/>
                    </w:rPr>
                    <w:t>环境保护措施</w:t>
                  </w:r>
                </w:p>
              </w:tc>
              <w:tc>
                <w:tcPr>
                  <w:tcW w:w="3107" w:type="pct"/>
                  <w:tcBorders>
                    <w:tl2br w:val="nil"/>
                    <w:tr2bl w:val="nil"/>
                  </w:tcBorders>
                  <w:noWrap/>
                  <w:vAlign w:val="center"/>
                </w:tcPr>
                <w:p w14:paraId="306B531F">
                  <w:pPr>
                    <w:spacing w:line="240" w:lineRule="auto"/>
                    <w:rPr>
                      <w:bCs/>
                      <w:color w:val="auto"/>
                      <w:sz w:val="18"/>
                      <w:szCs w:val="18"/>
                    </w:rPr>
                  </w:pPr>
                  <w:r>
                    <w:rPr>
                      <w:color w:val="auto"/>
                      <w:sz w:val="18"/>
                      <w:szCs w:val="18"/>
                    </w:rPr>
                    <w:t>8、废气、废水污染防治措施变化，导致第6条中所列情况之</w:t>
                  </w:r>
                  <w:r>
                    <w:rPr>
                      <w:rFonts w:hint="eastAsia" w:ascii="宋体" w:hAnsi="宋体"/>
                      <w:color w:val="auto"/>
                      <w:sz w:val="18"/>
                      <w:szCs w:val="18"/>
                    </w:rPr>
                    <w:t>一（废气无组织排放改为有组织排放、污染防治措施强化或改进的除外）或大</w:t>
                  </w:r>
                  <w:r>
                    <w:rPr>
                      <w:color w:val="auto"/>
                      <w:sz w:val="18"/>
                      <w:szCs w:val="18"/>
                    </w:rPr>
                    <w:t>气污染物无组织排放量增加10%及以上的。</w:t>
                  </w:r>
                </w:p>
              </w:tc>
              <w:tc>
                <w:tcPr>
                  <w:tcW w:w="1171" w:type="pct"/>
                  <w:tcBorders>
                    <w:tl2br w:val="nil"/>
                    <w:tr2bl w:val="nil"/>
                  </w:tcBorders>
                  <w:noWrap/>
                  <w:vAlign w:val="center"/>
                </w:tcPr>
                <w:p w14:paraId="10DE266A">
                  <w:pPr>
                    <w:spacing w:line="240" w:lineRule="auto"/>
                    <w:jc w:val="center"/>
                    <w:rPr>
                      <w:rFonts w:hint="default" w:eastAsia="宋体"/>
                      <w:bCs/>
                      <w:color w:val="auto"/>
                      <w:sz w:val="18"/>
                      <w:szCs w:val="18"/>
                      <w:highlight w:val="none"/>
                      <w:lang w:val="en-US" w:eastAsia="zh-CN"/>
                    </w:rPr>
                  </w:pPr>
                  <w:r>
                    <w:rPr>
                      <w:rFonts w:hint="eastAsia"/>
                      <w:color w:val="auto"/>
                      <w:sz w:val="18"/>
                      <w:szCs w:val="18"/>
                      <w:highlight w:val="none"/>
                      <w:lang w:val="en-US" w:eastAsia="zh-CN"/>
                    </w:rPr>
                    <w:t>部分工艺废气治理设施进行改进，新增灭火器生产废气污染源，</w:t>
                  </w:r>
                  <w:r>
                    <w:rPr>
                      <w:rFonts w:hint="eastAsia"/>
                      <w:color w:val="auto"/>
                      <w:sz w:val="18"/>
                      <w:szCs w:val="18"/>
                      <w:highlight w:val="none"/>
                    </w:rPr>
                    <w:t>导致污染物排放量增加</w:t>
                  </w:r>
                  <w:r>
                    <w:rPr>
                      <w:rFonts w:hint="eastAsia"/>
                      <w:color w:val="auto"/>
                      <w:sz w:val="18"/>
                      <w:szCs w:val="18"/>
                      <w:highlight w:val="none"/>
                      <w:lang w:val="en-US" w:eastAsia="zh-CN"/>
                    </w:rPr>
                    <w:t>10%以上</w:t>
                  </w:r>
                </w:p>
              </w:tc>
              <w:tc>
                <w:tcPr>
                  <w:tcW w:w="387" w:type="pct"/>
                  <w:tcBorders>
                    <w:tl2br w:val="nil"/>
                    <w:tr2bl w:val="nil"/>
                  </w:tcBorders>
                  <w:noWrap/>
                  <w:vAlign w:val="center"/>
                </w:tcPr>
                <w:p w14:paraId="0BDC2F66">
                  <w:pPr>
                    <w:spacing w:line="240" w:lineRule="auto"/>
                    <w:jc w:val="center"/>
                    <w:rPr>
                      <w:color w:val="auto"/>
                      <w:sz w:val="18"/>
                      <w:szCs w:val="18"/>
                    </w:rPr>
                  </w:pPr>
                  <w:r>
                    <w:rPr>
                      <w:rFonts w:hint="eastAsia"/>
                      <w:color w:val="auto"/>
                      <w:sz w:val="18"/>
                      <w:szCs w:val="18"/>
                    </w:rPr>
                    <w:t>构成重大变动</w:t>
                  </w:r>
                </w:p>
              </w:tc>
            </w:tr>
            <w:tr w14:paraId="72525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44B9C51D">
                  <w:pPr>
                    <w:spacing w:line="240" w:lineRule="auto"/>
                    <w:jc w:val="center"/>
                    <w:rPr>
                      <w:color w:val="auto"/>
                      <w:sz w:val="18"/>
                      <w:szCs w:val="18"/>
                    </w:rPr>
                  </w:pPr>
                </w:p>
              </w:tc>
              <w:tc>
                <w:tcPr>
                  <w:tcW w:w="3107" w:type="pct"/>
                  <w:tcBorders>
                    <w:tl2br w:val="nil"/>
                    <w:tr2bl w:val="nil"/>
                  </w:tcBorders>
                  <w:noWrap/>
                  <w:vAlign w:val="center"/>
                </w:tcPr>
                <w:p w14:paraId="5503B3E0">
                  <w:pPr>
                    <w:spacing w:line="240" w:lineRule="auto"/>
                    <w:rPr>
                      <w:color w:val="auto"/>
                      <w:sz w:val="18"/>
                      <w:szCs w:val="18"/>
                    </w:rPr>
                  </w:pPr>
                  <w:r>
                    <w:rPr>
                      <w:color w:val="auto"/>
                      <w:sz w:val="18"/>
                      <w:szCs w:val="18"/>
                    </w:rPr>
                    <w:t>9、新增废水直接排放口；废水由间接排放改为直接排放；废水直接排放口位置变化，导致不利环境影响加重的。</w:t>
                  </w:r>
                </w:p>
              </w:tc>
              <w:tc>
                <w:tcPr>
                  <w:tcW w:w="1171" w:type="pct"/>
                  <w:tcBorders>
                    <w:tl2br w:val="nil"/>
                    <w:tr2bl w:val="nil"/>
                  </w:tcBorders>
                  <w:noWrap/>
                  <w:vAlign w:val="center"/>
                </w:tcPr>
                <w:p w14:paraId="17C2AC20">
                  <w:pPr>
                    <w:spacing w:line="240" w:lineRule="auto"/>
                    <w:jc w:val="center"/>
                    <w:rPr>
                      <w:rFonts w:hint="eastAsia" w:eastAsia="宋体"/>
                      <w:color w:val="auto"/>
                      <w:sz w:val="18"/>
                      <w:szCs w:val="18"/>
                      <w:highlight w:val="none"/>
                      <w:lang w:eastAsia="zh-CN"/>
                    </w:rPr>
                  </w:pPr>
                  <w:r>
                    <w:rPr>
                      <w:rFonts w:hint="eastAsia"/>
                      <w:color w:val="auto"/>
                      <w:sz w:val="18"/>
                      <w:szCs w:val="18"/>
                      <w:highlight w:val="none"/>
                      <w:lang w:val="en-US" w:eastAsia="zh-CN"/>
                    </w:rPr>
                    <w:t>项目减少了化学抛光废水，其余生产用水循环使用，定期更换，更换废水回用于生产不外排</w:t>
                  </w:r>
                </w:p>
              </w:tc>
              <w:tc>
                <w:tcPr>
                  <w:tcW w:w="387" w:type="pct"/>
                  <w:tcBorders>
                    <w:tl2br w:val="nil"/>
                    <w:tr2bl w:val="nil"/>
                  </w:tcBorders>
                  <w:noWrap/>
                  <w:vAlign w:val="center"/>
                </w:tcPr>
                <w:p w14:paraId="6C7BB958">
                  <w:pPr>
                    <w:spacing w:line="240" w:lineRule="auto"/>
                    <w:jc w:val="center"/>
                    <w:rPr>
                      <w:color w:val="auto"/>
                      <w:sz w:val="18"/>
                      <w:szCs w:val="18"/>
                    </w:rPr>
                  </w:pPr>
                  <w:r>
                    <w:rPr>
                      <w:rFonts w:hint="eastAsia"/>
                      <w:color w:val="auto"/>
                      <w:sz w:val="18"/>
                      <w:szCs w:val="18"/>
                    </w:rPr>
                    <w:t>不构成重大变动</w:t>
                  </w:r>
                </w:p>
              </w:tc>
            </w:tr>
            <w:tr w14:paraId="208E6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2147132D">
                  <w:pPr>
                    <w:spacing w:line="240" w:lineRule="auto"/>
                    <w:jc w:val="center"/>
                    <w:rPr>
                      <w:color w:val="auto"/>
                      <w:sz w:val="18"/>
                      <w:szCs w:val="18"/>
                    </w:rPr>
                  </w:pPr>
                </w:p>
              </w:tc>
              <w:tc>
                <w:tcPr>
                  <w:tcW w:w="3107" w:type="pct"/>
                  <w:tcBorders>
                    <w:tl2br w:val="nil"/>
                    <w:tr2bl w:val="nil"/>
                  </w:tcBorders>
                  <w:noWrap/>
                  <w:vAlign w:val="center"/>
                </w:tcPr>
                <w:p w14:paraId="1554C4A0">
                  <w:pPr>
                    <w:spacing w:line="240" w:lineRule="auto"/>
                    <w:rPr>
                      <w:color w:val="auto"/>
                      <w:sz w:val="18"/>
                      <w:szCs w:val="18"/>
                    </w:rPr>
                  </w:pPr>
                  <w:r>
                    <w:rPr>
                      <w:color w:val="auto"/>
                      <w:sz w:val="18"/>
                      <w:szCs w:val="18"/>
                    </w:rPr>
                    <w:t>10、新增废气主要排放</w:t>
                  </w:r>
                  <w:r>
                    <w:rPr>
                      <w:rFonts w:hint="eastAsia" w:ascii="宋体" w:hAnsi="宋体"/>
                      <w:color w:val="auto"/>
                      <w:sz w:val="18"/>
                      <w:szCs w:val="18"/>
                    </w:rPr>
                    <w:t>口（废气无组织排放改为有组织排放的除外）</w:t>
                  </w:r>
                  <w:r>
                    <w:rPr>
                      <w:color w:val="auto"/>
                      <w:sz w:val="18"/>
                      <w:szCs w:val="18"/>
                    </w:rPr>
                    <w:t>；主要排气筒高度降低10%及以上的。</w:t>
                  </w:r>
                </w:p>
              </w:tc>
              <w:tc>
                <w:tcPr>
                  <w:tcW w:w="1171" w:type="pct"/>
                  <w:tcBorders>
                    <w:tl2br w:val="nil"/>
                    <w:tr2bl w:val="nil"/>
                  </w:tcBorders>
                  <w:noWrap/>
                  <w:vAlign w:val="center"/>
                </w:tcPr>
                <w:p w14:paraId="4F27E9C4">
                  <w:pPr>
                    <w:spacing w:line="240" w:lineRule="auto"/>
                    <w:jc w:val="center"/>
                    <w:rPr>
                      <w:rFonts w:hint="eastAsia" w:eastAsia="宋体"/>
                      <w:color w:val="auto"/>
                      <w:sz w:val="18"/>
                      <w:szCs w:val="18"/>
                      <w:highlight w:val="none"/>
                      <w:lang w:eastAsia="zh-CN"/>
                    </w:rPr>
                  </w:pPr>
                  <w:r>
                    <w:rPr>
                      <w:rFonts w:hint="eastAsia"/>
                      <w:color w:val="auto"/>
                      <w:sz w:val="18"/>
                      <w:szCs w:val="18"/>
                      <w:highlight w:val="none"/>
                    </w:rPr>
                    <w:t>项目废气排放口</w:t>
                  </w:r>
                  <w:r>
                    <w:rPr>
                      <w:rFonts w:hint="eastAsia"/>
                      <w:color w:val="auto"/>
                      <w:sz w:val="18"/>
                      <w:szCs w:val="18"/>
                      <w:highlight w:val="none"/>
                      <w:lang w:val="en-US" w:eastAsia="zh-CN"/>
                    </w:rPr>
                    <w:t>数量</w:t>
                  </w:r>
                  <w:r>
                    <w:rPr>
                      <w:rFonts w:hint="eastAsia"/>
                      <w:color w:val="auto"/>
                      <w:sz w:val="18"/>
                      <w:szCs w:val="18"/>
                      <w:highlight w:val="none"/>
                    </w:rPr>
                    <w:t>未增加</w:t>
                  </w:r>
                </w:p>
              </w:tc>
              <w:tc>
                <w:tcPr>
                  <w:tcW w:w="387" w:type="pct"/>
                  <w:tcBorders>
                    <w:tl2br w:val="nil"/>
                    <w:tr2bl w:val="nil"/>
                  </w:tcBorders>
                  <w:noWrap/>
                  <w:vAlign w:val="center"/>
                </w:tcPr>
                <w:p w14:paraId="5454BDE4">
                  <w:pPr>
                    <w:spacing w:line="240" w:lineRule="auto"/>
                    <w:jc w:val="center"/>
                    <w:rPr>
                      <w:color w:val="auto"/>
                      <w:sz w:val="18"/>
                      <w:szCs w:val="18"/>
                    </w:rPr>
                  </w:pPr>
                  <w:r>
                    <w:rPr>
                      <w:rFonts w:hint="eastAsia"/>
                      <w:color w:val="auto"/>
                      <w:sz w:val="18"/>
                      <w:szCs w:val="18"/>
                    </w:rPr>
                    <w:t>不构成重大变动</w:t>
                  </w:r>
                </w:p>
              </w:tc>
            </w:tr>
            <w:tr w14:paraId="2C9BD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4E274FBB">
                  <w:pPr>
                    <w:spacing w:line="240" w:lineRule="auto"/>
                    <w:jc w:val="center"/>
                    <w:rPr>
                      <w:color w:val="auto"/>
                      <w:sz w:val="18"/>
                      <w:szCs w:val="18"/>
                    </w:rPr>
                  </w:pPr>
                </w:p>
              </w:tc>
              <w:tc>
                <w:tcPr>
                  <w:tcW w:w="3107" w:type="pct"/>
                  <w:tcBorders>
                    <w:tl2br w:val="nil"/>
                    <w:tr2bl w:val="nil"/>
                  </w:tcBorders>
                  <w:noWrap/>
                  <w:vAlign w:val="center"/>
                </w:tcPr>
                <w:p w14:paraId="61C06E8A">
                  <w:pPr>
                    <w:spacing w:line="240" w:lineRule="auto"/>
                    <w:rPr>
                      <w:color w:val="auto"/>
                      <w:sz w:val="18"/>
                      <w:szCs w:val="18"/>
                    </w:rPr>
                  </w:pPr>
                  <w:r>
                    <w:rPr>
                      <w:color w:val="auto"/>
                      <w:sz w:val="18"/>
                      <w:szCs w:val="18"/>
                    </w:rPr>
                    <w:t>11、噪声、土壤或地下水污染防治措施变化，导致不利环境影响加重的。</w:t>
                  </w:r>
                </w:p>
              </w:tc>
              <w:tc>
                <w:tcPr>
                  <w:tcW w:w="1171" w:type="pct"/>
                  <w:tcBorders>
                    <w:tl2br w:val="nil"/>
                    <w:tr2bl w:val="nil"/>
                  </w:tcBorders>
                  <w:noWrap/>
                  <w:vAlign w:val="center"/>
                </w:tcPr>
                <w:p w14:paraId="415B4E0E">
                  <w:pPr>
                    <w:spacing w:line="240" w:lineRule="auto"/>
                    <w:jc w:val="center"/>
                    <w:rPr>
                      <w:color w:val="auto"/>
                      <w:sz w:val="18"/>
                      <w:szCs w:val="18"/>
                    </w:rPr>
                  </w:pPr>
                  <w:r>
                    <w:rPr>
                      <w:rFonts w:hint="eastAsia"/>
                      <w:color w:val="auto"/>
                      <w:sz w:val="18"/>
                      <w:szCs w:val="18"/>
                    </w:rPr>
                    <w:t>未发生变化</w:t>
                  </w:r>
                </w:p>
              </w:tc>
              <w:tc>
                <w:tcPr>
                  <w:tcW w:w="387" w:type="pct"/>
                  <w:tcBorders>
                    <w:tl2br w:val="nil"/>
                    <w:tr2bl w:val="nil"/>
                  </w:tcBorders>
                  <w:noWrap/>
                  <w:vAlign w:val="center"/>
                </w:tcPr>
                <w:p w14:paraId="16B18D77">
                  <w:pPr>
                    <w:spacing w:line="240" w:lineRule="auto"/>
                    <w:jc w:val="center"/>
                    <w:rPr>
                      <w:color w:val="auto"/>
                      <w:sz w:val="18"/>
                      <w:szCs w:val="18"/>
                    </w:rPr>
                  </w:pPr>
                  <w:r>
                    <w:rPr>
                      <w:rFonts w:hint="eastAsia"/>
                      <w:color w:val="auto"/>
                      <w:sz w:val="18"/>
                      <w:szCs w:val="18"/>
                    </w:rPr>
                    <w:t>无变化</w:t>
                  </w:r>
                </w:p>
              </w:tc>
            </w:tr>
            <w:tr w14:paraId="22F03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11794239">
                  <w:pPr>
                    <w:spacing w:line="240" w:lineRule="auto"/>
                    <w:jc w:val="center"/>
                    <w:rPr>
                      <w:color w:val="auto"/>
                      <w:sz w:val="18"/>
                      <w:szCs w:val="18"/>
                    </w:rPr>
                  </w:pPr>
                </w:p>
              </w:tc>
              <w:tc>
                <w:tcPr>
                  <w:tcW w:w="3107" w:type="pct"/>
                  <w:tcBorders>
                    <w:tl2br w:val="nil"/>
                    <w:tr2bl w:val="nil"/>
                  </w:tcBorders>
                  <w:noWrap/>
                  <w:vAlign w:val="center"/>
                </w:tcPr>
                <w:p w14:paraId="6B94FCC6">
                  <w:pPr>
                    <w:spacing w:line="240" w:lineRule="auto"/>
                    <w:rPr>
                      <w:color w:val="auto"/>
                      <w:sz w:val="18"/>
                      <w:szCs w:val="18"/>
                    </w:rPr>
                  </w:pPr>
                  <w:r>
                    <w:rPr>
                      <w:color w:val="auto"/>
                      <w:sz w:val="18"/>
                      <w:szCs w:val="18"/>
                    </w:rPr>
                    <w:t>12、固体废物利用处置方式由委托外单位利用处置改为自行处</w:t>
                  </w:r>
                  <w:r>
                    <w:rPr>
                      <w:rFonts w:hint="eastAsia" w:ascii="宋体" w:hAnsi="宋体"/>
                      <w:color w:val="auto"/>
                      <w:sz w:val="18"/>
                      <w:szCs w:val="18"/>
                    </w:rPr>
                    <w:t>置的（自行利用处置设施单独开展环境影响评价的除外）；固体废物自</w:t>
                  </w:r>
                  <w:r>
                    <w:rPr>
                      <w:color w:val="auto"/>
                      <w:sz w:val="18"/>
                      <w:szCs w:val="18"/>
                    </w:rPr>
                    <w:t>行处置方式变化，导致不利环境影响加重的。</w:t>
                  </w:r>
                </w:p>
              </w:tc>
              <w:tc>
                <w:tcPr>
                  <w:tcW w:w="1171" w:type="pct"/>
                  <w:tcBorders>
                    <w:tl2br w:val="nil"/>
                    <w:tr2bl w:val="nil"/>
                  </w:tcBorders>
                  <w:noWrap/>
                  <w:vAlign w:val="center"/>
                </w:tcPr>
                <w:p w14:paraId="31693875">
                  <w:pPr>
                    <w:spacing w:line="240" w:lineRule="auto"/>
                    <w:jc w:val="center"/>
                    <w:rPr>
                      <w:color w:val="auto"/>
                      <w:sz w:val="18"/>
                      <w:szCs w:val="18"/>
                    </w:rPr>
                  </w:pPr>
                  <w:r>
                    <w:rPr>
                      <w:rFonts w:hint="eastAsia"/>
                      <w:color w:val="auto"/>
                      <w:sz w:val="18"/>
                      <w:szCs w:val="18"/>
                    </w:rPr>
                    <w:t>未发生变化</w:t>
                  </w:r>
                </w:p>
              </w:tc>
              <w:tc>
                <w:tcPr>
                  <w:tcW w:w="387" w:type="pct"/>
                  <w:tcBorders>
                    <w:tl2br w:val="nil"/>
                    <w:tr2bl w:val="nil"/>
                  </w:tcBorders>
                  <w:noWrap/>
                  <w:vAlign w:val="center"/>
                </w:tcPr>
                <w:p w14:paraId="7C2B97FD">
                  <w:pPr>
                    <w:spacing w:line="240" w:lineRule="auto"/>
                    <w:jc w:val="center"/>
                    <w:rPr>
                      <w:color w:val="auto"/>
                      <w:sz w:val="18"/>
                      <w:szCs w:val="18"/>
                    </w:rPr>
                  </w:pPr>
                  <w:r>
                    <w:rPr>
                      <w:rFonts w:hint="eastAsia"/>
                      <w:color w:val="auto"/>
                      <w:sz w:val="18"/>
                      <w:szCs w:val="18"/>
                    </w:rPr>
                    <w:t>无变化</w:t>
                  </w:r>
                </w:p>
              </w:tc>
            </w:tr>
            <w:tr w14:paraId="7ABE6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2" w:type="pct"/>
                  <w:vMerge w:val="continue"/>
                  <w:tcBorders>
                    <w:tl2br w:val="nil"/>
                    <w:tr2bl w:val="nil"/>
                  </w:tcBorders>
                  <w:noWrap/>
                  <w:vAlign w:val="center"/>
                </w:tcPr>
                <w:p w14:paraId="7E37EEF6">
                  <w:pPr>
                    <w:spacing w:line="240" w:lineRule="auto"/>
                    <w:jc w:val="center"/>
                    <w:rPr>
                      <w:color w:val="auto"/>
                      <w:sz w:val="18"/>
                      <w:szCs w:val="18"/>
                    </w:rPr>
                  </w:pPr>
                </w:p>
              </w:tc>
              <w:tc>
                <w:tcPr>
                  <w:tcW w:w="3107" w:type="pct"/>
                  <w:tcBorders>
                    <w:tl2br w:val="nil"/>
                    <w:tr2bl w:val="nil"/>
                  </w:tcBorders>
                  <w:noWrap/>
                  <w:vAlign w:val="center"/>
                </w:tcPr>
                <w:p w14:paraId="6BD22703">
                  <w:pPr>
                    <w:spacing w:line="240" w:lineRule="auto"/>
                    <w:rPr>
                      <w:color w:val="auto"/>
                      <w:sz w:val="18"/>
                      <w:szCs w:val="18"/>
                    </w:rPr>
                  </w:pPr>
                  <w:r>
                    <w:rPr>
                      <w:color w:val="auto"/>
                      <w:sz w:val="18"/>
                      <w:szCs w:val="18"/>
                    </w:rPr>
                    <w:t>13、事故废水暂存能力或拦截设施变化，导致环境风险防范能力弱化或降低的。</w:t>
                  </w:r>
                </w:p>
              </w:tc>
              <w:tc>
                <w:tcPr>
                  <w:tcW w:w="1171" w:type="pct"/>
                  <w:tcBorders>
                    <w:tl2br w:val="nil"/>
                    <w:tr2bl w:val="nil"/>
                  </w:tcBorders>
                  <w:noWrap/>
                  <w:vAlign w:val="center"/>
                </w:tcPr>
                <w:p w14:paraId="4E36552D">
                  <w:pPr>
                    <w:spacing w:line="240" w:lineRule="auto"/>
                    <w:jc w:val="center"/>
                    <w:rPr>
                      <w:color w:val="auto"/>
                      <w:sz w:val="18"/>
                      <w:szCs w:val="18"/>
                    </w:rPr>
                  </w:pPr>
                  <w:r>
                    <w:rPr>
                      <w:rFonts w:hint="eastAsia"/>
                      <w:color w:val="auto"/>
                      <w:sz w:val="18"/>
                      <w:szCs w:val="18"/>
                    </w:rPr>
                    <w:t>未发生变化</w:t>
                  </w:r>
                </w:p>
              </w:tc>
              <w:tc>
                <w:tcPr>
                  <w:tcW w:w="387" w:type="pct"/>
                  <w:tcBorders>
                    <w:tl2br w:val="nil"/>
                    <w:tr2bl w:val="nil"/>
                  </w:tcBorders>
                  <w:noWrap/>
                  <w:vAlign w:val="center"/>
                </w:tcPr>
                <w:p w14:paraId="392D9E1E">
                  <w:pPr>
                    <w:spacing w:line="240" w:lineRule="auto"/>
                    <w:jc w:val="center"/>
                    <w:rPr>
                      <w:color w:val="auto"/>
                      <w:sz w:val="18"/>
                      <w:szCs w:val="18"/>
                    </w:rPr>
                  </w:pPr>
                  <w:r>
                    <w:rPr>
                      <w:rFonts w:hint="eastAsia"/>
                      <w:color w:val="auto"/>
                      <w:sz w:val="18"/>
                      <w:szCs w:val="18"/>
                    </w:rPr>
                    <w:t>无变化</w:t>
                  </w:r>
                </w:p>
              </w:tc>
            </w:tr>
          </w:tbl>
          <w:p w14:paraId="31AD030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szCs w:val="24"/>
              </w:rPr>
            </w:pPr>
            <w:r>
              <w:rPr>
                <w:rFonts w:hint="eastAsia"/>
                <w:color w:val="auto"/>
                <w:sz w:val="24"/>
                <w:szCs w:val="24"/>
              </w:rPr>
              <w:t>根据《建设项目环境影响评价分类管理名录（2021年版）》（生态环境部令第16号，2021.1.1实施）的管理要求，本项目应编制环境影响报告表。</w:t>
            </w:r>
          </w:p>
          <w:p w14:paraId="61FA05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Ansi="宋体"/>
                <w:b/>
                <w:color w:val="auto"/>
                <w:sz w:val="24"/>
                <w:szCs w:val="24"/>
              </w:rPr>
            </w:pPr>
          </w:p>
          <w:p w14:paraId="697A9E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Ansi="宋体"/>
                <w:b/>
                <w:color w:val="auto"/>
                <w:sz w:val="24"/>
                <w:szCs w:val="24"/>
              </w:rPr>
            </w:pPr>
          </w:p>
          <w:p w14:paraId="54D90D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b/>
                <w:color w:val="auto"/>
                <w:sz w:val="24"/>
                <w:szCs w:val="24"/>
              </w:rPr>
            </w:pPr>
            <w:r>
              <w:rPr>
                <w:rFonts w:hAnsi="宋体"/>
                <w:b/>
                <w:color w:val="auto"/>
                <w:sz w:val="24"/>
                <w:szCs w:val="24"/>
              </w:rPr>
              <w:t>表2-</w:t>
            </w:r>
            <w:r>
              <w:rPr>
                <w:rFonts w:hint="eastAsia" w:hAnsi="宋体"/>
                <w:b/>
                <w:color w:val="auto"/>
                <w:sz w:val="24"/>
                <w:szCs w:val="24"/>
                <w:lang w:val="en-US" w:eastAsia="zh-CN"/>
              </w:rPr>
              <w:t>3</w:t>
            </w:r>
            <w:r>
              <w:rPr>
                <w:rFonts w:hAnsi="宋体"/>
                <w:b/>
                <w:color w:val="auto"/>
                <w:sz w:val="24"/>
                <w:szCs w:val="24"/>
              </w:rPr>
              <w:t xml:space="preserve">  建设项目环境保护分类管理名录（摘录）</w:t>
            </w:r>
          </w:p>
          <w:tbl>
            <w:tblPr>
              <w:tblStyle w:val="29"/>
              <w:tblW w:w="8639" w:type="dxa"/>
              <w:tblInd w:w="-4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3463"/>
              <w:gridCol w:w="2157"/>
              <w:gridCol w:w="2276"/>
              <w:gridCol w:w="743"/>
            </w:tblGrid>
            <w:tr w14:paraId="126D66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547" w:hRule="atLeast"/>
              </w:trPr>
              <w:tc>
                <w:tcPr>
                  <w:tcW w:w="2004" w:type="pct"/>
                  <w:tcBorders>
                    <w:tl2br w:val="nil"/>
                    <w:tr2bl w:val="nil"/>
                  </w:tcBorders>
                  <mc:AlternateContent>
                    <mc:Choice Requires="wpsCustomData">
                      <wpsCustomData:diagonals>
                        <wpsCustomData:diagonal from="10000" to="30000">
                          <wpsCustomData:border w:val="single" w:color="auto" w:sz="6" w:space="0"/>
                        </wpsCustomData:diagonal>
                      </wpsCustomData:diagonals>
                    </mc:Choice>
                  </mc:AlternateContent>
                </w:tcPr>
                <w:p w14:paraId="22B85B98">
                  <w:pPr>
                    <w:jc w:val="right"/>
                    <w:rPr>
                      <w:rFonts w:eastAsiaTheme="minorEastAsia"/>
                      <w:b/>
                      <w:bCs/>
                      <w:color w:val="auto"/>
                      <w:sz w:val="18"/>
                      <w:szCs w:val="18"/>
                    </w:rPr>
                  </w:pPr>
                </w:p>
                <w:p w14:paraId="2CEE0B95">
                  <w:pPr>
                    <w:snapToGrid w:val="0"/>
                    <w:spacing w:line="240" w:lineRule="auto"/>
                    <w:jc w:val="left"/>
                    <mc:AlternateContent>
                      <mc:Choice Requires="wpsCustomData">
                        <wpsCustomData:diagonalParaType/>
                      </mc:Choice>
                    </mc:AlternateContent>
                    <w:rPr>
                      <w:rFonts w:eastAsiaTheme="minorEastAsia"/>
                      <w:b/>
                      <w:bCs/>
                      <w:color w:val="auto"/>
                      <w:sz w:val="18"/>
                      <w:szCs w:val="18"/>
                    </w:rPr>
                  </w:pPr>
                  <w:r>
                    <w:rPr>
                      <w:rFonts w:hAnsiTheme="minorEastAsia" w:eastAsiaTheme="minorEastAsia"/>
                      <w:b/>
                      <w:bCs/>
                      <w:color w:val="auto"/>
                      <w:sz w:val="18"/>
                      <w:szCs w:val="18"/>
                    </w:rPr>
                    <w:t>项目类别</w:t>
                  </w:r>
                </w:p>
                <w:p w14:paraId="29D2AF89">
                  <w:pPr>
                    <w:jc w:val="right"/>
                    <w:rPr>
                      <w:rFonts w:eastAsiaTheme="minorEastAsia"/>
                      <w:b/>
                      <w:bCs/>
                      <w:color w:val="auto"/>
                      <w:sz w:val="18"/>
                      <w:szCs w:val="18"/>
                    </w:rPr>
                  </w:pPr>
                  <w:r>
                    <w:rPr>
                      <w:rFonts w:hAnsiTheme="minorEastAsia" w:eastAsiaTheme="minorEastAsia"/>
                      <w:b/>
                      <w:bCs/>
                      <w:color w:val="auto"/>
                      <w:sz w:val="18"/>
                      <w:szCs w:val="18"/>
                    </w:rPr>
                    <w:t>环评类别</w:t>
                  </w:r>
                </w:p>
              </w:tc>
              <w:tc>
                <w:tcPr>
                  <w:tcW w:w="1248" w:type="pct"/>
                  <w:tcBorders>
                    <w:tl2br w:val="nil"/>
                    <w:tr2bl w:val="nil"/>
                  </w:tcBorders>
                  <w:vAlign w:val="center"/>
                </w:tcPr>
                <w:p w14:paraId="20F6C386">
                  <w:pPr>
                    <w:jc w:val="center"/>
                    <w:rPr>
                      <w:rFonts w:eastAsiaTheme="minorEastAsia"/>
                      <w:b/>
                      <w:bCs/>
                      <w:color w:val="auto"/>
                      <w:sz w:val="18"/>
                      <w:szCs w:val="18"/>
                    </w:rPr>
                  </w:pPr>
                  <w:r>
                    <w:rPr>
                      <w:rFonts w:hAnsiTheme="minorEastAsia" w:eastAsiaTheme="minorEastAsia"/>
                      <w:b/>
                      <w:bCs/>
                      <w:color w:val="auto"/>
                      <w:sz w:val="18"/>
                      <w:szCs w:val="18"/>
                    </w:rPr>
                    <w:t>报告书</w:t>
                  </w:r>
                </w:p>
              </w:tc>
              <w:tc>
                <w:tcPr>
                  <w:tcW w:w="1317" w:type="pct"/>
                  <w:tcBorders>
                    <w:tl2br w:val="nil"/>
                    <w:tr2bl w:val="nil"/>
                  </w:tcBorders>
                  <w:shd w:val="clear" w:color="auto" w:fill="D7D7D7"/>
                  <w:vAlign w:val="center"/>
                </w:tcPr>
                <w:p w14:paraId="7164CEEB">
                  <w:pPr>
                    <w:jc w:val="center"/>
                    <w:rPr>
                      <w:rFonts w:eastAsiaTheme="minorEastAsia"/>
                      <w:b/>
                      <w:bCs/>
                      <w:color w:val="auto"/>
                      <w:sz w:val="18"/>
                      <w:szCs w:val="18"/>
                    </w:rPr>
                  </w:pPr>
                  <w:r>
                    <w:rPr>
                      <w:rFonts w:hAnsiTheme="minorEastAsia" w:eastAsiaTheme="minorEastAsia"/>
                      <w:b/>
                      <w:bCs/>
                      <w:color w:val="auto"/>
                      <w:sz w:val="18"/>
                      <w:szCs w:val="18"/>
                    </w:rPr>
                    <w:t>报告表</w:t>
                  </w:r>
                </w:p>
              </w:tc>
              <w:tc>
                <w:tcPr>
                  <w:tcW w:w="430" w:type="pct"/>
                  <w:tcBorders>
                    <w:tl2br w:val="nil"/>
                    <w:tr2bl w:val="nil"/>
                  </w:tcBorders>
                  <w:vAlign w:val="center"/>
                </w:tcPr>
                <w:p w14:paraId="1D0B4B3D">
                  <w:pPr>
                    <w:jc w:val="center"/>
                    <w:rPr>
                      <w:rFonts w:eastAsiaTheme="minorEastAsia"/>
                      <w:b/>
                      <w:bCs/>
                      <w:color w:val="auto"/>
                      <w:sz w:val="18"/>
                      <w:szCs w:val="18"/>
                    </w:rPr>
                  </w:pPr>
                  <w:r>
                    <w:rPr>
                      <w:rFonts w:hAnsiTheme="minorEastAsia" w:eastAsiaTheme="minorEastAsia"/>
                      <w:b/>
                      <w:bCs/>
                      <w:color w:val="auto"/>
                      <w:sz w:val="18"/>
                      <w:szCs w:val="18"/>
                    </w:rPr>
                    <w:t>登记表</w:t>
                  </w:r>
                </w:p>
              </w:tc>
            </w:tr>
            <w:tr w14:paraId="3CB0B4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97" w:hRule="atLeast"/>
              </w:trPr>
              <w:tc>
                <w:tcPr>
                  <w:tcW w:w="5000" w:type="pct"/>
                  <w:gridSpan w:val="4"/>
                  <w:tcBorders>
                    <w:tl2br w:val="nil"/>
                    <w:tr2bl w:val="nil"/>
                  </w:tcBorders>
                  <w:shd w:val="clear" w:color="auto" w:fill="D7D7D7" w:themeFill="background1" w:themeFillShade="D8"/>
                  <w:vAlign w:val="center"/>
                </w:tcPr>
                <w:p w14:paraId="13ECA053">
                  <w:pPr>
                    <w:jc w:val="both"/>
                    <w:rPr>
                      <w:rFonts w:hint="eastAsia" w:eastAsiaTheme="minorEastAsia"/>
                      <w:color w:val="auto"/>
                      <w:sz w:val="18"/>
                      <w:szCs w:val="18"/>
                      <w:lang w:val="en-US" w:eastAsia="zh-CN"/>
                    </w:rPr>
                  </w:pPr>
                  <w:r>
                    <w:rPr>
                      <w:rFonts w:hint="eastAsia" w:eastAsiaTheme="minorEastAsia"/>
                      <w:b/>
                      <w:bCs/>
                      <w:color w:val="auto"/>
                      <w:sz w:val="18"/>
                      <w:szCs w:val="18"/>
                    </w:rPr>
                    <w:t>二十六、橡胶和塑料制品业 29</w:t>
                  </w:r>
                </w:p>
              </w:tc>
            </w:tr>
            <w:tr w14:paraId="0A3042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97" w:hRule="atLeast"/>
              </w:trPr>
              <w:tc>
                <w:tcPr>
                  <w:tcW w:w="2004" w:type="pct"/>
                  <w:tcBorders>
                    <w:tl2br w:val="nil"/>
                    <w:tr2bl w:val="nil"/>
                  </w:tcBorders>
                  <w:vAlign w:val="center"/>
                </w:tcPr>
                <w:p w14:paraId="394800AB">
                  <w:pPr>
                    <w:rPr>
                      <w:rFonts w:hint="eastAsia" w:eastAsiaTheme="minorEastAsia"/>
                      <w:color w:val="auto"/>
                      <w:sz w:val="18"/>
                      <w:szCs w:val="18"/>
                      <w:lang w:val="en-US" w:eastAsia="zh-CN"/>
                    </w:rPr>
                  </w:pPr>
                  <w:r>
                    <w:rPr>
                      <w:rFonts w:hint="eastAsia" w:eastAsiaTheme="minorEastAsia"/>
                      <w:color w:val="auto"/>
                      <w:sz w:val="18"/>
                      <w:szCs w:val="18"/>
                      <w:lang w:val="en-US" w:eastAsia="zh-CN"/>
                    </w:rPr>
                    <w:t>53、</w:t>
                  </w:r>
                  <w:r>
                    <w:rPr>
                      <w:rFonts w:hint="eastAsia" w:eastAsiaTheme="minorEastAsia"/>
                      <w:color w:val="auto"/>
                      <w:sz w:val="18"/>
                      <w:szCs w:val="18"/>
                    </w:rPr>
                    <w:t>塑料制品业292</w:t>
                  </w:r>
                </w:p>
              </w:tc>
              <w:tc>
                <w:tcPr>
                  <w:tcW w:w="1248" w:type="pct"/>
                  <w:tcBorders>
                    <w:tl2br w:val="nil"/>
                    <w:tr2bl w:val="nil"/>
                  </w:tcBorders>
                  <w:vAlign w:val="center"/>
                </w:tcPr>
                <w:p w14:paraId="2D06C98B">
                  <w:pPr>
                    <w:rPr>
                      <w:rFonts w:hint="eastAsia" w:eastAsiaTheme="minorEastAsia"/>
                      <w:color w:val="auto"/>
                      <w:sz w:val="18"/>
                      <w:szCs w:val="18"/>
                      <w:lang w:val="en-US" w:eastAsia="zh-CN"/>
                    </w:rPr>
                  </w:pPr>
                  <w:r>
                    <w:rPr>
                      <w:rFonts w:hint="eastAsia" w:eastAsiaTheme="minorEastAsia"/>
                      <w:color w:val="auto"/>
                      <w:sz w:val="18"/>
                      <w:szCs w:val="18"/>
                    </w:rPr>
                    <w:t>以再生塑料为原料生产的；有电镀工艺的；年用溶剂型胶粘剂10吨及以上的；年用溶剂型涂料（含稀释剂）10吨及以上的</w:t>
                  </w:r>
                </w:p>
              </w:tc>
              <w:tc>
                <w:tcPr>
                  <w:tcW w:w="1317" w:type="pct"/>
                  <w:tcBorders>
                    <w:tl2br w:val="nil"/>
                    <w:tr2bl w:val="nil"/>
                  </w:tcBorders>
                  <w:shd w:val="clear" w:color="auto" w:fill="D7D7D7"/>
                  <w:vAlign w:val="center"/>
                </w:tcPr>
                <w:p w14:paraId="7C907B9A">
                  <w:pPr>
                    <w:rPr>
                      <w:rFonts w:hint="eastAsia" w:eastAsiaTheme="minorEastAsia"/>
                      <w:color w:val="auto"/>
                      <w:sz w:val="18"/>
                      <w:szCs w:val="18"/>
                      <w:lang w:val="en-US" w:eastAsia="zh-CN"/>
                    </w:rPr>
                  </w:pPr>
                  <w:r>
                    <w:rPr>
                      <w:rFonts w:hint="eastAsia" w:eastAsiaTheme="minorEastAsia"/>
                      <w:color w:val="auto"/>
                      <w:sz w:val="18"/>
                      <w:szCs w:val="18"/>
                    </w:rPr>
                    <w:t>其他（年用非溶剂型低VOCs含量涂料10吨以下的除外）</w:t>
                  </w:r>
                </w:p>
              </w:tc>
              <w:tc>
                <w:tcPr>
                  <w:tcW w:w="430" w:type="pct"/>
                  <w:tcBorders>
                    <w:tl2br w:val="nil"/>
                    <w:tr2bl w:val="nil"/>
                  </w:tcBorders>
                  <w:vAlign w:val="center"/>
                </w:tcPr>
                <w:p w14:paraId="23AF1B5D">
                  <w:pPr>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w:t>
                  </w:r>
                </w:p>
              </w:tc>
            </w:tr>
            <w:tr w14:paraId="5093E6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5000" w:type="pct"/>
                  <w:gridSpan w:val="4"/>
                  <w:tcBorders>
                    <w:tl2br w:val="nil"/>
                    <w:tr2bl w:val="nil"/>
                  </w:tcBorders>
                  <w:shd w:val="clear" w:color="auto" w:fill="D7D7D7"/>
                  <w:vAlign w:val="center"/>
                </w:tcPr>
                <w:p w14:paraId="2A3F6C77">
                  <w:pPr>
                    <w:rPr>
                      <w:rFonts w:ascii="Times New Roman" w:hAnsi="Times New Roman" w:cs="Times New Roman" w:eastAsiaTheme="minorEastAsia"/>
                      <w:color w:val="auto"/>
                      <w:kern w:val="2"/>
                      <w:sz w:val="18"/>
                      <w:szCs w:val="18"/>
                      <w:lang w:val="en-US" w:eastAsia="zh-CN" w:bidi="ar-SA"/>
                    </w:rPr>
                  </w:pPr>
                  <w:r>
                    <w:rPr>
                      <w:rFonts w:hAnsiTheme="minorEastAsia" w:eastAsiaTheme="minorEastAsia"/>
                      <w:b/>
                      <w:bCs/>
                      <w:color w:val="auto"/>
                      <w:sz w:val="18"/>
                      <w:szCs w:val="18"/>
                    </w:rPr>
                    <w:t>三十、</w:t>
                  </w:r>
                  <w:r>
                    <w:rPr>
                      <w:rFonts w:hint="eastAsia" w:hAnsiTheme="minorEastAsia" w:eastAsiaTheme="minorEastAsia"/>
                      <w:b/>
                      <w:bCs/>
                      <w:color w:val="auto"/>
                      <w:sz w:val="18"/>
                      <w:szCs w:val="18"/>
                    </w:rPr>
                    <w:t>金属制品业33</w:t>
                  </w:r>
                </w:p>
              </w:tc>
            </w:tr>
            <w:tr w14:paraId="7698A7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2004" w:type="pct"/>
                  <w:tcBorders>
                    <w:tl2br w:val="nil"/>
                    <w:tr2bl w:val="nil"/>
                  </w:tcBorders>
                  <w:shd w:val="clear" w:color="auto" w:fill="auto"/>
                  <w:vAlign w:val="center"/>
                </w:tcPr>
                <w:p w14:paraId="1E4CAFD4">
                  <w:pPr>
                    <w:rPr>
                      <w:rFonts w:hint="eastAsia"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66、</w:t>
                  </w:r>
                  <w:r>
                    <w:rPr>
                      <w:rFonts w:hint="eastAsia" w:eastAsiaTheme="minorEastAsia"/>
                      <w:color w:val="auto"/>
                      <w:sz w:val="18"/>
                      <w:szCs w:val="18"/>
                    </w:rPr>
                    <w:t>结构性金属制品制造331；金属工具制造332；集装箱及金属包装容器制造333；金属丝绳及其制品制造334；建筑、安全用金属制品制造335；搪瓷制品制造337；金属制日用品制造338</w:t>
                  </w:r>
                </w:p>
              </w:tc>
              <w:tc>
                <w:tcPr>
                  <w:tcW w:w="1248" w:type="pct"/>
                  <w:tcBorders>
                    <w:tl2br w:val="nil"/>
                    <w:tr2bl w:val="nil"/>
                  </w:tcBorders>
                  <w:shd w:val="clear" w:color="auto" w:fill="auto"/>
                  <w:vAlign w:val="center"/>
                </w:tcPr>
                <w:p w14:paraId="127F07AB">
                  <w:pPr>
                    <w:rPr>
                      <w:rFonts w:hint="eastAsia"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rPr>
                    <w:t>有电镀工艺的；年用溶剂型涂料（含稀释剂）10吨及以上的</w:t>
                  </w:r>
                </w:p>
              </w:tc>
              <w:tc>
                <w:tcPr>
                  <w:tcW w:w="1317" w:type="pct"/>
                  <w:tcBorders>
                    <w:tl2br w:val="nil"/>
                    <w:tr2bl w:val="nil"/>
                  </w:tcBorders>
                  <w:shd w:val="clear" w:color="auto" w:fill="D7D7D7"/>
                  <w:vAlign w:val="center"/>
                </w:tcPr>
                <w:p w14:paraId="737FBF17">
                  <w:pPr>
                    <w:rPr>
                      <w:rFonts w:hint="eastAsia"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rPr>
                    <w:t>其他（仅分割、焊接、组装的除外；年用非溶剂型低VOCs含量涂料10吨以下的除外）</w:t>
                  </w:r>
                </w:p>
              </w:tc>
              <w:tc>
                <w:tcPr>
                  <w:tcW w:w="430" w:type="pct"/>
                  <w:tcBorders>
                    <w:tl2br w:val="nil"/>
                    <w:tr2bl w:val="nil"/>
                  </w:tcBorders>
                  <w:shd w:val="clear" w:color="auto" w:fill="auto"/>
                  <w:vAlign w:val="center"/>
                </w:tcPr>
                <w:p w14:paraId="29B3B674">
                  <w:pPr>
                    <w:jc w:val="center"/>
                    <w:rPr>
                      <w:rFonts w:ascii="Times New Roman" w:hAnsi="Times New Roman" w:cs="Times New Roman" w:eastAsiaTheme="minorEastAsia"/>
                      <w:color w:val="auto"/>
                      <w:kern w:val="2"/>
                      <w:sz w:val="18"/>
                      <w:szCs w:val="18"/>
                      <w:lang w:val="en-US" w:eastAsia="zh-CN" w:bidi="ar-SA"/>
                    </w:rPr>
                  </w:pPr>
                  <w:r>
                    <w:rPr>
                      <w:rFonts w:eastAsiaTheme="minorEastAsia"/>
                      <w:color w:val="auto"/>
                      <w:sz w:val="18"/>
                      <w:szCs w:val="18"/>
                    </w:rPr>
                    <w:t>/</w:t>
                  </w:r>
                </w:p>
              </w:tc>
            </w:tr>
            <w:tr w14:paraId="1360EA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2004" w:type="pct"/>
                  <w:tcBorders>
                    <w:tl2br w:val="nil"/>
                    <w:tr2bl w:val="nil"/>
                  </w:tcBorders>
                  <w:vAlign w:val="center"/>
                </w:tcPr>
                <w:p w14:paraId="7825C1B2">
                  <w:pPr>
                    <w:jc w:val="left"/>
                    <w:rPr>
                      <w:rFonts w:hint="eastAsia" w:eastAsiaTheme="minorEastAsia"/>
                      <w:color w:val="auto"/>
                      <w:sz w:val="18"/>
                      <w:szCs w:val="18"/>
                      <w:lang w:val="en-US" w:eastAsia="zh-CN"/>
                    </w:rPr>
                  </w:pPr>
                  <w:r>
                    <w:rPr>
                      <w:rFonts w:hint="eastAsia" w:eastAsiaTheme="minorEastAsia"/>
                      <w:color w:val="auto"/>
                      <w:sz w:val="18"/>
                      <w:szCs w:val="18"/>
                      <w:lang w:val="en-US" w:eastAsia="zh-CN"/>
                    </w:rPr>
                    <w:t>67、金属表面处理及热处理加工</w:t>
                  </w:r>
                </w:p>
              </w:tc>
              <w:tc>
                <w:tcPr>
                  <w:tcW w:w="1248" w:type="pct"/>
                  <w:tcBorders>
                    <w:tl2br w:val="nil"/>
                    <w:tr2bl w:val="nil"/>
                  </w:tcBorders>
                  <w:vAlign w:val="center"/>
                </w:tcPr>
                <w:p w14:paraId="0E4BC06F">
                  <w:pPr>
                    <w:rPr>
                      <w:rFonts w:hint="eastAsia" w:eastAsiaTheme="minorEastAsia"/>
                      <w:color w:val="auto"/>
                      <w:sz w:val="18"/>
                      <w:szCs w:val="18"/>
                    </w:rPr>
                  </w:pPr>
                  <w:r>
                    <w:rPr>
                      <w:rFonts w:hint="eastAsia" w:eastAsiaTheme="minorEastAsia"/>
                      <w:color w:val="auto"/>
                      <w:sz w:val="18"/>
                      <w:szCs w:val="18"/>
                    </w:rPr>
                    <w:t>有电镀工艺的；有钝化工艺的热镀锌；使用有机涂层的（喷粉、喷塑、浸塑和电泳除外；年用溶剂型涂料（含稀释剂）10吨以下和用非溶剂型低VOCs含量涂料的除外）</w:t>
                  </w:r>
                </w:p>
              </w:tc>
              <w:tc>
                <w:tcPr>
                  <w:tcW w:w="1317" w:type="pct"/>
                  <w:tcBorders>
                    <w:tl2br w:val="nil"/>
                    <w:tr2bl w:val="nil"/>
                  </w:tcBorders>
                  <w:shd w:val="clear" w:color="auto" w:fill="D7D7D7"/>
                  <w:vAlign w:val="center"/>
                </w:tcPr>
                <w:p w14:paraId="6B9B3822">
                  <w:pPr>
                    <w:rPr>
                      <w:rFonts w:hint="eastAsia" w:eastAsiaTheme="minorEastAsia"/>
                      <w:color w:val="auto"/>
                      <w:sz w:val="18"/>
                      <w:szCs w:val="18"/>
                    </w:rPr>
                  </w:pPr>
                  <w:r>
                    <w:rPr>
                      <w:rFonts w:hint="eastAsia" w:eastAsiaTheme="minorEastAsia"/>
                      <w:color w:val="auto"/>
                      <w:sz w:val="18"/>
                      <w:szCs w:val="18"/>
                    </w:rPr>
                    <w:t>其他（年用非溶剂型低VOCs含量涂料10吨以下的除外）</w:t>
                  </w:r>
                </w:p>
              </w:tc>
              <w:tc>
                <w:tcPr>
                  <w:tcW w:w="430" w:type="pct"/>
                  <w:tcBorders>
                    <w:tl2br w:val="nil"/>
                    <w:tr2bl w:val="nil"/>
                  </w:tcBorders>
                  <w:vAlign w:val="center"/>
                </w:tcPr>
                <w:p w14:paraId="22204874">
                  <w:pPr>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w:t>
                  </w:r>
                </w:p>
              </w:tc>
            </w:tr>
            <w:tr w14:paraId="6A0B3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2004" w:type="pct"/>
                  <w:tcBorders>
                    <w:tl2br w:val="nil"/>
                    <w:tr2bl w:val="nil"/>
                  </w:tcBorders>
                  <w:shd w:val="clear" w:color="auto" w:fill="auto"/>
                  <w:vAlign w:val="center"/>
                </w:tcPr>
                <w:p w14:paraId="5CDF828F">
                  <w:pPr>
                    <w:rPr>
                      <w:rFonts w:hint="eastAsia" w:ascii="Times New Roman" w:hAnsi="Times New Roman" w:cs="Times New Roman" w:eastAsiaTheme="minorEastAsia"/>
                      <w:color w:val="auto"/>
                      <w:kern w:val="2"/>
                      <w:sz w:val="18"/>
                      <w:szCs w:val="18"/>
                      <w:lang w:val="en-US" w:eastAsia="zh-CN" w:bidi="ar-SA"/>
                    </w:rPr>
                  </w:pPr>
                  <w:r>
                    <w:rPr>
                      <w:rFonts w:hint="eastAsia"/>
                      <w:color w:val="auto"/>
                      <w:sz w:val="18"/>
                      <w:szCs w:val="18"/>
                      <w:lang w:val="en-US" w:eastAsia="zh-CN"/>
                    </w:rPr>
                    <w:t>68、</w:t>
                  </w:r>
                  <w:r>
                    <w:rPr>
                      <w:rFonts w:hint="eastAsia"/>
                      <w:color w:val="auto"/>
                      <w:sz w:val="18"/>
                      <w:szCs w:val="18"/>
                    </w:rPr>
                    <w:t>铸造及其他金属制品制造339</w:t>
                  </w:r>
                </w:p>
              </w:tc>
              <w:tc>
                <w:tcPr>
                  <w:tcW w:w="1248" w:type="pct"/>
                  <w:tcBorders>
                    <w:tl2br w:val="nil"/>
                    <w:tr2bl w:val="nil"/>
                  </w:tcBorders>
                  <w:shd w:val="clear" w:color="auto" w:fill="auto"/>
                  <w:vAlign w:val="center"/>
                </w:tcPr>
                <w:p w14:paraId="4253C139">
                  <w:pPr>
                    <w:rPr>
                      <w:rFonts w:hint="eastAsia" w:ascii="Times New Roman" w:hAnsi="Times New Roman" w:cs="Times New Roman" w:eastAsiaTheme="minorEastAsia"/>
                      <w:color w:val="auto"/>
                      <w:kern w:val="2"/>
                      <w:sz w:val="18"/>
                      <w:szCs w:val="18"/>
                      <w:lang w:val="en-US" w:eastAsia="zh-CN" w:bidi="ar-SA"/>
                    </w:rPr>
                  </w:pPr>
                  <w:r>
                    <w:rPr>
                      <w:rFonts w:hint="eastAsia"/>
                      <w:color w:val="auto"/>
                      <w:sz w:val="18"/>
                      <w:szCs w:val="18"/>
                    </w:rPr>
                    <w:t>黑色金属铸造年产10万吨及以上的；有色金属铸造年产10万吨及以上的</w:t>
                  </w:r>
                </w:p>
              </w:tc>
              <w:tc>
                <w:tcPr>
                  <w:tcW w:w="1317" w:type="pct"/>
                  <w:tcBorders>
                    <w:tl2br w:val="nil"/>
                    <w:tr2bl w:val="nil"/>
                  </w:tcBorders>
                  <w:shd w:val="clear" w:color="auto" w:fill="D7D7D7"/>
                  <w:vAlign w:val="center"/>
                </w:tcPr>
                <w:p w14:paraId="6FD38E52">
                  <w:pPr>
                    <w:rPr>
                      <w:rFonts w:hint="eastAsia" w:ascii="Times New Roman" w:hAnsi="Times New Roman" w:cs="Times New Roman" w:eastAsiaTheme="minorEastAsia"/>
                      <w:color w:val="auto"/>
                      <w:kern w:val="2"/>
                      <w:sz w:val="18"/>
                      <w:szCs w:val="18"/>
                      <w:lang w:val="en-US" w:eastAsia="zh-CN" w:bidi="ar-SA"/>
                    </w:rPr>
                  </w:pPr>
                  <w:r>
                    <w:rPr>
                      <w:rFonts w:hint="eastAsia"/>
                      <w:color w:val="auto"/>
                      <w:sz w:val="18"/>
                      <w:szCs w:val="18"/>
                    </w:rPr>
                    <w:t>其他（仅分割、焊接、组装的除外）</w:t>
                  </w:r>
                </w:p>
              </w:tc>
              <w:tc>
                <w:tcPr>
                  <w:tcW w:w="430" w:type="pct"/>
                  <w:tcBorders>
                    <w:tl2br w:val="nil"/>
                    <w:tr2bl w:val="nil"/>
                  </w:tcBorders>
                  <w:vAlign w:val="center"/>
                </w:tcPr>
                <w:p w14:paraId="4834643B">
                  <w:pPr>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w:t>
                  </w:r>
                </w:p>
              </w:tc>
            </w:tr>
            <w:tr w14:paraId="23E5EF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2004" w:type="pct"/>
                  <w:tcBorders>
                    <w:tl2br w:val="nil"/>
                    <w:tr2bl w:val="nil"/>
                  </w:tcBorders>
                  <w:shd w:val="clear" w:color="auto" w:fill="auto"/>
                  <w:vAlign w:val="center"/>
                </w:tcPr>
                <w:p w14:paraId="2083879E">
                  <w:pPr>
                    <w:rPr>
                      <w:rFonts w:hint="default"/>
                      <w:color w:val="auto"/>
                      <w:sz w:val="18"/>
                      <w:szCs w:val="18"/>
                      <w:lang w:val="en-US" w:eastAsia="zh-CN"/>
                    </w:rPr>
                  </w:pPr>
                  <w:r>
                    <w:rPr>
                      <w:rFonts w:hint="eastAsia"/>
                      <w:color w:val="auto"/>
                      <w:sz w:val="18"/>
                      <w:szCs w:val="18"/>
                      <w:lang w:val="en-US" w:eastAsia="zh-CN"/>
                    </w:rPr>
                    <w:t>69、锅炉及原动设备制造341；金属加工机械制造342；物料搬运设备制造343；泵、阀门、压缩机及类似机械制造344；轴承、齿轮和传动部件制造345；烘炉、风机、包装等设备制造346；文化、办公用机械制造347；通用零部件制造348；其他通用设备制造业349</w:t>
                  </w:r>
                </w:p>
              </w:tc>
              <w:tc>
                <w:tcPr>
                  <w:tcW w:w="1248" w:type="pct"/>
                  <w:tcBorders>
                    <w:tl2br w:val="nil"/>
                    <w:tr2bl w:val="nil"/>
                  </w:tcBorders>
                  <w:shd w:val="clear" w:color="auto" w:fill="auto"/>
                  <w:vAlign w:val="center"/>
                </w:tcPr>
                <w:p w14:paraId="591E5946">
                  <w:pPr>
                    <w:rPr>
                      <w:rFonts w:hint="eastAsia"/>
                      <w:color w:val="auto"/>
                      <w:sz w:val="18"/>
                      <w:szCs w:val="18"/>
                    </w:rPr>
                  </w:pPr>
                  <w:r>
                    <w:rPr>
                      <w:rFonts w:hint="eastAsia"/>
                      <w:color w:val="auto"/>
                      <w:sz w:val="18"/>
                      <w:szCs w:val="18"/>
                    </w:rPr>
                    <w:t>有电镀工艺的；年用溶剂型涂料（含稀释剂）10吨及以上的</w:t>
                  </w:r>
                </w:p>
              </w:tc>
              <w:tc>
                <w:tcPr>
                  <w:tcW w:w="1317" w:type="pct"/>
                  <w:tcBorders>
                    <w:tl2br w:val="nil"/>
                    <w:tr2bl w:val="nil"/>
                  </w:tcBorders>
                  <w:shd w:val="clear" w:color="auto" w:fill="D7D7D7"/>
                  <w:vAlign w:val="center"/>
                </w:tcPr>
                <w:p w14:paraId="27A1C00B">
                  <w:pPr>
                    <w:rPr>
                      <w:rFonts w:hint="eastAsia"/>
                      <w:color w:val="auto"/>
                      <w:sz w:val="18"/>
                      <w:szCs w:val="18"/>
                    </w:rPr>
                  </w:pPr>
                  <w:r>
                    <w:rPr>
                      <w:rFonts w:hint="eastAsia"/>
                      <w:color w:val="auto"/>
                      <w:sz w:val="18"/>
                      <w:szCs w:val="18"/>
                    </w:rPr>
                    <w:t>其他（仅分割、焊接、组装的除外；年用非溶剂型低VOCs含量涂料10吨以下的除外）</w:t>
                  </w:r>
                </w:p>
              </w:tc>
              <w:tc>
                <w:tcPr>
                  <w:tcW w:w="430" w:type="pct"/>
                  <w:tcBorders>
                    <w:tl2br w:val="nil"/>
                    <w:tr2bl w:val="nil"/>
                  </w:tcBorders>
                  <w:vAlign w:val="center"/>
                </w:tcPr>
                <w:p w14:paraId="2F771809">
                  <w:pPr>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w:t>
                  </w:r>
                </w:p>
              </w:tc>
            </w:tr>
            <w:tr w14:paraId="751715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5000" w:type="pct"/>
                  <w:gridSpan w:val="4"/>
                  <w:tcBorders>
                    <w:tl2br w:val="nil"/>
                    <w:tr2bl w:val="nil"/>
                  </w:tcBorders>
                  <w:shd w:val="clear" w:color="auto" w:fill="D7D7D7" w:themeFill="background1" w:themeFillShade="D8"/>
                  <w:vAlign w:val="center"/>
                </w:tcPr>
                <w:p w14:paraId="3E9B9D3A">
                  <w:pPr>
                    <w:jc w:val="both"/>
                    <w:rPr>
                      <w:rFonts w:hint="eastAsia" w:eastAsiaTheme="minorEastAsia"/>
                      <w:color w:val="auto"/>
                      <w:sz w:val="18"/>
                      <w:szCs w:val="18"/>
                      <w:lang w:val="en-US" w:eastAsia="zh-CN"/>
                    </w:rPr>
                  </w:pPr>
                  <w:r>
                    <w:rPr>
                      <w:rFonts w:hint="eastAsia" w:eastAsiaTheme="minorEastAsia"/>
                      <w:b/>
                      <w:bCs/>
                      <w:color w:val="auto"/>
                      <w:sz w:val="18"/>
                      <w:szCs w:val="18"/>
                      <w:lang w:val="en-US" w:eastAsia="zh-CN"/>
                    </w:rPr>
                    <w:t>三十二、专用设备制造业</w:t>
                  </w:r>
                </w:p>
              </w:tc>
            </w:tr>
            <w:tr w14:paraId="31F7FA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2004" w:type="pct"/>
                  <w:tcBorders>
                    <w:tl2br w:val="nil"/>
                    <w:tr2bl w:val="nil"/>
                  </w:tcBorders>
                  <w:shd w:val="clear" w:color="auto" w:fill="auto"/>
                  <w:vAlign w:val="center"/>
                </w:tcPr>
                <w:p w14:paraId="16EC97B6">
                  <w:pPr>
                    <w:rPr>
                      <w:rFonts w:hint="eastAsia"/>
                      <w:color w:val="auto"/>
                      <w:sz w:val="18"/>
                      <w:szCs w:val="18"/>
                      <w:lang w:val="en-US" w:eastAsia="zh-CN"/>
                    </w:rPr>
                  </w:pPr>
                  <w:r>
                    <w:rPr>
                      <w:rFonts w:hint="eastAsia"/>
                      <w:color w:val="auto"/>
                      <w:sz w:val="18"/>
                      <w:szCs w:val="18"/>
                      <w:lang w:val="en-US" w:eastAsia="zh-CN"/>
                    </w:rPr>
                    <w:t>70、采矿、冶金、建筑专用设备制造351；化工、木材、非金属加工专用设备制造352；食品、饮料、烟草及饲料生产专用设备制造353；印刷、制药、日化及日用品生产专用设备制造354；纺织、服装和皮革加工专用设备制造355；电子和电工机械专用设备制造356；农、林、牧、渔专用机械制造357；医疗仪器设备及器械制造358；环保、邮政、社会公共服务及其他专用设备制造359</w:t>
                  </w:r>
                </w:p>
              </w:tc>
              <w:tc>
                <w:tcPr>
                  <w:tcW w:w="1248" w:type="pct"/>
                  <w:tcBorders>
                    <w:tl2br w:val="nil"/>
                    <w:tr2bl w:val="nil"/>
                  </w:tcBorders>
                  <w:shd w:val="clear" w:color="auto" w:fill="auto"/>
                  <w:vAlign w:val="center"/>
                </w:tcPr>
                <w:p w14:paraId="49CBB30B">
                  <w:pPr>
                    <w:rPr>
                      <w:rFonts w:hint="eastAsia"/>
                      <w:color w:val="auto"/>
                      <w:sz w:val="18"/>
                      <w:szCs w:val="18"/>
                    </w:rPr>
                  </w:pPr>
                  <w:r>
                    <w:rPr>
                      <w:rFonts w:hint="eastAsia"/>
                      <w:color w:val="auto"/>
                      <w:sz w:val="18"/>
                      <w:szCs w:val="18"/>
                    </w:rPr>
                    <w:t>有电镀工艺的；年用溶剂型涂料（含稀释剂）10吨及以上的</w:t>
                  </w:r>
                </w:p>
              </w:tc>
              <w:tc>
                <w:tcPr>
                  <w:tcW w:w="1317" w:type="pct"/>
                  <w:tcBorders>
                    <w:tl2br w:val="nil"/>
                    <w:tr2bl w:val="nil"/>
                  </w:tcBorders>
                  <w:shd w:val="clear" w:color="auto" w:fill="D7D7D7"/>
                  <w:vAlign w:val="center"/>
                </w:tcPr>
                <w:p w14:paraId="0275B3B5">
                  <w:pPr>
                    <w:rPr>
                      <w:rFonts w:hint="eastAsia"/>
                      <w:color w:val="auto"/>
                      <w:sz w:val="18"/>
                      <w:szCs w:val="18"/>
                    </w:rPr>
                  </w:pPr>
                  <w:r>
                    <w:rPr>
                      <w:rFonts w:hint="eastAsia"/>
                      <w:color w:val="auto"/>
                      <w:sz w:val="18"/>
                      <w:szCs w:val="18"/>
                    </w:rPr>
                    <w:t>其他（仅分割、焊接、组装的除外；年用非溶剂型低VOCs含量涂料10吨以下的除外）</w:t>
                  </w:r>
                </w:p>
              </w:tc>
              <w:tc>
                <w:tcPr>
                  <w:tcW w:w="430" w:type="pct"/>
                  <w:tcBorders>
                    <w:tl2br w:val="nil"/>
                    <w:tr2bl w:val="nil"/>
                  </w:tcBorders>
                  <w:vAlign w:val="center"/>
                </w:tcPr>
                <w:p w14:paraId="7BC4CA5B">
                  <w:pPr>
                    <w:jc w:val="center"/>
                    <w:rPr>
                      <w:rFonts w:hint="eastAsia" w:eastAsiaTheme="minorEastAsia"/>
                      <w:color w:val="auto"/>
                      <w:sz w:val="18"/>
                      <w:szCs w:val="18"/>
                      <w:lang w:val="en-US" w:eastAsia="zh-CN"/>
                    </w:rPr>
                  </w:pPr>
                </w:p>
              </w:tc>
            </w:tr>
            <w:tr w14:paraId="110F04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5000" w:type="pct"/>
                  <w:gridSpan w:val="4"/>
                  <w:tcBorders>
                    <w:tl2br w:val="nil"/>
                    <w:tr2bl w:val="nil"/>
                  </w:tcBorders>
                  <w:shd w:val="clear" w:color="auto" w:fill="FFFFFF" w:themeFill="background1"/>
                  <w:vAlign w:val="center"/>
                </w:tcPr>
                <w:p w14:paraId="6CB027C2">
                  <w:pPr>
                    <w:jc w:val="both"/>
                    <w:rPr>
                      <w:rFonts w:eastAsiaTheme="minorEastAsia"/>
                      <w:b/>
                      <w:bCs/>
                      <w:color w:val="auto"/>
                      <w:sz w:val="18"/>
                      <w:szCs w:val="18"/>
                    </w:rPr>
                  </w:pPr>
                  <w:r>
                    <w:rPr>
                      <w:rFonts w:hint="eastAsia" w:eastAsiaTheme="minorEastAsia"/>
                      <w:b/>
                      <w:bCs/>
                      <w:color w:val="auto"/>
                      <w:sz w:val="18"/>
                      <w:szCs w:val="18"/>
                    </w:rPr>
                    <w:t>四十一、电力、热力生产和供应业</w:t>
                  </w:r>
                </w:p>
              </w:tc>
            </w:tr>
            <w:tr w14:paraId="2D1DAA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340" w:hRule="atLeast"/>
              </w:trPr>
              <w:tc>
                <w:tcPr>
                  <w:tcW w:w="2004" w:type="pct"/>
                  <w:tcBorders>
                    <w:tl2br w:val="nil"/>
                    <w:tr2bl w:val="nil"/>
                  </w:tcBorders>
                  <w:vAlign w:val="center"/>
                </w:tcPr>
                <w:p w14:paraId="54A84A53">
                  <w:pPr>
                    <w:rPr>
                      <w:rFonts w:hint="eastAsia"/>
                      <w:color w:val="auto"/>
                      <w:sz w:val="18"/>
                      <w:szCs w:val="18"/>
                      <w:lang w:val="en-US" w:eastAsia="zh-CN"/>
                    </w:rPr>
                  </w:pPr>
                  <w:r>
                    <w:rPr>
                      <w:rFonts w:hint="eastAsia"/>
                      <w:color w:val="auto"/>
                      <w:sz w:val="18"/>
                      <w:szCs w:val="18"/>
                      <w:lang w:val="en-US" w:eastAsia="zh-CN"/>
                    </w:rPr>
                    <w:t>91、热力生产和供应工程（包括建设单位自建自用的供热工程）</w:t>
                  </w:r>
                </w:p>
              </w:tc>
              <w:tc>
                <w:tcPr>
                  <w:tcW w:w="1248" w:type="pct"/>
                  <w:tcBorders>
                    <w:tl2br w:val="nil"/>
                    <w:tr2bl w:val="nil"/>
                  </w:tcBorders>
                  <w:vAlign w:val="center"/>
                </w:tcPr>
                <w:p w14:paraId="365B5574">
                  <w:pPr>
                    <w:rPr>
                      <w:rFonts w:hint="eastAsia"/>
                      <w:color w:val="auto"/>
                      <w:sz w:val="18"/>
                      <w:szCs w:val="18"/>
                    </w:rPr>
                  </w:pPr>
                  <w:r>
                    <w:rPr>
                      <w:rFonts w:hint="eastAsia"/>
                      <w:color w:val="auto"/>
                      <w:sz w:val="18"/>
                      <w:szCs w:val="18"/>
                    </w:rPr>
                    <w:t>燃煤、燃油锅炉总容量65吨/小时（45.5兆瓦）以上的</w:t>
                  </w:r>
                </w:p>
              </w:tc>
              <w:tc>
                <w:tcPr>
                  <w:tcW w:w="1317" w:type="pct"/>
                  <w:tcBorders>
                    <w:tl2br w:val="nil"/>
                    <w:tr2bl w:val="nil"/>
                  </w:tcBorders>
                  <w:shd w:val="clear" w:color="auto" w:fill="FFFFFF" w:themeFill="background1"/>
                  <w:vAlign w:val="center"/>
                </w:tcPr>
                <w:p w14:paraId="7B026131">
                  <w:pPr>
                    <w:rPr>
                      <w:rFonts w:hint="eastAsia"/>
                      <w:color w:val="auto"/>
                      <w:sz w:val="18"/>
                      <w:szCs w:val="18"/>
                    </w:rPr>
                  </w:pPr>
                  <w:r>
                    <w:rPr>
                      <w:rFonts w:hint="eastAsia"/>
                      <w:color w:val="auto"/>
                      <w:sz w:val="18"/>
                      <w:szCs w:val="18"/>
                    </w:rPr>
                    <w:t>燃煤、燃油锅炉总容量65吨/小时（45.5兆瓦）及以下的；天然气锅炉总容量1吨/小时（0.7兆瓦）以上的；使用其他高污染燃料的（高污染燃料指国环规定大气〔2017〕2号《高污染燃料目录》中规定的燃料）</w:t>
                  </w:r>
                </w:p>
              </w:tc>
              <w:tc>
                <w:tcPr>
                  <w:tcW w:w="430" w:type="pct"/>
                  <w:tcBorders>
                    <w:tl2br w:val="nil"/>
                    <w:tr2bl w:val="nil"/>
                  </w:tcBorders>
                  <w:vAlign w:val="center"/>
                </w:tcPr>
                <w:p w14:paraId="4AA10BC9">
                  <w:pPr>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w:t>
                  </w:r>
                </w:p>
              </w:tc>
            </w:tr>
          </w:tbl>
          <w:p w14:paraId="4E703469">
            <w:pPr>
              <w:adjustRightInd w:val="0"/>
              <w:snapToGrid w:val="0"/>
              <w:spacing w:before="120" w:beforeLines="50" w:line="360" w:lineRule="auto"/>
              <w:ind w:firstLine="480" w:firstLineChars="200"/>
              <w:rPr>
                <w:rFonts w:hint="eastAsia"/>
                <w:color w:val="auto"/>
                <w:sz w:val="24"/>
                <w:szCs w:val="24"/>
              </w:rPr>
            </w:pPr>
            <w:r>
              <w:rPr>
                <w:rFonts w:hint="eastAsia"/>
                <w:color w:val="auto"/>
                <w:sz w:val="24"/>
                <w:szCs w:val="24"/>
              </w:rPr>
              <w:t>为此，</w:t>
            </w:r>
            <w:r>
              <w:rPr>
                <w:rFonts w:hint="eastAsia"/>
                <w:color w:val="auto"/>
                <w:sz w:val="24"/>
                <w:szCs w:val="24"/>
                <w:lang w:eastAsia="zh-CN"/>
              </w:rPr>
              <w:t>福建省福胜智能制造有限公司</w:t>
            </w:r>
            <w:r>
              <w:rPr>
                <w:rFonts w:hint="eastAsia"/>
                <w:color w:val="auto"/>
                <w:sz w:val="24"/>
                <w:szCs w:val="24"/>
              </w:rPr>
              <w:t>委托我公司承担该建设项目的环境影响评价工作。我公司接受委托后，对周围环境进行了实地勘查和相关资料的收集、核实与分析工作，在此基础上，按照《建设项目环境影响报告表编制技术指南（污染影响类）（试行）》等规范的要求，编制了本建设项目环境影响报告表。</w:t>
            </w:r>
          </w:p>
          <w:p w14:paraId="4F913C33">
            <w:pPr>
              <w:pStyle w:val="4"/>
              <w:keepNext w:val="0"/>
              <w:keepLines w:val="0"/>
              <w:spacing w:before="120" w:beforeLines="50" w:after="0" w:line="360" w:lineRule="auto"/>
              <w:rPr>
                <w:rFonts w:eastAsiaTheme="minorEastAsia"/>
                <w:bCs w:val="0"/>
                <w:color w:val="auto"/>
                <w:sz w:val="24"/>
                <w:szCs w:val="24"/>
              </w:rPr>
            </w:pPr>
            <w:bookmarkStart w:id="10" w:name="_Toc16748"/>
            <w:bookmarkStart w:id="11" w:name="_Toc103525216"/>
            <w:bookmarkStart w:id="12" w:name="_Toc103869761"/>
            <w:r>
              <w:rPr>
                <w:rFonts w:hint="eastAsia" w:eastAsiaTheme="minorEastAsia"/>
                <w:bCs w:val="0"/>
                <w:color w:val="auto"/>
                <w:sz w:val="24"/>
                <w:szCs w:val="24"/>
                <w:lang w:val="en-US" w:eastAsia="zh-CN"/>
              </w:rPr>
              <w:t>2</w:t>
            </w:r>
            <w:r>
              <w:rPr>
                <w:rFonts w:hint="eastAsia" w:eastAsiaTheme="minorEastAsia"/>
                <w:bCs w:val="0"/>
                <w:color w:val="auto"/>
                <w:sz w:val="24"/>
                <w:szCs w:val="24"/>
                <w:lang w:eastAsia="zh-CN"/>
              </w:rPr>
              <w:t>、</w:t>
            </w:r>
            <w:r>
              <w:rPr>
                <w:rFonts w:hAnsiTheme="minorEastAsia" w:eastAsiaTheme="minorEastAsia"/>
                <w:bCs w:val="0"/>
                <w:color w:val="auto"/>
                <w:sz w:val="24"/>
                <w:szCs w:val="24"/>
              </w:rPr>
              <w:t>工程概况</w:t>
            </w:r>
            <w:bookmarkEnd w:id="10"/>
            <w:bookmarkEnd w:id="11"/>
            <w:bookmarkEnd w:id="12"/>
          </w:p>
          <w:p w14:paraId="4730F594">
            <w:pPr>
              <w:pStyle w:val="5"/>
              <w:keepNext w:val="0"/>
              <w:spacing w:line="360" w:lineRule="auto"/>
              <w:ind w:firstLine="482" w:firstLineChars="200"/>
              <w:rPr>
                <w:rFonts w:eastAsiaTheme="minorEastAsia"/>
                <w:b/>
                <w:bCs/>
                <w:color w:val="auto"/>
                <w:sz w:val="24"/>
                <w:szCs w:val="24"/>
              </w:rPr>
            </w:pPr>
            <w:r>
              <w:rPr>
                <w:rFonts w:hAnsiTheme="minorEastAsia" w:eastAsiaTheme="minorEastAsia"/>
                <w:b/>
                <w:bCs/>
                <w:color w:val="auto"/>
                <w:sz w:val="24"/>
                <w:szCs w:val="24"/>
              </w:rPr>
              <w:t>（</w:t>
            </w:r>
            <w:r>
              <w:rPr>
                <w:rFonts w:eastAsiaTheme="minorEastAsia"/>
                <w:b/>
                <w:bCs/>
                <w:color w:val="auto"/>
                <w:sz w:val="24"/>
                <w:szCs w:val="24"/>
              </w:rPr>
              <w:t>1</w:t>
            </w:r>
            <w:r>
              <w:rPr>
                <w:rFonts w:hAnsiTheme="minorEastAsia" w:eastAsiaTheme="minorEastAsia"/>
                <w:b/>
                <w:bCs/>
                <w:color w:val="auto"/>
                <w:sz w:val="24"/>
                <w:szCs w:val="24"/>
              </w:rPr>
              <w:t>）工程概况</w:t>
            </w:r>
          </w:p>
          <w:p w14:paraId="035887E4">
            <w:pPr>
              <w:snapToGrid w:val="0"/>
              <w:spacing w:line="360" w:lineRule="auto"/>
              <w:ind w:firstLine="480" w:firstLineChars="200"/>
              <w:rPr>
                <w:rFonts w:hint="default" w:eastAsiaTheme="minorEastAsia"/>
                <w:color w:val="auto"/>
                <w:sz w:val="24"/>
                <w:szCs w:val="24"/>
                <w:lang w:val="en-US" w:eastAsia="zh-CN"/>
              </w:rPr>
            </w:pPr>
            <w:r>
              <w:rPr>
                <w:rFonts w:hAnsiTheme="minorEastAsia" w:eastAsiaTheme="minorEastAsia"/>
                <w:color w:val="auto"/>
                <w:sz w:val="24"/>
                <w:szCs w:val="24"/>
              </w:rPr>
              <w:t>项目名称：</w:t>
            </w:r>
            <w:r>
              <w:rPr>
                <w:rFonts w:hint="eastAsia" w:eastAsiaTheme="minorEastAsia"/>
                <w:color w:val="auto"/>
                <w:sz w:val="24"/>
                <w:szCs w:val="24"/>
                <w:lang w:eastAsia="zh-CN"/>
              </w:rPr>
              <w:t>大田福胜精密铸件生产及机械加工项目（重新报批）</w:t>
            </w:r>
          </w:p>
          <w:p w14:paraId="6025E651">
            <w:pPr>
              <w:snapToGrid w:val="0"/>
              <w:spacing w:line="360" w:lineRule="auto"/>
              <w:ind w:firstLine="480" w:firstLineChars="200"/>
              <w:rPr>
                <w:rFonts w:hint="eastAsia" w:eastAsiaTheme="minorEastAsia"/>
                <w:color w:val="auto"/>
                <w:sz w:val="24"/>
                <w:szCs w:val="24"/>
                <w:lang w:eastAsia="zh-CN"/>
              </w:rPr>
            </w:pPr>
            <w:r>
              <w:rPr>
                <w:rFonts w:hAnsiTheme="minorEastAsia" w:eastAsiaTheme="minorEastAsia"/>
                <w:color w:val="auto"/>
                <w:sz w:val="24"/>
                <w:szCs w:val="24"/>
              </w:rPr>
              <w:t>建设单位：</w:t>
            </w:r>
            <w:r>
              <w:rPr>
                <w:rFonts w:hint="eastAsia" w:eastAsiaTheme="minorEastAsia"/>
                <w:color w:val="auto"/>
                <w:sz w:val="24"/>
                <w:szCs w:val="24"/>
                <w:lang w:eastAsia="zh-CN"/>
              </w:rPr>
              <w:t>福建省福胜智能制造有限公司</w:t>
            </w:r>
          </w:p>
          <w:p w14:paraId="44B153BF">
            <w:pPr>
              <w:pStyle w:val="137"/>
              <w:ind w:firstLine="480"/>
              <w:rPr>
                <w:color w:val="auto"/>
                <w:kern w:val="21"/>
                <w:sz w:val="24"/>
                <w:szCs w:val="24"/>
              </w:rPr>
            </w:pPr>
            <w:r>
              <w:rPr>
                <w:rFonts w:hint="eastAsia"/>
                <w:snapToGrid w:val="0"/>
                <w:color w:val="auto"/>
                <w:sz w:val="24"/>
                <w:szCs w:val="24"/>
              </w:rPr>
              <w:t>建设单位</w:t>
            </w:r>
            <w:r>
              <w:rPr>
                <w:rFonts w:hint="eastAsia"/>
                <w:snapToGrid w:val="0"/>
                <w:color w:val="auto"/>
                <w:sz w:val="24"/>
                <w:szCs w:val="24"/>
                <w:lang w:val="en-US" w:eastAsia="zh-CN"/>
              </w:rPr>
              <w:t>统一社会</w:t>
            </w:r>
            <w:r>
              <w:rPr>
                <w:rFonts w:hint="eastAsia"/>
                <w:snapToGrid w:val="0"/>
                <w:color w:val="auto"/>
                <w:sz w:val="24"/>
                <w:szCs w:val="24"/>
              </w:rPr>
              <w:t>信用代码：</w:t>
            </w:r>
            <w:r>
              <w:rPr>
                <w:color w:val="auto"/>
                <w:kern w:val="21"/>
                <w:sz w:val="24"/>
                <w:szCs w:val="24"/>
              </w:rPr>
              <w:t>91350425MA8T1WF06R</w:t>
            </w:r>
          </w:p>
          <w:p w14:paraId="279188B1">
            <w:pPr>
              <w:pStyle w:val="137"/>
              <w:ind w:firstLine="480"/>
              <w:rPr>
                <w:rFonts w:eastAsiaTheme="minorEastAsia"/>
                <w:color w:val="auto"/>
                <w:kern w:val="2"/>
                <w:sz w:val="24"/>
                <w:szCs w:val="24"/>
              </w:rPr>
            </w:pPr>
            <w:r>
              <w:rPr>
                <w:rFonts w:hAnsiTheme="minorEastAsia" w:eastAsiaTheme="minorEastAsia"/>
                <w:color w:val="auto"/>
                <w:kern w:val="2"/>
                <w:sz w:val="24"/>
                <w:szCs w:val="24"/>
              </w:rPr>
              <w:t>建设地点：</w:t>
            </w:r>
            <w:r>
              <w:rPr>
                <w:rFonts w:hint="eastAsia" w:eastAsiaTheme="minorEastAsia"/>
                <w:color w:val="auto"/>
                <w:sz w:val="24"/>
                <w:szCs w:val="24"/>
                <w:lang w:eastAsia="zh-CN"/>
              </w:rPr>
              <w:t>福建（大田）机械铸造产业集聚区</w:t>
            </w:r>
            <w:r>
              <w:rPr>
                <w:rFonts w:hint="eastAsia"/>
                <w:color w:val="auto"/>
                <w:kern w:val="0"/>
                <w:sz w:val="24"/>
              </w:rPr>
              <w:t>15号宗地</w:t>
            </w:r>
            <w:r>
              <w:rPr>
                <w:rFonts w:hAnsiTheme="minorEastAsia" w:eastAsiaTheme="minorEastAsia"/>
                <w:color w:val="auto"/>
                <w:kern w:val="2"/>
                <w:sz w:val="24"/>
                <w:szCs w:val="24"/>
              </w:rPr>
              <w:t>，见附图</w:t>
            </w:r>
            <w:r>
              <w:rPr>
                <w:rFonts w:eastAsiaTheme="minorEastAsia"/>
                <w:color w:val="auto"/>
                <w:kern w:val="2"/>
                <w:sz w:val="24"/>
                <w:szCs w:val="24"/>
              </w:rPr>
              <w:t>1</w:t>
            </w:r>
          </w:p>
          <w:p w14:paraId="35B804B8">
            <w:pPr>
              <w:snapToGrid w:val="0"/>
              <w:spacing w:line="360" w:lineRule="auto"/>
              <w:ind w:firstLine="480" w:firstLineChars="200"/>
              <w:rPr>
                <w:rFonts w:eastAsiaTheme="minorEastAsia"/>
                <w:color w:val="auto"/>
                <w:sz w:val="24"/>
                <w:szCs w:val="24"/>
              </w:rPr>
            </w:pPr>
            <w:r>
              <w:rPr>
                <w:rFonts w:hAnsiTheme="minorEastAsia" w:eastAsiaTheme="minorEastAsia"/>
                <w:color w:val="auto"/>
                <w:sz w:val="24"/>
                <w:szCs w:val="24"/>
              </w:rPr>
              <w:t>建设性质：</w:t>
            </w:r>
            <w:r>
              <w:rPr>
                <w:rFonts w:hint="eastAsia" w:hAnsiTheme="minorEastAsia" w:eastAsiaTheme="minorEastAsia"/>
                <w:color w:val="auto"/>
                <w:sz w:val="24"/>
                <w:szCs w:val="24"/>
                <w:lang w:val="en-US" w:eastAsia="zh-CN"/>
              </w:rPr>
              <w:t>新建</w:t>
            </w:r>
          </w:p>
          <w:p w14:paraId="6F801081">
            <w:pPr>
              <w:snapToGrid w:val="0"/>
              <w:spacing w:line="360" w:lineRule="auto"/>
              <w:ind w:firstLine="480" w:firstLineChars="200"/>
              <w:rPr>
                <w:rFonts w:hint="default" w:eastAsiaTheme="minorEastAsia"/>
                <w:color w:val="auto"/>
                <w:sz w:val="24"/>
                <w:szCs w:val="24"/>
                <w:lang w:val="en-US" w:eastAsia="zh-CN"/>
              </w:rPr>
            </w:pPr>
            <w:r>
              <w:rPr>
                <w:rFonts w:hAnsiTheme="minorEastAsia" w:eastAsiaTheme="minorEastAsia"/>
                <w:color w:val="auto"/>
                <w:sz w:val="24"/>
                <w:szCs w:val="24"/>
              </w:rPr>
              <w:t>建筑面积：</w:t>
            </w:r>
            <w:r>
              <w:rPr>
                <w:rFonts w:hint="eastAsia" w:hAnsiTheme="minorEastAsia" w:eastAsiaTheme="minorEastAsia"/>
                <w:color w:val="auto"/>
                <w:sz w:val="24"/>
                <w:szCs w:val="24"/>
              </w:rPr>
              <w:t>占地面积为24445.37m</w:t>
            </w:r>
            <w:r>
              <w:rPr>
                <w:rFonts w:hint="eastAsia" w:hAnsiTheme="minorEastAsia" w:eastAsiaTheme="minorEastAsia"/>
                <w:color w:val="auto"/>
                <w:sz w:val="24"/>
                <w:szCs w:val="24"/>
                <w:vertAlign w:val="superscript"/>
              </w:rPr>
              <w:t>2</w:t>
            </w:r>
            <w:r>
              <w:rPr>
                <w:rFonts w:hint="eastAsia" w:hAnsiTheme="minorEastAsia" w:eastAsiaTheme="minorEastAsia"/>
                <w:color w:val="auto"/>
                <w:sz w:val="24"/>
                <w:szCs w:val="24"/>
              </w:rPr>
              <w:t>，总建筑面积约20028.60m</w:t>
            </w:r>
            <w:r>
              <w:rPr>
                <w:rFonts w:hint="eastAsia" w:hAnsiTheme="minorEastAsia" w:eastAsiaTheme="minorEastAsia"/>
                <w:color w:val="auto"/>
                <w:sz w:val="24"/>
                <w:szCs w:val="24"/>
                <w:vertAlign w:val="superscript"/>
              </w:rPr>
              <w:t>2</w:t>
            </w:r>
            <w:r>
              <w:rPr>
                <w:rFonts w:hint="eastAsia" w:hAnsiTheme="minorEastAsia" w:eastAsiaTheme="minorEastAsia"/>
                <w:color w:val="auto"/>
                <w:sz w:val="24"/>
                <w:szCs w:val="24"/>
                <w:lang w:eastAsia="zh-CN"/>
              </w:rPr>
              <w:t>，</w:t>
            </w:r>
            <w:r>
              <w:rPr>
                <w:rFonts w:hint="eastAsia" w:hAnsiTheme="minorEastAsia" w:eastAsiaTheme="minorEastAsia"/>
                <w:color w:val="auto"/>
                <w:sz w:val="24"/>
                <w:szCs w:val="24"/>
                <w:lang w:val="en-US" w:eastAsia="zh-CN"/>
              </w:rPr>
              <w:t>其中1#厂房6589.84</w:t>
            </w:r>
            <w:r>
              <w:rPr>
                <w:rFonts w:hint="eastAsia" w:hAnsiTheme="minorEastAsia" w:eastAsiaTheme="minorEastAsia"/>
                <w:color w:val="auto"/>
                <w:sz w:val="24"/>
                <w:szCs w:val="24"/>
              </w:rPr>
              <w:t>m</w:t>
            </w:r>
            <w:r>
              <w:rPr>
                <w:rFonts w:hint="eastAsia" w:hAnsiTheme="minorEastAsia" w:eastAsiaTheme="minorEastAsia"/>
                <w:color w:val="auto"/>
                <w:sz w:val="24"/>
                <w:szCs w:val="24"/>
                <w:vertAlign w:val="superscript"/>
              </w:rPr>
              <w:t>2</w:t>
            </w:r>
            <w:r>
              <w:rPr>
                <w:rFonts w:hint="eastAsia" w:hAnsiTheme="minorEastAsia" w:eastAsiaTheme="minorEastAsia"/>
                <w:color w:val="auto"/>
                <w:sz w:val="24"/>
                <w:szCs w:val="24"/>
                <w:lang w:val="en-US" w:eastAsia="zh-CN"/>
              </w:rPr>
              <w:t>、2#厂房4110.58</w:t>
            </w:r>
            <w:r>
              <w:rPr>
                <w:rFonts w:hint="eastAsia" w:hAnsiTheme="minorEastAsia" w:eastAsiaTheme="minorEastAsia"/>
                <w:color w:val="auto"/>
                <w:sz w:val="24"/>
                <w:szCs w:val="24"/>
              </w:rPr>
              <w:t>m</w:t>
            </w:r>
            <w:r>
              <w:rPr>
                <w:rFonts w:hint="eastAsia" w:hAnsiTheme="minorEastAsia" w:eastAsiaTheme="minorEastAsia"/>
                <w:color w:val="auto"/>
                <w:sz w:val="24"/>
                <w:szCs w:val="24"/>
                <w:vertAlign w:val="superscript"/>
              </w:rPr>
              <w:t>2</w:t>
            </w:r>
            <w:r>
              <w:rPr>
                <w:rFonts w:hint="eastAsia" w:hAnsiTheme="minorEastAsia" w:eastAsiaTheme="minorEastAsia"/>
                <w:color w:val="auto"/>
                <w:sz w:val="24"/>
                <w:szCs w:val="24"/>
                <w:lang w:val="en-US" w:eastAsia="zh-CN"/>
              </w:rPr>
              <w:t>、3#厂房5452</w:t>
            </w:r>
            <w:r>
              <w:rPr>
                <w:rFonts w:hint="eastAsia" w:hAnsiTheme="minorEastAsia" w:eastAsiaTheme="minorEastAsia"/>
                <w:color w:val="auto"/>
                <w:sz w:val="24"/>
                <w:szCs w:val="24"/>
              </w:rPr>
              <w:t>m</w:t>
            </w:r>
            <w:r>
              <w:rPr>
                <w:rFonts w:hint="eastAsia" w:hAnsiTheme="minorEastAsia" w:eastAsiaTheme="minorEastAsia"/>
                <w:color w:val="auto"/>
                <w:sz w:val="24"/>
                <w:szCs w:val="24"/>
                <w:vertAlign w:val="superscript"/>
              </w:rPr>
              <w:t>2</w:t>
            </w:r>
            <w:r>
              <w:rPr>
                <w:rFonts w:hint="eastAsia" w:hAnsiTheme="minorEastAsia" w:eastAsiaTheme="minorEastAsia"/>
                <w:color w:val="auto"/>
                <w:sz w:val="24"/>
                <w:szCs w:val="24"/>
                <w:lang w:val="en-US" w:eastAsia="zh-CN"/>
              </w:rPr>
              <w:t>，综合楼3876.18</w:t>
            </w:r>
            <w:r>
              <w:rPr>
                <w:rFonts w:hint="eastAsia" w:hAnsiTheme="minorEastAsia" w:eastAsiaTheme="minorEastAsia"/>
                <w:color w:val="auto"/>
                <w:sz w:val="24"/>
                <w:szCs w:val="24"/>
              </w:rPr>
              <w:t>m</w:t>
            </w:r>
            <w:r>
              <w:rPr>
                <w:rFonts w:hint="eastAsia" w:hAnsiTheme="minorEastAsia" w:eastAsiaTheme="minorEastAsia"/>
                <w:color w:val="auto"/>
                <w:sz w:val="24"/>
                <w:szCs w:val="24"/>
                <w:vertAlign w:val="superscript"/>
              </w:rPr>
              <w:t>2</w:t>
            </w:r>
            <w:r>
              <w:rPr>
                <w:rFonts w:hint="eastAsia" w:hAnsiTheme="minorEastAsia" w:eastAsiaTheme="minorEastAsia"/>
                <w:color w:val="auto"/>
                <w:sz w:val="24"/>
                <w:szCs w:val="24"/>
                <w:lang w:val="en-US" w:eastAsia="zh-CN"/>
              </w:rPr>
              <w:t>。</w:t>
            </w:r>
          </w:p>
          <w:p w14:paraId="7FBD2671">
            <w:pPr>
              <w:snapToGrid w:val="0"/>
              <w:spacing w:line="360" w:lineRule="auto"/>
              <w:ind w:firstLine="480" w:firstLineChars="200"/>
              <w:rPr>
                <w:rFonts w:eastAsiaTheme="minorEastAsia"/>
                <w:color w:val="auto"/>
                <w:sz w:val="24"/>
                <w:szCs w:val="24"/>
              </w:rPr>
            </w:pPr>
            <w:r>
              <w:rPr>
                <w:rFonts w:hint="eastAsia" w:hAnsiTheme="minorEastAsia" w:eastAsiaTheme="minorEastAsia"/>
                <w:bCs/>
                <w:color w:val="auto"/>
                <w:sz w:val="24"/>
                <w:szCs w:val="24"/>
                <w:lang w:eastAsia="zh-CN"/>
              </w:rPr>
              <w:t>建设内容及</w:t>
            </w:r>
            <w:r>
              <w:rPr>
                <w:rFonts w:hAnsiTheme="minorEastAsia" w:eastAsiaTheme="minorEastAsia"/>
                <w:bCs/>
                <w:color w:val="auto"/>
                <w:sz w:val="24"/>
                <w:szCs w:val="24"/>
              </w:rPr>
              <w:t>生产规模：</w:t>
            </w:r>
            <w:r>
              <w:rPr>
                <w:rFonts w:hint="eastAsia" w:hAnsiTheme="minorEastAsia" w:eastAsiaTheme="minorEastAsia"/>
                <w:bCs/>
                <w:color w:val="auto"/>
                <w:sz w:val="24"/>
                <w:szCs w:val="24"/>
                <w:lang w:val="en-US" w:eastAsia="zh-CN"/>
              </w:rPr>
              <w:t>项目购置安装0.5吨钢壳磁轭中频炉2套、1吨钢壳磁轭中频炉2套，2吨钢壳磁轭中频炉1套，冷室压铸机3套（配备500kg压铸熔化炉），建设铸造生产线3条（粘土砂铸造生产线、树脂砂铸造生产线、熔模铸造生产线各1条）、压铸生产线1条，建设消防栓箱、消防配件、灭火器生产线各1条。</w:t>
            </w:r>
            <w:r>
              <w:rPr>
                <w:rFonts w:hint="eastAsia" w:eastAsiaTheme="minorEastAsia"/>
                <w:color w:val="auto"/>
                <w:sz w:val="24"/>
                <w:szCs w:val="24"/>
                <w:lang w:eastAsia="zh-CN"/>
              </w:rPr>
              <w:t>年产精密铸件1.</w:t>
            </w:r>
            <w:r>
              <w:rPr>
                <w:rFonts w:hint="eastAsia" w:eastAsiaTheme="minorEastAsia"/>
                <w:color w:val="auto"/>
                <w:sz w:val="24"/>
                <w:szCs w:val="24"/>
                <w:lang w:val="en-US" w:eastAsia="zh-CN"/>
              </w:rPr>
              <w:t>5</w:t>
            </w:r>
            <w:r>
              <w:rPr>
                <w:rFonts w:hint="eastAsia" w:eastAsiaTheme="minorEastAsia"/>
                <w:color w:val="auto"/>
                <w:sz w:val="24"/>
                <w:szCs w:val="24"/>
                <w:lang w:eastAsia="zh-CN"/>
              </w:rPr>
              <w:t>万吨、消防栓箱70万套、消防配件30万件、灭火器200万具。</w:t>
            </w:r>
          </w:p>
          <w:p w14:paraId="05FDE39D">
            <w:pPr>
              <w:snapToGrid w:val="0"/>
              <w:spacing w:line="360" w:lineRule="auto"/>
              <w:ind w:firstLine="480" w:firstLineChars="200"/>
              <w:rPr>
                <w:rFonts w:hint="eastAsia" w:hAnsiTheme="minorEastAsia" w:eastAsiaTheme="minorEastAsia"/>
                <w:color w:val="auto"/>
                <w:sz w:val="24"/>
                <w:szCs w:val="24"/>
              </w:rPr>
            </w:pPr>
            <w:r>
              <w:rPr>
                <w:rFonts w:hAnsiTheme="minorEastAsia" w:eastAsiaTheme="minorEastAsia"/>
                <w:color w:val="auto"/>
                <w:sz w:val="24"/>
                <w:szCs w:val="24"/>
              </w:rPr>
              <w:t>总投资：</w:t>
            </w:r>
            <w:r>
              <w:rPr>
                <w:rFonts w:hint="eastAsia" w:hAnsiTheme="minorEastAsia" w:eastAsiaTheme="minorEastAsia"/>
                <w:color w:val="auto"/>
                <w:sz w:val="24"/>
                <w:szCs w:val="24"/>
              </w:rPr>
              <w:t>53500万元</w:t>
            </w:r>
          </w:p>
          <w:p w14:paraId="53FD7203">
            <w:pPr>
              <w:snapToGrid w:val="0"/>
              <w:spacing w:line="360" w:lineRule="auto"/>
              <w:ind w:firstLine="480" w:firstLineChars="200"/>
              <w:rPr>
                <w:rFonts w:hint="default" w:eastAsia="宋体" w:hAnsiTheme="minorEastAsia"/>
                <w:color w:val="auto"/>
                <w:sz w:val="24"/>
                <w:szCs w:val="24"/>
                <w:lang w:val="en-US" w:eastAsia="zh-CN"/>
              </w:rPr>
            </w:pPr>
            <w:r>
              <w:rPr>
                <w:rFonts w:hint="eastAsia" w:hAnsiTheme="minorEastAsia" w:eastAsiaTheme="minorEastAsia"/>
                <w:color w:val="auto"/>
                <w:sz w:val="24"/>
                <w:szCs w:val="24"/>
              </w:rPr>
              <w:t>劳动定员：新增职工</w:t>
            </w:r>
            <w:r>
              <w:rPr>
                <w:rFonts w:hint="eastAsia" w:hAnsiTheme="minorEastAsia" w:eastAsiaTheme="minorEastAsia"/>
                <w:color w:val="auto"/>
                <w:sz w:val="24"/>
                <w:szCs w:val="24"/>
                <w:lang w:val="en-US" w:eastAsia="zh-CN"/>
              </w:rPr>
              <w:t>150</w:t>
            </w:r>
            <w:r>
              <w:rPr>
                <w:rFonts w:hint="eastAsia" w:hAnsiTheme="minorEastAsia" w:eastAsiaTheme="minorEastAsia"/>
                <w:color w:val="auto"/>
                <w:sz w:val="24"/>
                <w:szCs w:val="24"/>
              </w:rPr>
              <w:t>人，</w:t>
            </w:r>
            <w:r>
              <w:rPr>
                <w:rFonts w:hint="eastAsia" w:hAnsiTheme="minorEastAsia" w:eastAsiaTheme="minorEastAsia"/>
                <w:color w:val="auto"/>
                <w:sz w:val="24"/>
                <w:szCs w:val="24"/>
                <w:lang w:val="en-US" w:eastAsia="zh-CN"/>
              </w:rPr>
              <w:t>其中100人住宿</w:t>
            </w:r>
          </w:p>
          <w:p w14:paraId="40C73C4F">
            <w:pPr>
              <w:snapToGrid w:val="0"/>
              <w:spacing w:line="360" w:lineRule="auto"/>
              <w:ind w:firstLine="480" w:firstLineChars="200"/>
              <w:rPr>
                <w:rFonts w:hint="eastAsia" w:hAnsiTheme="minorEastAsia" w:eastAsiaTheme="minorEastAsia"/>
                <w:color w:val="auto"/>
                <w:sz w:val="24"/>
                <w:szCs w:val="24"/>
              </w:rPr>
            </w:pPr>
            <w:r>
              <w:rPr>
                <w:rFonts w:hint="eastAsia" w:hAnsiTheme="minorEastAsia" w:eastAsiaTheme="minorEastAsia"/>
                <w:color w:val="auto"/>
                <w:sz w:val="24"/>
                <w:szCs w:val="24"/>
              </w:rPr>
              <w:t>工作制度：年生产300天，日生产3班，每班8小时</w:t>
            </w:r>
          </w:p>
          <w:p w14:paraId="71CEC419">
            <w:pPr>
              <w:pStyle w:val="5"/>
              <w:keepNext w:val="0"/>
              <w:spacing w:line="360" w:lineRule="auto"/>
              <w:ind w:firstLine="482" w:firstLineChars="200"/>
              <w:rPr>
                <w:rFonts w:eastAsiaTheme="minorEastAsia"/>
                <w:b/>
                <w:bCs/>
                <w:color w:val="auto"/>
                <w:sz w:val="24"/>
                <w:szCs w:val="24"/>
              </w:rPr>
            </w:pPr>
            <w:r>
              <w:rPr>
                <w:rFonts w:hAnsiTheme="minorEastAsia" w:eastAsiaTheme="minorEastAsia"/>
                <w:b/>
                <w:bCs/>
                <w:color w:val="auto"/>
                <w:sz w:val="24"/>
                <w:szCs w:val="24"/>
              </w:rPr>
              <w:t>（</w:t>
            </w:r>
            <w:r>
              <w:rPr>
                <w:rFonts w:eastAsiaTheme="minorEastAsia"/>
                <w:b/>
                <w:bCs/>
                <w:color w:val="auto"/>
                <w:sz w:val="24"/>
                <w:szCs w:val="24"/>
              </w:rPr>
              <w:t>2</w:t>
            </w:r>
            <w:r>
              <w:rPr>
                <w:rFonts w:hAnsiTheme="minorEastAsia" w:eastAsiaTheme="minorEastAsia"/>
                <w:b/>
                <w:bCs/>
                <w:color w:val="auto"/>
                <w:sz w:val="24"/>
                <w:szCs w:val="24"/>
              </w:rPr>
              <w:t>）产品方案</w:t>
            </w:r>
          </w:p>
          <w:p w14:paraId="7A15861F">
            <w:pPr>
              <w:pStyle w:val="37"/>
              <w:spacing w:line="360" w:lineRule="auto"/>
              <w:ind w:firstLine="480" w:firstLineChars="200"/>
              <w:rPr>
                <w:rFonts w:ascii="Times New Roman" w:hAnsiTheme="minorEastAsia" w:eastAsiaTheme="minorEastAsia"/>
                <w:color w:val="auto"/>
                <w:sz w:val="24"/>
                <w:szCs w:val="24"/>
              </w:rPr>
            </w:pPr>
            <w:r>
              <w:rPr>
                <w:rFonts w:hint="eastAsia" w:ascii="Times New Roman" w:hAnsiTheme="minorEastAsia" w:eastAsiaTheme="minorEastAsia"/>
                <w:color w:val="auto"/>
                <w:sz w:val="24"/>
                <w:szCs w:val="24"/>
              </w:rPr>
              <w:t>全厂</w:t>
            </w:r>
            <w:r>
              <w:rPr>
                <w:rFonts w:ascii="Times New Roman" w:hAnsiTheme="minorEastAsia" w:eastAsiaTheme="minorEastAsia"/>
                <w:color w:val="auto"/>
                <w:sz w:val="24"/>
                <w:szCs w:val="24"/>
              </w:rPr>
              <w:t>产品方案见表</w:t>
            </w:r>
            <w:r>
              <w:rPr>
                <w:rFonts w:ascii="Times New Roman" w:eastAsiaTheme="minorEastAsia"/>
                <w:color w:val="auto"/>
                <w:sz w:val="24"/>
                <w:szCs w:val="24"/>
              </w:rPr>
              <w:t>2-</w:t>
            </w:r>
            <w:r>
              <w:rPr>
                <w:rFonts w:hint="eastAsia" w:ascii="Times New Roman" w:eastAsiaTheme="minorEastAsia"/>
                <w:color w:val="auto"/>
                <w:sz w:val="24"/>
                <w:szCs w:val="24"/>
                <w:lang w:val="en-US" w:eastAsia="zh-CN"/>
              </w:rPr>
              <w:t>4</w:t>
            </w:r>
            <w:r>
              <w:rPr>
                <w:rFonts w:ascii="Times New Roman" w:hAnsiTheme="minorEastAsia" w:eastAsiaTheme="minorEastAsia"/>
                <w:color w:val="auto"/>
                <w:sz w:val="24"/>
                <w:szCs w:val="24"/>
              </w:rPr>
              <w:t>。</w:t>
            </w:r>
          </w:p>
          <w:p w14:paraId="5493F26A">
            <w:pPr>
              <w:keepNext w:val="0"/>
              <w:keepLines w:val="0"/>
              <w:pageBreakBefore w:val="0"/>
              <w:widowControl w:val="0"/>
              <w:tabs>
                <w:tab w:val="left" w:pos="5088"/>
              </w:tabs>
              <w:kinsoku/>
              <w:wordWrap/>
              <w:overflowPunct/>
              <w:topLinePunct w:val="0"/>
              <w:autoSpaceDE/>
              <w:autoSpaceDN/>
              <w:bidi w:val="0"/>
              <w:adjustRightInd/>
              <w:snapToGrid/>
              <w:spacing w:line="360" w:lineRule="auto"/>
              <w:jc w:val="center"/>
              <w:textAlignment w:val="auto"/>
              <w:rPr>
                <w:rFonts w:eastAsiaTheme="minorEastAsia"/>
                <w:b/>
                <w:bCs/>
                <w:color w:val="auto"/>
                <w:sz w:val="24"/>
                <w:szCs w:val="24"/>
              </w:rPr>
            </w:pPr>
            <w:r>
              <w:rPr>
                <w:rFonts w:hAnsiTheme="minorEastAsia" w:eastAsiaTheme="minorEastAsia"/>
                <w:b/>
                <w:bCs/>
                <w:color w:val="auto"/>
                <w:sz w:val="24"/>
                <w:szCs w:val="24"/>
              </w:rPr>
              <w:t>表</w:t>
            </w:r>
            <w:r>
              <w:rPr>
                <w:rFonts w:eastAsiaTheme="minorEastAsia"/>
                <w:b/>
                <w:bCs/>
                <w:color w:val="auto"/>
                <w:sz w:val="24"/>
                <w:szCs w:val="24"/>
              </w:rPr>
              <w:t>2-</w:t>
            </w:r>
            <w:r>
              <w:rPr>
                <w:rFonts w:hint="eastAsia" w:eastAsiaTheme="minorEastAsia"/>
                <w:b/>
                <w:bCs/>
                <w:color w:val="auto"/>
                <w:sz w:val="24"/>
                <w:szCs w:val="24"/>
                <w:lang w:val="en-US" w:eastAsia="zh-CN"/>
              </w:rPr>
              <w:t>4</w:t>
            </w:r>
            <w:r>
              <w:rPr>
                <w:rFonts w:eastAsiaTheme="minorEastAsia"/>
                <w:b/>
                <w:bCs/>
                <w:color w:val="auto"/>
                <w:sz w:val="24"/>
                <w:szCs w:val="24"/>
              </w:rPr>
              <w:t xml:space="preserve"> </w:t>
            </w:r>
            <w:r>
              <w:rPr>
                <w:rFonts w:hint="eastAsia" w:eastAsiaTheme="minorEastAsia"/>
                <w:b/>
                <w:bCs/>
                <w:color w:val="auto"/>
                <w:sz w:val="24"/>
                <w:szCs w:val="24"/>
                <w:lang w:val="en-US" w:eastAsia="zh-CN"/>
              </w:rPr>
              <w:t xml:space="preserve"> </w:t>
            </w:r>
            <w:r>
              <w:rPr>
                <w:rFonts w:hAnsiTheme="minorEastAsia" w:eastAsiaTheme="minorEastAsia"/>
                <w:b/>
                <w:bCs/>
                <w:color w:val="auto"/>
                <w:sz w:val="24"/>
                <w:szCs w:val="24"/>
              </w:rPr>
              <w:t>项目产品方案一览表</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941"/>
              <w:gridCol w:w="2045"/>
              <w:gridCol w:w="2071"/>
              <w:gridCol w:w="1754"/>
            </w:tblGrid>
            <w:tr w14:paraId="3AD66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vAlign w:val="center"/>
                </w:tcPr>
                <w:p w14:paraId="10F5107F">
                  <w:pPr>
                    <w:pStyle w:val="37"/>
                    <w:jc w:val="center"/>
                    <w:rPr>
                      <w:rFonts w:ascii="Times New Roman" w:eastAsiaTheme="minorEastAsia"/>
                      <w:b/>
                      <w:bCs/>
                      <w:color w:val="auto"/>
                      <w:sz w:val="21"/>
                      <w:szCs w:val="21"/>
                    </w:rPr>
                  </w:pPr>
                  <w:r>
                    <w:rPr>
                      <w:rFonts w:ascii="Times New Roman" w:hAnsiTheme="minorEastAsia" w:eastAsiaTheme="minorEastAsia"/>
                      <w:b/>
                      <w:bCs/>
                      <w:color w:val="auto"/>
                      <w:sz w:val="21"/>
                      <w:szCs w:val="21"/>
                    </w:rPr>
                    <w:t>产品名称</w:t>
                  </w:r>
                </w:p>
              </w:tc>
              <w:tc>
                <w:tcPr>
                  <w:tcW w:w="550" w:type="pct"/>
                  <w:vAlign w:val="center"/>
                </w:tcPr>
                <w:p w14:paraId="40F893D9">
                  <w:pPr>
                    <w:pStyle w:val="37"/>
                    <w:jc w:val="center"/>
                    <w:rPr>
                      <w:rFonts w:hint="eastAsia" w:ascii="Times New Roman" w:hAnsiTheme="minorEastAsia" w:eastAsiaTheme="minorEastAsia"/>
                      <w:b/>
                      <w:bCs/>
                      <w:color w:val="auto"/>
                      <w:sz w:val="21"/>
                      <w:szCs w:val="21"/>
                    </w:rPr>
                  </w:pPr>
                  <w:r>
                    <w:rPr>
                      <w:rFonts w:hint="eastAsia" w:ascii="Times New Roman" w:hAnsiTheme="minorEastAsia" w:eastAsiaTheme="minorEastAsia"/>
                      <w:b/>
                      <w:bCs/>
                      <w:color w:val="auto"/>
                      <w:sz w:val="21"/>
                      <w:szCs w:val="21"/>
                    </w:rPr>
                    <w:t>单位</w:t>
                  </w:r>
                </w:p>
              </w:tc>
              <w:tc>
                <w:tcPr>
                  <w:tcW w:w="1195" w:type="pct"/>
                  <w:vAlign w:val="center"/>
                </w:tcPr>
                <w:p w14:paraId="3E4B03F7">
                  <w:pPr>
                    <w:pStyle w:val="37"/>
                    <w:jc w:val="center"/>
                    <w:rPr>
                      <w:rFonts w:ascii="Times New Roman" w:eastAsiaTheme="minorEastAsia"/>
                      <w:b/>
                      <w:bCs/>
                      <w:color w:val="auto"/>
                      <w:sz w:val="21"/>
                      <w:szCs w:val="21"/>
                    </w:rPr>
                  </w:pPr>
                  <w:r>
                    <w:rPr>
                      <w:rFonts w:hint="eastAsia" w:ascii="Times New Roman" w:hAnsiTheme="minorEastAsia" w:eastAsiaTheme="minorEastAsia"/>
                      <w:b/>
                      <w:bCs/>
                      <w:color w:val="auto"/>
                      <w:sz w:val="21"/>
                      <w:szCs w:val="21"/>
                    </w:rPr>
                    <w:t>原</w:t>
                  </w:r>
                  <w:r>
                    <w:rPr>
                      <w:rFonts w:ascii="Times New Roman" w:hAnsiTheme="minorEastAsia" w:eastAsiaTheme="minorEastAsia"/>
                      <w:b/>
                      <w:bCs/>
                      <w:color w:val="auto"/>
                      <w:sz w:val="21"/>
                      <w:szCs w:val="21"/>
                    </w:rPr>
                    <w:t>环评</w:t>
                  </w:r>
                  <w:r>
                    <w:rPr>
                      <w:rFonts w:hint="eastAsia" w:ascii="Times New Roman" w:hAnsiTheme="minorEastAsia" w:eastAsiaTheme="minorEastAsia"/>
                      <w:b/>
                      <w:bCs/>
                      <w:color w:val="auto"/>
                      <w:sz w:val="21"/>
                      <w:szCs w:val="21"/>
                      <w:lang w:val="en-US" w:eastAsia="zh-CN"/>
                    </w:rPr>
                    <w:t>批复</w:t>
                  </w:r>
                  <w:r>
                    <w:rPr>
                      <w:rFonts w:ascii="Times New Roman" w:hAnsiTheme="minorEastAsia" w:eastAsiaTheme="minorEastAsia"/>
                      <w:b/>
                      <w:bCs/>
                      <w:color w:val="auto"/>
                      <w:sz w:val="21"/>
                      <w:szCs w:val="21"/>
                    </w:rPr>
                    <w:t>规模</w:t>
                  </w:r>
                </w:p>
              </w:tc>
              <w:tc>
                <w:tcPr>
                  <w:tcW w:w="1210" w:type="pct"/>
                  <w:vAlign w:val="center"/>
                </w:tcPr>
                <w:p w14:paraId="0AE0DACE">
                  <w:pPr>
                    <w:pStyle w:val="37"/>
                    <w:jc w:val="center"/>
                    <w:rPr>
                      <w:rFonts w:hint="default" w:ascii="Times New Roman" w:eastAsiaTheme="minorEastAsia"/>
                      <w:b/>
                      <w:bCs/>
                      <w:color w:val="auto"/>
                      <w:sz w:val="21"/>
                      <w:szCs w:val="21"/>
                      <w:lang w:val="en-US" w:eastAsia="zh-CN"/>
                    </w:rPr>
                  </w:pPr>
                  <w:r>
                    <w:rPr>
                      <w:rFonts w:hint="eastAsia" w:ascii="Times New Roman" w:hAnsiTheme="minorEastAsia" w:eastAsiaTheme="minorEastAsia"/>
                      <w:b/>
                      <w:bCs/>
                      <w:color w:val="auto"/>
                      <w:sz w:val="21"/>
                      <w:szCs w:val="21"/>
                      <w:lang w:val="en-US" w:eastAsia="zh-CN"/>
                    </w:rPr>
                    <w:t>本项目生产规模</w:t>
                  </w:r>
                </w:p>
              </w:tc>
              <w:tc>
                <w:tcPr>
                  <w:tcW w:w="1025" w:type="pct"/>
                  <w:tcBorders>
                    <w:left w:val="single" w:color="000000" w:sz="4" w:space="0"/>
                  </w:tcBorders>
                  <w:vAlign w:val="center"/>
                </w:tcPr>
                <w:p w14:paraId="5479069A">
                  <w:pPr>
                    <w:jc w:val="center"/>
                    <w:rPr>
                      <w:rFonts w:eastAsiaTheme="minorEastAsia"/>
                      <w:b/>
                      <w:bCs/>
                      <w:color w:val="auto"/>
                      <w:sz w:val="21"/>
                      <w:szCs w:val="21"/>
                    </w:rPr>
                  </w:pPr>
                  <w:r>
                    <w:rPr>
                      <w:rFonts w:hAnsiTheme="minorEastAsia" w:eastAsiaTheme="minorEastAsia"/>
                      <w:b/>
                      <w:bCs/>
                      <w:color w:val="auto"/>
                      <w:sz w:val="21"/>
                      <w:szCs w:val="21"/>
                    </w:rPr>
                    <w:t>较原环评增减量</w:t>
                  </w:r>
                </w:p>
              </w:tc>
            </w:tr>
            <w:tr w14:paraId="53033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vAlign w:val="center"/>
                </w:tcPr>
                <w:p w14:paraId="7FCD6AB3">
                  <w:pPr>
                    <w:pStyle w:val="80"/>
                    <w:spacing w:before="0" w:after="0" w:line="240" w:lineRule="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eastAsia="zh-CN"/>
                    </w:rPr>
                    <w:t>精密铸件</w:t>
                  </w:r>
                </w:p>
              </w:tc>
              <w:tc>
                <w:tcPr>
                  <w:tcW w:w="550" w:type="pct"/>
                  <w:vAlign w:val="center"/>
                </w:tcPr>
                <w:p w14:paraId="3D972616">
                  <w:pPr>
                    <w:pStyle w:val="80"/>
                    <w:spacing w:before="0" w:after="0" w:line="240" w:lineRule="auto"/>
                    <w:rPr>
                      <w:rFonts w:hint="default" w:eastAsiaTheme="minorEastAsia"/>
                      <w:color w:val="auto"/>
                      <w:sz w:val="21"/>
                      <w:szCs w:val="21"/>
                      <w:lang w:val="en-US" w:eastAsia="zh-CN"/>
                    </w:rPr>
                  </w:pPr>
                  <w:r>
                    <w:rPr>
                      <w:rFonts w:hint="eastAsia" w:cs="Times New Roman" w:eastAsiaTheme="minorEastAsia"/>
                      <w:color w:val="auto"/>
                      <w:sz w:val="21"/>
                      <w:szCs w:val="21"/>
                      <w:lang w:val="en-US" w:eastAsia="zh-CN"/>
                    </w:rPr>
                    <w:t>吨/年</w:t>
                  </w:r>
                </w:p>
              </w:tc>
              <w:tc>
                <w:tcPr>
                  <w:tcW w:w="1195" w:type="pct"/>
                  <w:vAlign w:val="center"/>
                </w:tcPr>
                <w:p w14:paraId="126801F5">
                  <w:pPr>
                    <w:pStyle w:val="80"/>
                    <w:spacing w:before="0" w:after="0" w:line="240" w:lineRule="auto"/>
                    <w:rPr>
                      <w:rFonts w:hint="default" w:eastAsiaTheme="minorEastAsia"/>
                      <w:color w:val="auto"/>
                      <w:sz w:val="21"/>
                      <w:szCs w:val="21"/>
                      <w:lang w:val="en-US" w:eastAsia="zh-CN"/>
                    </w:rPr>
                  </w:pPr>
                  <w:r>
                    <w:rPr>
                      <w:rFonts w:hint="eastAsia" w:eastAsiaTheme="minorEastAsia"/>
                      <w:color w:val="auto"/>
                      <w:sz w:val="21"/>
                      <w:szCs w:val="21"/>
                      <w:lang w:val="en-US" w:eastAsia="zh-CN"/>
                    </w:rPr>
                    <w:t>17000（其中4000用于消防栓箱中水枪头（铸钢件）、报警阀门（铸铁件）生产，13000外售）</w:t>
                  </w:r>
                </w:p>
              </w:tc>
              <w:tc>
                <w:tcPr>
                  <w:tcW w:w="1210" w:type="pct"/>
                  <w:vAlign w:val="center"/>
                </w:tcPr>
                <w:p w14:paraId="6AD67821">
                  <w:pPr>
                    <w:pStyle w:val="80"/>
                    <w:spacing w:before="0" w:after="0" w:line="240" w:lineRule="auto"/>
                    <w:rPr>
                      <w:rFonts w:hint="default" w:eastAsiaTheme="minorEastAsia"/>
                      <w:color w:val="auto"/>
                      <w:sz w:val="21"/>
                      <w:szCs w:val="21"/>
                      <w:lang w:val="en-US"/>
                    </w:rPr>
                  </w:pPr>
                  <w:r>
                    <w:rPr>
                      <w:rFonts w:hint="eastAsia" w:eastAsiaTheme="minorEastAsia"/>
                      <w:color w:val="auto"/>
                      <w:sz w:val="21"/>
                      <w:szCs w:val="21"/>
                      <w:lang w:val="en-US" w:eastAsia="zh-CN"/>
                    </w:rPr>
                    <w:t>15000（3815用于消防栓箱中水枪头（铸钢件）、报警阀门（铸铁件）生产，11185外售）</w:t>
                  </w:r>
                </w:p>
              </w:tc>
              <w:tc>
                <w:tcPr>
                  <w:tcW w:w="1025" w:type="pct"/>
                  <w:tcBorders>
                    <w:left w:val="single" w:color="000000" w:sz="4" w:space="0"/>
                  </w:tcBorders>
                  <w:vAlign w:val="center"/>
                </w:tcPr>
                <w:p w14:paraId="565D2493">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-2000</w:t>
                  </w:r>
                </w:p>
              </w:tc>
            </w:tr>
            <w:tr w14:paraId="6CDBE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vAlign w:val="center"/>
                </w:tcPr>
                <w:p w14:paraId="5DF13468">
                  <w:pPr>
                    <w:pStyle w:val="80"/>
                    <w:spacing w:before="0" w:after="0" w:line="240" w:lineRule="auto"/>
                    <w:rPr>
                      <w:rFonts w:hint="eastAsia" w:ascii="Times New Roman" w:hAnsi="Times New Roman" w:eastAsia="宋体" w:cs="宋体"/>
                      <w:color w:val="auto"/>
                      <w:sz w:val="21"/>
                      <w:szCs w:val="21"/>
                      <w:lang w:eastAsia="zh-CN"/>
                    </w:rPr>
                  </w:pPr>
                  <w:r>
                    <w:rPr>
                      <w:rFonts w:hint="eastAsia" w:ascii="Times New Roman" w:hAnsi="Times New Roman" w:eastAsia="宋体" w:cs="宋体"/>
                      <w:color w:val="auto"/>
                      <w:sz w:val="21"/>
                      <w:szCs w:val="21"/>
                      <w:lang w:eastAsia="zh-CN"/>
                    </w:rPr>
                    <w:t>消防栓箱</w:t>
                  </w:r>
                </w:p>
              </w:tc>
              <w:tc>
                <w:tcPr>
                  <w:tcW w:w="550" w:type="pct"/>
                  <w:vAlign w:val="center"/>
                </w:tcPr>
                <w:p w14:paraId="7BCF88FE">
                  <w:pPr>
                    <w:pStyle w:val="80"/>
                    <w:spacing w:before="0" w:after="0" w:line="240" w:lineRule="auto"/>
                    <w:rPr>
                      <w:rFonts w:hint="default" w:eastAsia="宋体" w:cs="Times New Roman"/>
                      <w:color w:val="auto"/>
                      <w:sz w:val="21"/>
                      <w:szCs w:val="21"/>
                      <w:lang w:val="en-US" w:eastAsia="zh-CN"/>
                    </w:rPr>
                  </w:pPr>
                  <w:r>
                    <w:rPr>
                      <w:rFonts w:hint="eastAsia" w:ascii="Times New Roman" w:hAnsi="Times New Roman"/>
                      <w:color w:val="auto"/>
                      <w:sz w:val="21"/>
                      <w:szCs w:val="21"/>
                    </w:rPr>
                    <w:t>万套</w:t>
                  </w:r>
                  <w:r>
                    <w:rPr>
                      <w:rFonts w:hint="eastAsia" w:ascii="Times New Roman" w:hAnsi="Times New Roman"/>
                      <w:color w:val="auto"/>
                      <w:sz w:val="21"/>
                      <w:szCs w:val="21"/>
                      <w:lang w:val="en-US" w:eastAsia="zh-CN"/>
                    </w:rPr>
                    <w:t>/年</w:t>
                  </w:r>
                </w:p>
              </w:tc>
              <w:tc>
                <w:tcPr>
                  <w:tcW w:w="1195" w:type="pct"/>
                  <w:vAlign w:val="center"/>
                </w:tcPr>
                <w:p w14:paraId="0680DEE0">
                  <w:pPr>
                    <w:pStyle w:val="80"/>
                    <w:spacing w:before="0" w:after="0" w:line="240" w:lineRule="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70</w:t>
                  </w:r>
                </w:p>
              </w:tc>
              <w:tc>
                <w:tcPr>
                  <w:tcW w:w="1210" w:type="pct"/>
                  <w:shd w:val="clear" w:color="auto" w:fill="auto"/>
                  <w:vAlign w:val="center"/>
                </w:tcPr>
                <w:p w14:paraId="27361DCA">
                  <w:pPr>
                    <w:pStyle w:val="80"/>
                    <w:spacing w:before="0" w:after="0" w:line="240" w:lineRule="auto"/>
                    <w:rPr>
                      <w:rFonts w:hint="eastAsia" w:ascii="Times New Roman" w:hAnsi="Times New Roman" w:cs="Times New Roman" w:eastAsiaTheme="minorEastAsia"/>
                      <w:b w:val="0"/>
                      <w:color w:val="auto"/>
                      <w:sz w:val="21"/>
                      <w:szCs w:val="21"/>
                      <w:lang w:val="en-US" w:eastAsia="zh-CN" w:bidi="ar-SA"/>
                    </w:rPr>
                  </w:pPr>
                  <w:r>
                    <w:rPr>
                      <w:rFonts w:hint="eastAsia" w:cs="Times New Roman" w:eastAsiaTheme="minorEastAsia"/>
                      <w:color w:val="auto"/>
                      <w:sz w:val="21"/>
                      <w:szCs w:val="21"/>
                      <w:lang w:val="en-US" w:eastAsia="zh-CN"/>
                    </w:rPr>
                    <w:t>70</w:t>
                  </w:r>
                </w:p>
              </w:tc>
              <w:tc>
                <w:tcPr>
                  <w:tcW w:w="1025" w:type="pct"/>
                  <w:tcBorders>
                    <w:left w:val="single" w:color="000000" w:sz="4" w:space="0"/>
                  </w:tcBorders>
                  <w:vAlign w:val="center"/>
                </w:tcPr>
                <w:p w14:paraId="62EF3D2B">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0</w:t>
                  </w:r>
                </w:p>
              </w:tc>
            </w:tr>
            <w:tr w14:paraId="4043C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vAlign w:val="center"/>
                </w:tcPr>
                <w:p w14:paraId="3E97D799">
                  <w:pPr>
                    <w:pStyle w:val="80"/>
                    <w:spacing w:before="0" w:after="0" w:line="240" w:lineRule="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eastAsia="zh-CN"/>
                    </w:rPr>
                    <w:t>消防配件</w:t>
                  </w:r>
                </w:p>
              </w:tc>
              <w:tc>
                <w:tcPr>
                  <w:tcW w:w="550" w:type="pct"/>
                  <w:vAlign w:val="center"/>
                </w:tcPr>
                <w:p w14:paraId="2BC64598">
                  <w:pPr>
                    <w:pStyle w:val="80"/>
                    <w:spacing w:before="0" w:after="0" w:line="240" w:lineRule="auto"/>
                    <w:rPr>
                      <w:rFonts w:hint="eastAsia" w:eastAsia="宋体" w:cs="Times New Roman"/>
                      <w:color w:val="auto"/>
                      <w:sz w:val="21"/>
                      <w:szCs w:val="21"/>
                      <w:lang w:val="en-US" w:eastAsia="zh-CN"/>
                    </w:rPr>
                  </w:pPr>
                  <w:r>
                    <w:rPr>
                      <w:rFonts w:hint="eastAsia" w:ascii="Times New Roman" w:hAnsi="Times New Roman"/>
                      <w:color w:val="auto"/>
                      <w:sz w:val="21"/>
                      <w:szCs w:val="21"/>
                    </w:rPr>
                    <w:t>万套</w:t>
                  </w:r>
                  <w:r>
                    <w:rPr>
                      <w:rFonts w:hint="eastAsia" w:ascii="Times New Roman" w:hAnsi="Times New Roman"/>
                      <w:color w:val="auto"/>
                      <w:sz w:val="21"/>
                      <w:szCs w:val="21"/>
                      <w:lang w:val="en-US" w:eastAsia="zh-CN"/>
                    </w:rPr>
                    <w:t>/年</w:t>
                  </w:r>
                </w:p>
              </w:tc>
              <w:tc>
                <w:tcPr>
                  <w:tcW w:w="1195" w:type="pct"/>
                  <w:shd w:val="clear" w:color="auto" w:fill="auto"/>
                  <w:vAlign w:val="center"/>
                </w:tcPr>
                <w:p w14:paraId="2BBEF22F">
                  <w:pPr>
                    <w:pStyle w:val="80"/>
                    <w:spacing w:before="0" w:after="0" w:line="240" w:lineRule="auto"/>
                    <w:rPr>
                      <w:rFonts w:hint="default" w:ascii="Times New Roman" w:hAnsi="Times New Roman" w:cs="Times New Roman" w:eastAsiaTheme="minorEastAsia"/>
                      <w:b w:val="0"/>
                      <w:color w:val="auto"/>
                      <w:sz w:val="21"/>
                      <w:szCs w:val="21"/>
                      <w:lang w:val="en-US" w:eastAsia="zh-CN" w:bidi="ar-SA"/>
                    </w:rPr>
                  </w:pPr>
                  <w:r>
                    <w:rPr>
                      <w:rFonts w:hint="eastAsia" w:cs="Times New Roman" w:eastAsiaTheme="minorEastAsia"/>
                      <w:color w:val="auto"/>
                      <w:sz w:val="21"/>
                      <w:szCs w:val="21"/>
                      <w:lang w:val="en-US" w:eastAsia="zh-CN"/>
                    </w:rPr>
                    <w:t>30</w:t>
                  </w:r>
                </w:p>
              </w:tc>
              <w:tc>
                <w:tcPr>
                  <w:tcW w:w="1210" w:type="pct"/>
                  <w:shd w:val="clear" w:color="auto" w:fill="auto"/>
                  <w:vAlign w:val="center"/>
                </w:tcPr>
                <w:p w14:paraId="21BE3B3B">
                  <w:pPr>
                    <w:pStyle w:val="80"/>
                    <w:spacing w:before="0" w:after="0" w:line="240" w:lineRule="auto"/>
                    <w:rPr>
                      <w:rFonts w:hint="eastAsia" w:ascii="Times New Roman" w:hAnsi="Times New Roman" w:cs="Times New Roman" w:eastAsiaTheme="minorEastAsia"/>
                      <w:b w:val="0"/>
                      <w:color w:val="auto"/>
                      <w:sz w:val="21"/>
                      <w:szCs w:val="21"/>
                      <w:lang w:val="en-US" w:eastAsia="zh-CN" w:bidi="ar-SA"/>
                    </w:rPr>
                  </w:pPr>
                  <w:r>
                    <w:rPr>
                      <w:rFonts w:hint="eastAsia" w:cs="Times New Roman" w:eastAsiaTheme="minorEastAsia"/>
                      <w:color w:val="auto"/>
                      <w:sz w:val="21"/>
                      <w:szCs w:val="21"/>
                      <w:lang w:val="en-US" w:eastAsia="zh-CN"/>
                    </w:rPr>
                    <w:t>30</w:t>
                  </w:r>
                </w:p>
              </w:tc>
              <w:tc>
                <w:tcPr>
                  <w:tcW w:w="1025" w:type="pct"/>
                  <w:tcBorders>
                    <w:left w:val="single" w:color="000000" w:sz="4" w:space="0"/>
                  </w:tcBorders>
                  <w:vAlign w:val="center"/>
                </w:tcPr>
                <w:p w14:paraId="436D299C">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0</w:t>
                  </w:r>
                </w:p>
              </w:tc>
            </w:tr>
            <w:tr w14:paraId="34844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vAlign w:val="center"/>
                </w:tcPr>
                <w:p w14:paraId="2E7076D3">
                  <w:pPr>
                    <w:pStyle w:val="80"/>
                    <w:spacing w:before="0" w:after="0" w:line="240" w:lineRule="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eastAsia="zh-CN"/>
                    </w:rPr>
                    <w:t>灭火器</w:t>
                  </w:r>
                </w:p>
              </w:tc>
              <w:tc>
                <w:tcPr>
                  <w:tcW w:w="550" w:type="pct"/>
                  <w:vAlign w:val="center"/>
                </w:tcPr>
                <w:p w14:paraId="20CB1ECA">
                  <w:pPr>
                    <w:pStyle w:val="80"/>
                    <w:spacing w:before="0" w:after="0" w:line="240" w:lineRule="auto"/>
                    <w:rPr>
                      <w:rFonts w:hint="default" w:cs="Times New Roman" w:eastAsiaTheme="minorEastAsia"/>
                      <w:color w:val="auto"/>
                      <w:sz w:val="21"/>
                      <w:szCs w:val="21"/>
                      <w:lang w:val="en-US"/>
                    </w:rPr>
                  </w:pPr>
                  <w:r>
                    <w:rPr>
                      <w:rFonts w:hint="eastAsia" w:ascii="Times New Roman" w:hAnsi="Times New Roman" w:cs="Times New Roman" w:eastAsiaTheme="minorEastAsia"/>
                      <w:color w:val="auto"/>
                      <w:sz w:val="21"/>
                      <w:szCs w:val="21"/>
                      <w:lang w:val="en-US" w:eastAsia="zh-CN"/>
                    </w:rPr>
                    <w:t>万具/年</w:t>
                  </w:r>
                </w:p>
              </w:tc>
              <w:tc>
                <w:tcPr>
                  <w:tcW w:w="1195" w:type="pct"/>
                  <w:vAlign w:val="center"/>
                </w:tcPr>
                <w:p w14:paraId="1DC077EC">
                  <w:pPr>
                    <w:pStyle w:val="80"/>
                    <w:spacing w:before="0" w:after="0" w:line="240" w:lineRule="auto"/>
                    <w:rPr>
                      <w:rFonts w:hint="default" w:ascii="Times New Roman" w:hAnsi="Times New Roman" w:eastAsia="宋体"/>
                      <w:color w:val="auto"/>
                      <w:sz w:val="21"/>
                      <w:szCs w:val="21"/>
                      <w:lang w:val="en-US" w:eastAsia="zh-CN"/>
                    </w:rPr>
                  </w:pPr>
                  <w:r>
                    <w:rPr>
                      <w:rFonts w:hint="eastAsia"/>
                      <w:color w:val="auto"/>
                      <w:sz w:val="21"/>
                      <w:szCs w:val="21"/>
                      <w:lang w:val="en-US" w:eastAsia="zh-CN"/>
                    </w:rPr>
                    <w:t>/</w:t>
                  </w:r>
                </w:p>
              </w:tc>
              <w:tc>
                <w:tcPr>
                  <w:tcW w:w="1210" w:type="pct"/>
                  <w:shd w:val="clear" w:color="auto" w:fill="auto"/>
                  <w:vAlign w:val="center"/>
                </w:tcPr>
                <w:p w14:paraId="5E686BCA">
                  <w:pPr>
                    <w:pStyle w:val="80"/>
                    <w:spacing w:before="0" w:after="0" w:line="240" w:lineRule="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200</w:t>
                  </w:r>
                </w:p>
              </w:tc>
              <w:tc>
                <w:tcPr>
                  <w:tcW w:w="1025" w:type="pct"/>
                  <w:tcBorders>
                    <w:left w:val="single" w:color="000000" w:sz="4" w:space="0"/>
                  </w:tcBorders>
                  <w:vAlign w:val="center"/>
                </w:tcPr>
                <w:p w14:paraId="48BF5316">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200</w:t>
                  </w:r>
                </w:p>
              </w:tc>
            </w:tr>
          </w:tbl>
          <w:p w14:paraId="2CD5A728">
            <w:pPr>
              <w:pStyle w:val="5"/>
              <w:keepNext w:val="0"/>
              <w:spacing w:before="120" w:beforeLines="50" w:line="360" w:lineRule="auto"/>
              <w:ind w:firstLine="482" w:firstLineChars="200"/>
              <w:rPr>
                <w:rFonts w:eastAsiaTheme="minorEastAsia"/>
                <w:b/>
                <w:bCs/>
                <w:color w:val="auto"/>
                <w:sz w:val="24"/>
                <w:szCs w:val="24"/>
              </w:rPr>
            </w:pPr>
            <w:r>
              <w:rPr>
                <w:rFonts w:hAnsiTheme="minorEastAsia" w:eastAsiaTheme="minorEastAsia"/>
                <w:b/>
                <w:bCs/>
                <w:color w:val="auto"/>
                <w:sz w:val="24"/>
                <w:szCs w:val="24"/>
              </w:rPr>
              <w:t>（</w:t>
            </w:r>
            <w:r>
              <w:rPr>
                <w:rFonts w:eastAsiaTheme="minorEastAsia"/>
                <w:b/>
                <w:bCs/>
                <w:color w:val="auto"/>
                <w:sz w:val="24"/>
                <w:szCs w:val="24"/>
              </w:rPr>
              <w:t>3</w:t>
            </w:r>
            <w:r>
              <w:rPr>
                <w:rFonts w:hAnsiTheme="minorEastAsia" w:eastAsiaTheme="minorEastAsia"/>
                <w:b/>
                <w:bCs/>
                <w:color w:val="auto"/>
                <w:sz w:val="24"/>
                <w:szCs w:val="24"/>
              </w:rPr>
              <w:t>）项目组成</w:t>
            </w:r>
          </w:p>
          <w:p w14:paraId="217A61AD">
            <w:pPr>
              <w:adjustRightInd w:val="0"/>
              <w:snapToGrid w:val="0"/>
              <w:spacing w:line="360" w:lineRule="auto"/>
              <w:ind w:firstLine="480" w:firstLineChars="200"/>
              <w:rPr>
                <w:rFonts w:eastAsiaTheme="minorEastAsia"/>
                <w:color w:val="auto"/>
                <w:sz w:val="24"/>
                <w:szCs w:val="24"/>
              </w:rPr>
            </w:pPr>
            <w:r>
              <w:rPr>
                <w:rFonts w:hint="eastAsia" w:hAnsiTheme="minorEastAsia" w:eastAsiaTheme="minorEastAsia"/>
                <w:color w:val="auto"/>
                <w:sz w:val="24"/>
                <w:szCs w:val="24"/>
              </w:rPr>
              <w:t>项目主要建设内容详见下表</w:t>
            </w:r>
            <w:r>
              <w:rPr>
                <w:rFonts w:hAnsiTheme="minorEastAsia" w:eastAsiaTheme="minorEastAsia"/>
                <w:color w:val="auto"/>
                <w:sz w:val="24"/>
                <w:szCs w:val="24"/>
              </w:rPr>
              <w:t>。</w:t>
            </w:r>
          </w:p>
          <w:p w14:paraId="6CB37E5E">
            <w:pPr>
              <w:keepNext w:val="0"/>
              <w:keepLines w:val="0"/>
              <w:pageBreakBefore w:val="0"/>
              <w:widowControl w:val="0"/>
              <w:tabs>
                <w:tab w:val="left" w:pos="5088"/>
              </w:tabs>
              <w:kinsoku/>
              <w:wordWrap/>
              <w:overflowPunct/>
              <w:topLinePunct w:val="0"/>
              <w:autoSpaceDE/>
              <w:autoSpaceDN/>
              <w:bidi w:val="0"/>
              <w:adjustRightInd/>
              <w:snapToGrid/>
              <w:spacing w:line="360" w:lineRule="auto"/>
              <w:jc w:val="center"/>
              <w:textAlignment w:val="auto"/>
              <w:rPr>
                <w:rStyle w:val="36"/>
                <w:rFonts w:eastAsiaTheme="minorEastAsia"/>
                <w:color w:val="auto"/>
                <w:kern w:val="0"/>
                <w:sz w:val="24"/>
                <w:szCs w:val="24"/>
              </w:rPr>
            </w:pPr>
            <w:r>
              <w:rPr>
                <w:rFonts w:hAnsiTheme="minorEastAsia" w:eastAsiaTheme="minorEastAsia"/>
                <w:b/>
                <w:bCs/>
                <w:color w:val="auto"/>
                <w:sz w:val="24"/>
                <w:szCs w:val="24"/>
              </w:rPr>
              <w:t>表</w:t>
            </w:r>
            <w:r>
              <w:rPr>
                <w:rFonts w:eastAsiaTheme="minorEastAsia"/>
                <w:b/>
                <w:bCs/>
                <w:color w:val="auto"/>
                <w:sz w:val="24"/>
                <w:szCs w:val="24"/>
              </w:rPr>
              <w:t>2-</w:t>
            </w:r>
            <w:r>
              <w:rPr>
                <w:rFonts w:hint="eastAsia" w:eastAsiaTheme="minorEastAsia"/>
                <w:b/>
                <w:bCs/>
                <w:color w:val="auto"/>
                <w:sz w:val="24"/>
                <w:szCs w:val="24"/>
                <w:lang w:val="en-US" w:eastAsia="zh-CN"/>
              </w:rPr>
              <w:t>5</w:t>
            </w:r>
            <w:r>
              <w:rPr>
                <w:rFonts w:eastAsiaTheme="minorEastAsia"/>
                <w:b/>
                <w:bCs/>
                <w:color w:val="auto"/>
                <w:sz w:val="24"/>
                <w:szCs w:val="24"/>
              </w:rPr>
              <w:t xml:space="preserve">  </w:t>
            </w:r>
            <w:r>
              <w:rPr>
                <w:rFonts w:hAnsiTheme="minorEastAsia" w:eastAsiaTheme="minorEastAsia"/>
                <w:b/>
                <w:bCs/>
                <w:color w:val="auto"/>
                <w:sz w:val="24"/>
                <w:szCs w:val="24"/>
              </w:rPr>
              <w:t>项目组成一览表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398"/>
              <w:gridCol w:w="796"/>
              <w:gridCol w:w="2951"/>
              <w:gridCol w:w="2586"/>
              <w:gridCol w:w="1827"/>
            </w:tblGrid>
            <w:tr w14:paraId="4BF18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0235B996">
                  <w:pPr>
                    <w:jc w:val="center"/>
                    <w:rPr>
                      <w:rFonts w:eastAsiaTheme="minorEastAsia"/>
                      <w:b/>
                      <w:bCs/>
                      <w:color w:val="auto"/>
                      <w:sz w:val="18"/>
                      <w:szCs w:val="18"/>
                    </w:rPr>
                  </w:pPr>
                  <w:r>
                    <w:rPr>
                      <w:rFonts w:hAnsiTheme="minorEastAsia" w:eastAsiaTheme="minorEastAsia"/>
                      <w:b/>
                      <w:bCs/>
                      <w:color w:val="auto"/>
                      <w:sz w:val="18"/>
                      <w:szCs w:val="18"/>
                    </w:rPr>
                    <w:t>项目组成</w:t>
                  </w:r>
                </w:p>
              </w:tc>
              <w:tc>
                <w:tcPr>
                  <w:tcW w:w="1724" w:type="pct"/>
                  <w:vAlign w:val="center"/>
                </w:tcPr>
                <w:p w14:paraId="7F00044E">
                  <w:pPr>
                    <w:jc w:val="center"/>
                    <w:rPr>
                      <w:rFonts w:hint="default" w:eastAsiaTheme="minorEastAsia"/>
                      <w:b/>
                      <w:bCs/>
                      <w:color w:val="auto"/>
                      <w:sz w:val="18"/>
                      <w:szCs w:val="18"/>
                      <w:lang w:val="en-US" w:eastAsia="zh-CN"/>
                    </w:rPr>
                  </w:pPr>
                  <w:r>
                    <w:rPr>
                      <w:rFonts w:hint="eastAsia" w:ascii="Times New Roman" w:hAnsiTheme="minorEastAsia" w:eastAsiaTheme="minorEastAsia"/>
                      <w:b/>
                      <w:bCs/>
                      <w:color w:val="auto"/>
                      <w:sz w:val="18"/>
                      <w:szCs w:val="18"/>
                    </w:rPr>
                    <w:t>原</w:t>
                  </w:r>
                  <w:r>
                    <w:rPr>
                      <w:rFonts w:ascii="Times New Roman" w:hAnsiTheme="minorEastAsia" w:eastAsiaTheme="minorEastAsia"/>
                      <w:b/>
                      <w:bCs/>
                      <w:color w:val="auto"/>
                      <w:sz w:val="18"/>
                      <w:szCs w:val="18"/>
                    </w:rPr>
                    <w:t>环评</w:t>
                  </w:r>
                  <w:r>
                    <w:rPr>
                      <w:rFonts w:hint="eastAsia" w:hAnsiTheme="minorEastAsia" w:eastAsiaTheme="minorEastAsia"/>
                      <w:b/>
                      <w:bCs/>
                      <w:color w:val="auto"/>
                      <w:sz w:val="18"/>
                      <w:szCs w:val="18"/>
                      <w:lang w:val="en-US" w:eastAsia="zh-CN"/>
                    </w:rPr>
                    <w:t>建设情况</w:t>
                  </w:r>
                </w:p>
              </w:tc>
              <w:tc>
                <w:tcPr>
                  <w:tcW w:w="1510" w:type="pct"/>
                  <w:vAlign w:val="center"/>
                </w:tcPr>
                <w:p w14:paraId="5A99C4C8">
                  <w:pPr>
                    <w:jc w:val="center"/>
                    <w:rPr>
                      <w:rFonts w:hint="default" w:eastAsiaTheme="minorEastAsia"/>
                      <w:b/>
                      <w:bCs/>
                      <w:color w:val="auto"/>
                      <w:sz w:val="18"/>
                      <w:szCs w:val="18"/>
                      <w:lang w:val="en-US"/>
                    </w:rPr>
                  </w:pPr>
                  <w:r>
                    <w:rPr>
                      <w:rFonts w:hint="eastAsia" w:hAnsiTheme="minorEastAsia" w:eastAsiaTheme="minorEastAsia"/>
                      <w:b/>
                      <w:bCs/>
                      <w:color w:val="auto"/>
                      <w:sz w:val="18"/>
                      <w:szCs w:val="18"/>
                      <w:lang w:val="en-US" w:eastAsia="zh-CN"/>
                    </w:rPr>
                    <w:t>本项目建设情况</w:t>
                  </w:r>
                </w:p>
              </w:tc>
              <w:tc>
                <w:tcPr>
                  <w:tcW w:w="1067" w:type="pct"/>
                  <w:vAlign w:val="center"/>
                </w:tcPr>
                <w:p w14:paraId="4FDD5185">
                  <w:pPr>
                    <w:jc w:val="center"/>
                    <w:rPr>
                      <w:rFonts w:eastAsiaTheme="minorEastAsia"/>
                      <w:b/>
                      <w:bCs/>
                      <w:color w:val="auto"/>
                      <w:sz w:val="18"/>
                      <w:szCs w:val="18"/>
                    </w:rPr>
                  </w:pPr>
                  <w:r>
                    <w:rPr>
                      <w:rFonts w:hint="eastAsia" w:hAnsiTheme="minorEastAsia" w:eastAsiaTheme="minorEastAsia"/>
                      <w:b/>
                      <w:bCs/>
                      <w:color w:val="auto"/>
                      <w:sz w:val="18"/>
                      <w:szCs w:val="18"/>
                      <w:lang w:val="en-US" w:eastAsia="zh-CN"/>
                    </w:rPr>
                    <w:t>变化情况</w:t>
                  </w:r>
                </w:p>
              </w:tc>
            </w:tr>
            <w:tr w14:paraId="10096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5000" w:type="pct"/>
                  <w:gridSpan w:val="5"/>
                  <w:vAlign w:val="center"/>
                </w:tcPr>
                <w:p w14:paraId="5DEC11F1">
                  <w:pPr>
                    <w:jc w:val="left"/>
                    <w:rPr>
                      <w:rFonts w:hAnsiTheme="minorEastAsia" w:eastAsiaTheme="minorEastAsia"/>
                      <w:b/>
                      <w:bCs/>
                      <w:color w:val="auto"/>
                      <w:sz w:val="18"/>
                      <w:szCs w:val="18"/>
                    </w:rPr>
                  </w:pPr>
                  <w:r>
                    <w:rPr>
                      <w:rFonts w:hAnsiTheme="minorEastAsia" w:eastAsiaTheme="minorEastAsia"/>
                      <w:b/>
                      <w:bCs/>
                      <w:color w:val="auto"/>
                      <w:sz w:val="18"/>
                      <w:szCs w:val="18"/>
                    </w:rPr>
                    <w:t>一、主体工程</w:t>
                  </w:r>
                </w:p>
              </w:tc>
            </w:tr>
            <w:tr w14:paraId="59688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062A1B1E">
                  <w:pPr>
                    <w:tabs>
                      <w:tab w:val="left" w:pos="5088"/>
                    </w:tabs>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1#厂房</w:t>
                  </w:r>
                </w:p>
                <w:p w14:paraId="72BD3749">
                  <w:pPr>
                    <w:tabs>
                      <w:tab w:val="left" w:pos="5088"/>
                    </w:tabs>
                    <w:jc w:val="center"/>
                    <w:rPr>
                      <w:rFonts w:hint="default" w:eastAsiaTheme="minorEastAsia"/>
                      <w:color w:val="auto"/>
                      <w:sz w:val="18"/>
                      <w:szCs w:val="18"/>
                      <w:lang w:val="en-US"/>
                    </w:rPr>
                  </w:pPr>
                  <w:r>
                    <w:rPr>
                      <w:rFonts w:hint="eastAsia" w:eastAsiaTheme="minorEastAsia"/>
                      <w:color w:val="auto"/>
                      <w:sz w:val="18"/>
                      <w:szCs w:val="18"/>
                      <w:lang w:val="en-US" w:eastAsia="zh-CN"/>
                    </w:rPr>
                    <w:t>（铸造车间）</w:t>
                  </w:r>
                </w:p>
              </w:tc>
              <w:tc>
                <w:tcPr>
                  <w:tcW w:w="1724" w:type="pct"/>
                  <w:vAlign w:val="center"/>
                </w:tcPr>
                <w:p w14:paraId="36958928">
                  <w:pPr>
                    <w:tabs>
                      <w:tab w:val="left" w:pos="5088"/>
                    </w:tabs>
                    <w:jc w:val="center"/>
                    <w:rPr>
                      <w:rFonts w:hint="default" w:eastAsiaTheme="minorEastAsia"/>
                      <w:color w:val="auto"/>
                      <w:sz w:val="18"/>
                      <w:szCs w:val="18"/>
                      <w:lang w:val="en-US" w:eastAsia="zh-CN"/>
                    </w:rPr>
                  </w:pPr>
                  <w:r>
                    <w:rPr>
                      <w:rFonts w:hint="eastAsia"/>
                      <w:color w:val="auto"/>
                      <w:sz w:val="18"/>
                      <w:szCs w:val="18"/>
                      <w:lang w:val="en-US" w:eastAsia="zh-CN"/>
                    </w:rPr>
                    <w:t>1#厂房占地面积约6380m</w:t>
                  </w:r>
                  <w:r>
                    <w:rPr>
                      <w:rFonts w:hint="eastAsia"/>
                      <w:color w:val="auto"/>
                      <w:sz w:val="18"/>
                      <w:szCs w:val="18"/>
                      <w:vertAlign w:val="superscript"/>
                      <w:lang w:val="en-US" w:eastAsia="zh-CN"/>
                    </w:rPr>
                    <w:t>2</w:t>
                  </w:r>
                  <w:r>
                    <w:rPr>
                      <w:rFonts w:hint="eastAsia"/>
                      <w:color w:val="auto"/>
                      <w:sz w:val="18"/>
                      <w:szCs w:val="18"/>
                      <w:lang w:val="en-US" w:eastAsia="zh-CN"/>
                    </w:rPr>
                    <w:t>，建筑面积为</w:t>
                  </w:r>
                  <w:r>
                    <w:rPr>
                      <w:rFonts w:hint="eastAsia" w:hAnsiTheme="minorEastAsia" w:eastAsiaTheme="minorEastAsia"/>
                      <w:color w:val="auto"/>
                      <w:sz w:val="18"/>
                      <w:szCs w:val="18"/>
                      <w:lang w:val="en-US" w:eastAsia="zh-CN"/>
                    </w:rPr>
                    <w:t>6589.84</w:t>
                  </w:r>
                  <w:r>
                    <w:rPr>
                      <w:rFonts w:hint="eastAsia" w:hAnsiTheme="minorEastAsia" w:eastAsiaTheme="minorEastAsia"/>
                      <w:color w:val="auto"/>
                      <w:sz w:val="18"/>
                      <w:szCs w:val="18"/>
                    </w:rPr>
                    <w:t>m</w:t>
                  </w:r>
                  <w:r>
                    <w:rPr>
                      <w:rFonts w:hint="eastAsia" w:hAnsiTheme="minorEastAsia" w:eastAsiaTheme="minorEastAsia"/>
                      <w:color w:val="auto"/>
                      <w:sz w:val="18"/>
                      <w:szCs w:val="18"/>
                      <w:vertAlign w:val="superscript"/>
                    </w:rPr>
                    <w:t>2</w:t>
                  </w:r>
                  <w:r>
                    <w:rPr>
                      <w:rFonts w:hint="eastAsia" w:hAnsiTheme="minorEastAsia" w:eastAsiaTheme="minorEastAsia"/>
                      <w:color w:val="auto"/>
                      <w:sz w:val="18"/>
                      <w:szCs w:val="18"/>
                      <w:vertAlign w:val="baseline"/>
                      <w:lang w:eastAsia="zh-CN"/>
                    </w:rPr>
                    <w:t>，</w:t>
                  </w:r>
                  <w:r>
                    <w:rPr>
                      <w:rFonts w:hint="eastAsia"/>
                      <w:color w:val="auto"/>
                      <w:sz w:val="18"/>
                      <w:szCs w:val="18"/>
                      <w:lang w:val="en-US" w:eastAsia="zh-CN"/>
                    </w:rPr>
                    <w:t>单层的钢结构厂房；拟设置机加工区、喷粉区、熔模铸造区、树脂自硬砂铸造区、粘土砂铸造区、原料区、化学抛光区、污水处理区、危废间、一般固废暂存间等。</w:t>
                  </w:r>
                </w:p>
              </w:tc>
              <w:tc>
                <w:tcPr>
                  <w:tcW w:w="1510" w:type="pct"/>
                  <w:vAlign w:val="center"/>
                </w:tcPr>
                <w:p w14:paraId="4DA37E21">
                  <w:pPr>
                    <w:tabs>
                      <w:tab w:val="left" w:pos="5088"/>
                    </w:tabs>
                    <w:jc w:val="center"/>
                    <w:rPr>
                      <w:rFonts w:hint="default" w:eastAsiaTheme="minorEastAsia"/>
                      <w:color w:val="auto"/>
                      <w:sz w:val="18"/>
                      <w:szCs w:val="18"/>
                      <w:lang w:val="en-US"/>
                    </w:rPr>
                  </w:pPr>
                  <w:r>
                    <w:rPr>
                      <w:rFonts w:hint="eastAsia"/>
                      <w:color w:val="auto"/>
                      <w:sz w:val="18"/>
                      <w:szCs w:val="18"/>
                      <w:lang w:val="en-US" w:eastAsia="zh-CN"/>
                    </w:rPr>
                    <w:t>1#厂房占地面积约6380m</w:t>
                  </w:r>
                  <w:r>
                    <w:rPr>
                      <w:rFonts w:hint="eastAsia"/>
                      <w:color w:val="auto"/>
                      <w:sz w:val="18"/>
                      <w:szCs w:val="18"/>
                      <w:vertAlign w:val="superscript"/>
                      <w:lang w:val="en-US" w:eastAsia="zh-CN"/>
                    </w:rPr>
                    <w:t>2</w:t>
                  </w:r>
                  <w:r>
                    <w:rPr>
                      <w:rFonts w:hint="eastAsia"/>
                      <w:color w:val="auto"/>
                      <w:sz w:val="18"/>
                      <w:szCs w:val="18"/>
                      <w:lang w:val="en-US" w:eastAsia="zh-CN"/>
                    </w:rPr>
                    <w:t>，建筑面积为</w:t>
                  </w:r>
                  <w:r>
                    <w:rPr>
                      <w:rFonts w:hint="eastAsia" w:hAnsiTheme="minorEastAsia" w:eastAsiaTheme="minorEastAsia"/>
                      <w:color w:val="auto"/>
                      <w:sz w:val="18"/>
                      <w:szCs w:val="18"/>
                      <w:lang w:val="en-US" w:eastAsia="zh-CN"/>
                    </w:rPr>
                    <w:t>6589.84</w:t>
                  </w:r>
                  <w:r>
                    <w:rPr>
                      <w:rFonts w:hint="eastAsia" w:hAnsiTheme="minorEastAsia" w:eastAsiaTheme="minorEastAsia"/>
                      <w:color w:val="auto"/>
                      <w:sz w:val="18"/>
                      <w:szCs w:val="18"/>
                    </w:rPr>
                    <w:t>m</w:t>
                  </w:r>
                  <w:r>
                    <w:rPr>
                      <w:rFonts w:hint="eastAsia" w:hAnsiTheme="minorEastAsia" w:eastAsiaTheme="minorEastAsia"/>
                      <w:color w:val="auto"/>
                      <w:sz w:val="18"/>
                      <w:szCs w:val="18"/>
                      <w:vertAlign w:val="superscript"/>
                    </w:rPr>
                    <w:t>2</w:t>
                  </w:r>
                  <w:r>
                    <w:rPr>
                      <w:rFonts w:hint="eastAsia" w:hAnsiTheme="minorEastAsia" w:eastAsiaTheme="minorEastAsia"/>
                      <w:color w:val="auto"/>
                      <w:sz w:val="18"/>
                      <w:szCs w:val="18"/>
                      <w:vertAlign w:val="baseline"/>
                      <w:lang w:eastAsia="zh-CN"/>
                    </w:rPr>
                    <w:t>，</w:t>
                  </w:r>
                  <w:r>
                    <w:rPr>
                      <w:rFonts w:hint="eastAsia"/>
                      <w:color w:val="auto"/>
                      <w:sz w:val="18"/>
                      <w:szCs w:val="18"/>
                      <w:lang w:val="en-US" w:eastAsia="zh-CN"/>
                    </w:rPr>
                    <w:t>单层的钢结构厂房；拟设置机加工区、喷粉区、熔模铸造区、树脂自硬砂铸造区、粘土砂铸造区、原料区。</w:t>
                  </w:r>
                </w:p>
              </w:tc>
              <w:tc>
                <w:tcPr>
                  <w:tcW w:w="1067" w:type="pct"/>
                  <w:vAlign w:val="center"/>
                </w:tcPr>
                <w:p w14:paraId="752E6C6D">
                  <w:pPr>
                    <w:tabs>
                      <w:tab w:val="left" w:pos="5088"/>
                    </w:tabs>
                    <w:jc w:val="center"/>
                    <w:rPr>
                      <w:rFonts w:hint="default" w:eastAsiaTheme="minorEastAsia"/>
                      <w:color w:val="auto"/>
                      <w:sz w:val="18"/>
                      <w:szCs w:val="18"/>
                      <w:lang w:val="en-US" w:eastAsia="zh-CN"/>
                    </w:rPr>
                  </w:pPr>
                  <w:r>
                    <w:rPr>
                      <w:rFonts w:hint="eastAsia"/>
                      <w:color w:val="auto"/>
                      <w:sz w:val="18"/>
                      <w:szCs w:val="18"/>
                      <w:lang w:val="en-US" w:eastAsia="zh-CN"/>
                    </w:rPr>
                    <w:t>减少化学抛光区、污水处理区；危废间、一般固废暂存间设置在2#厂房1F等。</w:t>
                  </w:r>
                </w:p>
              </w:tc>
            </w:tr>
            <w:tr w14:paraId="4DDA9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23D003ED">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2#厂房</w:t>
                  </w:r>
                </w:p>
              </w:tc>
              <w:tc>
                <w:tcPr>
                  <w:tcW w:w="1724" w:type="pct"/>
                  <w:vAlign w:val="center"/>
                </w:tcPr>
                <w:p w14:paraId="4DEC4A90">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2#厂房占地面积约1280m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，4110.58m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，为三层的混凝土框架结构厂房，1F设置成品仓库、2F为组装加工区、3F为原料仓库。</w:t>
                  </w:r>
                </w:p>
              </w:tc>
              <w:tc>
                <w:tcPr>
                  <w:tcW w:w="1510" w:type="pct"/>
                  <w:vAlign w:val="center"/>
                </w:tcPr>
                <w:p w14:paraId="12D10359">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2#厂房占地面积约1280m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，4110.58m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，为三层的混凝土框架结构厂房，1F设置原料仓库、2F~3F为消防栓箱生产线。</w:t>
                  </w:r>
                </w:p>
              </w:tc>
              <w:tc>
                <w:tcPr>
                  <w:tcW w:w="1067" w:type="pct"/>
                  <w:shd w:val="clear" w:color="auto" w:fill="auto"/>
                  <w:vAlign w:val="center"/>
                </w:tcPr>
                <w:p w14:paraId="26D89B03">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highlight w:val="none"/>
                      <w:lang w:val="en-US" w:eastAsia="zh-CN"/>
                    </w:rPr>
                    <w:t>平面布局发生变化</w:t>
                  </w:r>
                </w:p>
              </w:tc>
            </w:tr>
            <w:tr w14:paraId="61B8E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62898284">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3#厂房</w:t>
                  </w:r>
                </w:p>
              </w:tc>
              <w:tc>
                <w:tcPr>
                  <w:tcW w:w="1724" w:type="pct"/>
                  <w:vAlign w:val="center"/>
                </w:tcPr>
                <w:p w14:paraId="0B7FF5EC">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3#厂房占地面积约5452m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，建筑面积5452m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，为单层的钢结构厂房；拟设</w:t>
                  </w:r>
                  <w:r>
                    <w:rPr>
                      <w:rFonts w:hint="eastAsia" w:eastAsiaTheme="minorEastAsia"/>
                      <w:color w:val="auto"/>
                      <w:sz w:val="18"/>
                      <w:szCs w:val="18"/>
                      <w:highlight w:val="none"/>
                      <w:lang w:val="en-US" w:eastAsia="zh-CN"/>
                    </w:rPr>
                    <w:t>置红冲区、压铸区、成品暂存区、组装区、造粒区、挤管区、织带区、衬胶区、拌料区、捻线区等</w:t>
                  </w:r>
                </w:p>
              </w:tc>
              <w:tc>
                <w:tcPr>
                  <w:tcW w:w="1510" w:type="pct"/>
                  <w:vAlign w:val="center"/>
                </w:tcPr>
                <w:p w14:paraId="1B7F9728">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3#厂房占地面积约5452m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，建筑面积5452m</w:t>
                  </w:r>
                  <w:r>
                    <w:rPr>
                      <w:rFonts w:hint="eastAsia" w:eastAsiaTheme="minorEastAsia"/>
                      <w:color w:val="auto"/>
                      <w:sz w:val="18"/>
                      <w:szCs w:val="18"/>
                      <w:vertAlign w:val="superscript"/>
                      <w:lang w:val="en-US" w:eastAsia="zh-CN"/>
                    </w:rPr>
                    <w:t>2</w:t>
                  </w:r>
                  <w:r>
                    <w:rPr>
                      <w:rFonts w:hint="eastAsia" w:eastAsiaTheme="minorEastAsia"/>
                      <w:color w:val="auto"/>
                      <w:sz w:val="18"/>
                      <w:szCs w:val="18"/>
                      <w:lang w:val="en-US" w:eastAsia="zh-CN"/>
                    </w:rPr>
                    <w:t>，为单层的钢结构厂房；拟设</w:t>
                  </w:r>
                  <w:r>
                    <w:rPr>
                      <w:rFonts w:hint="eastAsia" w:eastAsiaTheme="minorEastAsia"/>
                      <w:color w:val="auto"/>
                      <w:sz w:val="18"/>
                      <w:szCs w:val="18"/>
                      <w:highlight w:val="none"/>
                      <w:lang w:val="en-US" w:eastAsia="zh-CN"/>
                    </w:rPr>
                    <w:t>置红冲区、压铸区、消防水带衬胶区、灭火器生产线</w:t>
                  </w:r>
                </w:p>
              </w:tc>
              <w:tc>
                <w:tcPr>
                  <w:tcW w:w="1067" w:type="pct"/>
                  <w:vAlign w:val="center"/>
                </w:tcPr>
                <w:p w14:paraId="2784B911">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平面布局发生变化，新增灭火器生产线，消防栓箱生产线保留锅炉房和衬胶区，其余生产设备移至2#厂房2~3F</w:t>
                  </w:r>
                </w:p>
              </w:tc>
            </w:tr>
            <w:tr w14:paraId="14B85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5000" w:type="pct"/>
                  <w:gridSpan w:val="5"/>
                  <w:vAlign w:val="center"/>
                </w:tcPr>
                <w:p w14:paraId="22186004">
                  <w:pPr>
                    <w:tabs>
                      <w:tab w:val="left" w:pos="5088"/>
                    </w:tabs>
                    <w:rPr>
                      <w:rFonts w:eastAsiaTheme="minorEastAsia"/>
                      <w:color w:val="auto"/>
                      <w:sz w:val="18"/>
                      <w:szCs w:val="18"/>
                    </w:rPr>
                  </w:pPr>
                  <w:r>
                    <w:rPr>
                      <w:rFonts w:hint="eastAsia" w:eastAsiaTheme="minorEastAsia"/>
                      <w:b/>
                      <w:bCs/>
                      <w:color w:val="auto"/>
                      <w:sz w:val="18"/>
                      <w:szCs w:val="18"/>
                    </w:rPr>
                    <w:t>二、储运工程</w:t>
                  </w:r>
                </w:p>
              </w:tc>
            </w:tr>
            <w:tr w14:paraId="1E5BF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316BF165">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原料仓库</w:t>
                  </w:r>
                </w:p>
              </w:tc>
              <w:tc>
                <w:tcPr>
                  <w:tcW w:w="1724" w:type="pct"/>
                  <w:vAlign w:val="center"/>
                </w:tcPr>
                <w:p w14:paraId="5178AE08">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位于2#厂房3F，面积1280m</w:t>
                  </w:r>
                  <w:r>
                    <w:rPr>
                      <w:rFonts w:hint="eastAsia" w:eastAsiaTheme="minorEastAsia"/>
                      <w:color w:val="auto"/>
                      <w:sz w:val="18"/>
                      <w:szCs w:val="18"/>
                      <w:vertAlign w:val="superscript"/>
                      <w:lang w:val="en-US" w:eastAsia="zh-CN"/>
                    </w:rPr>
                    <w:t>2</w:t>
                  </w:r>
                </w:p>
              </w:tc>
              <w:tc>
                <w:tcPr>
                  <w:tcW w:w="1510" w:type="pct"/>
                  <w:vAlign w:val="center"/>
                </w:tcPr>
                <w:p w14:paraId="75A26AB1">
                  <w:pPr>
                    <w:tabs>
                      <w:tab w:val="left" w:pos="5088"/>
                    </w:tabs>
                    <w:jc w:val="center"/>
                    <w:rPr>
                      <w:rFonts w:hint="default" w:hAnsiTheme="minorEastAsia" w:eastAsiaTheme="minorEastAsia"/>
                      <w:color w:val="auto"/>
                      <w:sz w:val="18"/>
                      <w:szCs w:val="18"/>
                      <w:lang w:val="en-US" w:eastAsia="zh-CN"/>
                    </w:rPr>
                  </w:pPr>
                  <w:r>
                    <w:rPr>
                      <w:rFonts w:hint="eastAsia" w:eastAsiaTheme="minorEastAsia"/>
                      <w:color w:val="auto"/>
                      <w:sz w:val="18"/>
                      <w:szCs w:val="18"/>
                      <w:lang w:val="en-US" w:eastAsia="zh-CN"/>
                    </w:rPr>
                    <w:t>位于2#厂房1F</w:t>
                  </w:r>
                  <w:r>
                    <w:rPr>
                      <w:rFonts w:hint="eastAsia" w:hAnsiTheme="minorEastAsia" w:eastAsiaTheme="minorEastAsia"/>
                      <w:color w:val="auto"/>
                      <w:sz w:val="18"/>
                      <w:szCs w:val="18"/>
                      <w:lang w:val="en-US" w:eastAsia="zh-CN"/>
                    </w:rPr>
                    <w:t>及各车间内</w:t>
                  </w:r>
                </w:p>
              </w:tc>
              <w:tc>
                <w:tcPr>
                  <w:tcW w:w="1067" w:type="pct"/>
                  <w:vAlign w:val="center"/>
                </w:tcPr>
                <w:p w14:paraId="40E78C39">
                  <w:pPr>
                    <w:tabs>
                      <w:tab w:val="left" w:pos="5088"/>
                    </w:tabs>
                    <w:jc w:val="center"/>
                    <w:rPr>
                      <w:rFonts w:eastAsiaTheme="minorEastAsia"/>
                      <w:color w:val="auto"/>
                      <w:sz w:val="18"/>
                      <w:szCs w:val="18"/>
                      <w:highlight w:val="yellow"/>
                    </w:rPr>
                  </w:pPr>
                  <w:r>
                    <w:rPr>
                      <w:rFonts w:hint="eastAsia" w:eastAsiaTheme="minorEastAsia"/>
                      <w:color w:val="auto"/>
                      <w:sz w:val="18"/>
                      <w:szCs w:val="18"/>
                      <w:lang w:val="en-US" w:eastAsia="zh-CN"/>
                    </w:rPr>
                    <w:t>平面布局发生变化</w:t>
                  </w:r>
                </w:p>
              </w:tc>
            </w:tr>
            <w:tr w14:paraId="031CF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2A465184">
                  <w:pPr>
                    <w:tabs>
                      <w:tab w:val="left" w:pos="5088"/>
                    </w:tabs>
                    <w:jc w:val="center"/>
                    <w:rPr>
                      <w:rFonts w:hint="default" w:eastAsiaTheme="minorEastAsia"/>
                      <w:color w:val="auto"/>
                      <w:sz w:val="18"/>
                      <w:szCs w:val="18"/>
                      <w:lang w:val="en-US" w:eastAsia="zh-CN"/>
                    </w:rPr>
                  </w:pPr>
                  <w:r>
                    <w:rPr>
                      <w:rFonts w:hint="eastAsia" w:ascii="宋体" w:hAnsi="宋体" w:cs="宋体" w:eastAsiaTheme="minorEastAsia"/>
                      <w:color w:val="auto"/>
                      <w:kern w:val="0"/>
                      <w:sz w:val="18"/>
                      <w:szCs w:val="18"/>
                      <w:lang w:val="en-US" w:eastAsia="zh-CN" w:bidi="ar"/>
                    </w:rPr>
                    <w:t>成品仓库</w:t>
                  </w:r>
                </w:p>
              </w:tc>
              <w:tc>
                <w:tcPr>
                  <w:tcW w:w="1724" w:type="pct"/>
                  <w:vAlign w:val="center"/>
                </w:tcPr>
                <w:p w14:paraId="367E0FDE">
                  <w:pPr>
                    <w:tabs>
                      <w:tab w:val="left" w:pos="5088"/>
                    </w:tabs>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位于2#厂房1F，面积1280m</w:t>
                  </w:r>
                  <w:r>
                    <w:rPr>
                      <w:rFonts w:hint="eastAsia" w:eastAsiaTheme="minorEastAsia"/>
                      <w:color w:val="auto"/>
                      <w:sz w:val="18"/>
                      <w:szCs w:val="18"/>
                      <w:vertAlign w:val="superscript"/>
                      <w:lang w:val="en-US" w:eastAsia="zh-CN"/>
                    </w:rPr>
                    <w:t>2</w:t>
                  </w:r>
                </w:p>
              </w:tc>
              <w:tc>
                <w:tcPr>
                  <w:tcW w:w="1510" w:type="pct"/>
                  <w:vAlign w:val="center"/>
                </w:tcPr>
                <w:p w14:paraId="06E905BE">
                  <w:pPr>
                    <w:tabs>
                      <w:tab w:val="left" w:pos="5088"/>
                    </w:tabs>
                    <w:jc w:val="center"/>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位于各生产车间内</w:t>
                  </w:r>
                </w:p>
              </w:tc>
              <w:tc>
                <w:tcPr>
                  <w:tcW w:w="1067" w:type="pct"/>
                  <w:vAlign w:val="center"/>
                </w:tcPr>
                <w:p w14:paraId="3D3723C4">
                  <w:pPr>
                    <w:tabs>
                      <w:tab w:val="left" w:pos="5088"/>
                    </w:tabs>
                    <w:jc w:val="center"/>
                    <w:rPr>
                      <w:rFonts w:hint="default" w:eastAsiaTheme="minorEastAsia"/>
                      <w:color w:val="auto"/>
                      <w:sz w:val="18"/>
                      <w:szCs w:val="18"/>
                      <w:highlight w:val="yellow"/>
                      <w:lang w:val="en-US"/>
                    </w:rPr>
                  </w:pPr>
                  <w:r>
                    <w:rPr>
                      <w:rFonts w:hint="eastAsia" w:eastAsiaTheme="minorEastAsia"/>
                      <w:color w:val="auto"/>
                      <w:sz w:val="18"/>
                      <w:szCs w:val="18"/>
                      <w:lang w:val="en-US" w:eastAsia="zh-CN"/>
                    </w:rPr>
                    <w:t>平面布局发生变化</w:t>
                  </w:r>
                </w:p>
              </w:tc>
            </w:tr>
            <w:tr w14:paraId="44DB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5000" w:type="pct"/>
                  <w:gridSpan w:val="5"/>
                  <w:vAlign w:val="center"/>
                </w:tcPr>
                <w:p w14:paraId="713720E5">
                  <w:pPr>
                    <w:tabs>
                      <w:tab w:val="left" w:pos="5088"/>
                    </w:tabs>
                    <w:snapToGrid w:val="0"/>
                    <w:jc w:val="left"/>
                    <w:rPr>
                      <w:rFonts w:hint="eastAsia" w:hAnsiTheme="minorEastAsia" w:eastAsiaTheme="minorEastAsia"/>
                      <w:b/>
                      <w:bCs/>
                      <w:color w:val="auto"/>
                      <w:sz w:val="18"/>
                      <w:szCs w:val="18"/>
                    </w:rPr>
                  </w:pPr>
                  <w:r>
                    <w:rPr>
                      <w:rFonts w:hint="eastAsia" w:hAnsiTheme="minorEastAsia" w:eastAsiaTheme="minorEastAsia"/>
                      <w:b/>
                      <w:bCs/>
                      <w:color w:val="auto"/>
                      <w:sz w:val="18"/>
                      <w:szCs w:val="18"/>
                    </w:rPr>
                    <w:t>三</w:t>
                  </w:r>
                  <w:r>
                    <w:rPr>
                      <w:rFonts w:hAnsiTheme="minorEastAsia" w:eastAsiaTheme="minorEastAsia"/>
                      <w:b/>
                      <w:bCs/>
                      <w:color w:val="auto"/>
                      <w:sz w:val="18"/>
                      <w:szCs w:val="18"/>
                    </w:rPr>
                    <w:t>、配套、公用工程</w:t>
                  </w:r>
                </w:p>
              </w:tc>
            </w:tr>
            <w:tr w14:paraId="35497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26D497B1">
                  <w:pPr>
                    <w:tabs>
                      <w:tab w:val="left" w:pos="5088"/>
                    </w:tabs>
                    <w:jc w:val="center"/>
                    <w:rPr>
                      <w:rFonts w:eastAsiaTheme="minorEastAsia"/>
                      <w:color w:val="auto"/>
                      <w:sz w:val="18"/>
                      <w:szCs w:val="18"/>
                    </w:rPr>
                  </w:pPr>
                  <w:r>
                    <w:rPr>
                      <w:rFonts w:hAnsiTheme="minorEastAsia" w:eastAsiaTheme="minorEastAsia"/>
                      <w:color w:val="auto"/>
                      <w:sz w:val="18"/>
                      <w:szCs w:val="18"/>
                    </w:rPr>
                    <w:t>供水系统</w:t>
                  </w:r>
                </w:p>
              </w:tc>
              <w:tc>
                <w:tcPr>
                  <w:tcW w:w="1724" w:type="pct"/>
                  <w:vAlign w:val="center"/>
                </w:tcPr>
                <w:p w14:paraId="6A5908E3">
                  <w:pPr>
                    <w:tabs>
                      <w:tab w:val="left" w:pos="5088"/>
                    </w:tabs>
                    <w:jc w:val="center"/>
                    <w:rPr>
                      <w:rFonts w:eastAsiaTheme="minorEastAsia"/>
                      <w:color w:val="auto"/>
                      <w:sz w:val="18"/>
                      <w:szCs w:val="18"/>
                    </w:rPr>
                  </w:pPr>
                  <w:r>
                    <w:rPr>
                      <w:rFonts w:hAnsiTheme="minorEastAsia" w:eastAsiaTheme="minorEastAsia"/>
                      <w:color w:val="auto"/>
                      <w:sz w:val="18"/>
                      <w:szCs w:val="18"/>
                    </w:rPr>
                    <w:t>由市政管网供给</w:t>
                  </w:r>
                </w:p>
              </w:tc>
              <w:tc>
                <w:tcPr>
                  <w:tcW w:w="1510" w:type="pct"/>
                  <w:vAlign w:val="center"/>
                </w:tcPr>
                <w:p w14:paraId="189507DA">
                  <w:pPr>
                    <w:adjustRightInd w:val="0"/>
                    <w:snapToGrid w:val="0"/>
                    <w:jc w:val="center"/>
                    <w:rPr>
                      <w:rFonts w:hint="eastAsia" w:eastAsiaTheme="minorEastAsia"/>
                      <w:color w:val="auto"/>
                      <w:sz w:val="18"/>
                      <w:szCs w:val="18"/>
                      <w:lang w:eastAsia="zh-CN"/>
                    </w:rPr>
                  </w:pPr>
                  <w:r>
                    <w:rPr>
                      <w:rFonts w:hAnsiTheme="minorEastAsia" w:eastAsiaTheme="minorEastAsia"/>
                      <w:color w:val="auto"/>
                      <w:sz w:val="18"/>
                      <w:szCs w:val="18"/>
                    </w:rPr>
                    <w:t>由市政管网供给</w:t>
                  </w:r>
                </w:p>
              </w:tc>
              <w:tc>
                <w:tcPr>
                  <w:tcW w:w="1067" w:type="pct"/>
                  <w:vAlign w:val="center"/>
                </w:tcPr>
                <w:p w14:paraId="16C59726">
                  <w:pPr>
                    <w:adjustRightInd w:val="0"/>
                    <w:snapToGrid w:val="0"/>
                    <w:jc w:val="center"/>
                    <w:rPr>
                      <w:rFonts w:hint="default" w:eastAsiaTheme="minorEastAsia"/>
                      <w:color w:val="auto"/>
                      <w:sz w:val="18"/>
                      <w:szCs w:val="18"/>
                      <w:lang w:val="en-US" w:eastAsia="zh-CN"/>
                    </w:rPr>
                  </w:pPr>
                  <w:r>
                    <w:rPr>
                      <w:rFonts w:hint="eastAsia" w:cs="Times New Roman" w:eastAsiaTheme="minorEastAsia"/>
                      <w:color w:val="auto"/>
                      <w:kern w:val="0"/>
                      <w:sz w:val="18"/>
                      <w:szCs w:val="18"/>
                      <w:highlight w:val="none"/>
                      <w:lang w:val="en-US" w:eastAsia="zh-CN" w:bidi="ar"/>
                    </w:rPr>
                    <w:t>不变</w:t>
                  </w:r>
                </w:p>
              </w:tc>
            </w:tr>
            <w:tr w14:paraId="3706A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24C45488">
                  <w:pPr>
                    <w:tabs>
                      <w:tab w:val="left" w:pos="5088"/>
                    </w:tabs>
                    <w:jc w:val="center"/>
                    <w:rPr>
                      <w:rFonts w:eastAsiaTheme="minorEastAsia"/>
                      <w:color w:val="auto"/>
                      <w:sz w:val="18"/>
                      <w:szCs w:val="18"/>
                    </w:rPr>
                  </w:pPr>
                  <w:r>
                    <w:rPr>
                      <w:rFonts w:hAnsiTheme="minorEastAsia" w:eastAsiaTheme="minorEastAsia"/>
                      <w:color w:val="auto"/>
                      <w:sz w:val="18"/>
                      <w:szCs w:val="18"/>
                    </w:rPr>
                    <w:t>供电系统</w:t>
                  </w:r>
                </w:p>
              </w:tc>
              <w:tc>
                <w:tcPr>
                  <w:tcW w:w="1724" w:type="pct"/>
                  <w:vAlign w:val="center"/>
                </w:tcPr>
                <w:p w14:paraId="6AFBC1AF">
                  <w:pPr>
                    <w:tabs>
                      <w:tab w:val="left" w:pos="5088"/>
                    </w:tabs>
                    <w:jc w:val="center"/>
                    <w:rPr>
                      <w:rFonts w:eastAsiaTheme="minorEastAsia"/>
                      <w:color w:val="auto"/>
                      <w:sz w:val="18"/>
                      <w:szCs w:val="18"/>
                    </w:rPr>
                  </w:pPr>
                  <w:r>
                    <w:rPr>
                      <w:rFonts w:hAnsiTheme="minorEastAsia" w:eastAsiaTheme="minorEastAsia"/>
                      <w:color w:val="auto"/>
                      <w:sz w:val="18"/>
                      <w:szCs w:val="18"/>
                    </w:rPr>
                    <w:t>由市政管网供给</w:t>
                  </w:r>
                </w:p>
              </w:tc>
              <w:tc>
                <w:tcPr>
                  <w:tcW w:w="1510" w:type="pct"/>
                  <w:vAlign w:val="center"/>
                </w:tcPr>
                <w:p w14:paraId="571214E6">
                  <w:pPr>
                    <w:adjustRightInd w:val="0"/>
                    <w:snapToGrid w:val="0"/>
                    <w:jc w:val="center"/>
                    <w:rPr>
                      <w:rFonts w:hint="eastAsia" w:eastAsiaTheme="minorEastAsia"/>
                      <w:color w:val="auto"/>
                      <w:sz w:val="18"/>
                      <w:szCs w:val="18"/>
                      <w:lang w:eastAsia="zh-CN"/>
                    </w:rPr>
                  </w:pPr>
                  <w:r>
                    <w:rPr>
                      <w:rFonts w:hAnsiTheme="minorEastAsia" w:eastAsiaTheme="minorEastAsia"/>
                      <w:color w:val="auto"/>
                      <w:sz w:val="18"/>
                      <w:szCs w:val="18"/>
                    </w:rPr>
                    <w:t>由市政管网供给</w:t>
                  </w:r>
                </w:p>
              </w:tc>
              <w:tc>
                <w:tcPr>
                  <w:tcW w:w="1067" w:type="pct"/>
                  <w:shd w:val="clear" w:color="auto" w:fill="auto"/>
                  <w:vAlign w:val="center"/>
                </w:tcPr>
                <w:p w14:paraId="111CD311">
                  <w:pPr>
                    <w:tabs>
                      <w:tab w:val="left" w:pos="5088"/>
                    </w:tabs>
                    <w:jc w:val="center"/>
                    <w:rPr>
                      <w:rFonts w:hint="eastAsia" w:eastAsiaTheme="minorEastAsia"/>
                      <w:color w:val="auto"/>
                      <w:sz w:val="18"/>
                      <w:szCs w:val="18"/>
                      <w:lang w:val="en-US" w:eastAsia="zh-CN"/>
                    </w:rPr>
                  </w:pPr>
                  <w:r>
                    <w:rPr>
                      <w:rFonts w:hint="eastAsia" w:cs="Times New Roman" w:eastAsiaTheme="minorEastAsia"/>
                      <w:color w:val="auto"/>
                      <w:kern w:val="0"/>
                      <w:sz w:val="18"/>
                      <w:szCs w:val="18"/>
                      <w:highlight w:val="none"/>
                      <w:lang w:val="en-US" w:eastAsia="zh-CN" w:bidi="ar"/>
                    </w:rPr>
                    <w:t>不变</w:t>
                  </w:r>
                </w:p>
              </w:tc>
            </w:tr>
            <w:tr w14:paraId="11A7F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3C45F201">
                  <w:pPr>
                    <w:tabs>
                      <w:tab w:val="left" w:pos="5088"/>
                    </w:tabs>
                    <w:jc w:val="center"/>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供气系统</w:t>
                  </w:r>
                </w:p>
              </w:tc>
              <w:tc>
                <w:tcPr>
                  <w:tcW w:w="1724" w:type="pct"/>
                  <w:vAlign w:val="center"/>
                </w:tcPr>
                <w:p w14:paraId="7AB8BE41">
                  <w:pPr>
                    <w:tabs>
                      <w:tab w:val="left" w:pos="5088"/>
                    </w:tabs>
                    <w:jc w:val="center"/>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天然气</w:t>
                  </w:r>
                  <w:r>
                    <w:rPr>
                      <w:rFonts w:hAnsiTheme="minorEastAsia" w:eastAsiaTheme="minorEastAsia"/>
                      <w:color w:val="auto"/>
                      <w:sz w:val="18"/>
                      <w:szCs w:val="18"/>
                    </w:rPr>
                    <w:t>由</w:t>
                  </w:r>
                  <w:r>
                    <w:rPr>
                      <w:rFonts w:hint="eastAsia" w:hAnsiTheme="minorEastAsia" w:eastAsiaTheme="minorEastAsia"/>
                      <w:color w:val="auto"/>
                      <w:sz w:val="18"/>
                      <w:szCs w:val="18"/>
                      <w:lang w:val="en-US" w:eastAsia="zh-CN"/>
                    </w:rPr>
                    <w:t>市政管网供给</w:t>
                  </w:r>
                </w:p>
              </w:tc>
              <w:tc>
                <w:tcPr>
                  <w:tcW w:w="1510" w:type="pct"/>
                  <w:vAlign w:val="center"/>
                </w:tcPr>
                <w:p w14:paraId="01273D05">
                  <w:pPr>
                    <w:adjustRightInd w:val="0"/>
                    <w:snapToGrid w:val="0"/>
                    <w:jc w:val="center"/>
                    <w:rPr>
                      <w:rFonts w:hAnsiTheme="minorEastAsia" w:eastAsiaTheme="minorEastAsia"/>
                      <w:color w:val="auto"/>
                      <w:sz w:val="18"/>
                      <w:szCs w:val="18"/>
                    </w:rPr>
                  </w:pPr>
                  <w:r>
                    <w:rPr>
                      <w:rFonts w:hint="eastAsia" w:hAnsiTheme="minorEastAsia" w:eastAsiaTheme="minorEastAsia"/>
                      <w:color w:val="auto"/>
                      <w:sz w:val="18"/>
                      <w:szCs w:val="18"/>
                      <w:lang w:val="en-US" w:eastAsia="zh-CN"/>
                    </w:rPr>
                    <w:t>天然气</w:t>
                  </w:r>
                  <w:r>
                    <w:rPr>
                      <w:rFonts w:hAnsiTheme="minorEastAsia" w:eastAsiaTheme="minorEastAsia"/>
                      <w:color w:val="auto"/>
                      <w:sz w:val="18"/>
                      <w:szCs w:val="18"/>
                    </w:rPr>
                    <w:t>由</w:t>
                  </w:r>
                  <w:r>
                    <w:rPr>
                      <w:rFonts w:hint="eastAsia" w:hAnsiTheme="minorEastAsia" w:eastAsiaTheme="minorEastAsia"/>
                      <w:color w:val="auto"/>
                      <w:sz w:val="18"/>
                      <w:szCs w:val="18"/>
                      <w:lang w:val="en-US" w:eastAsia="zh-CN"/>
                    </w:rPr>
                    <w:t>市政管网供给</w:t>
                  </w:r>
                </w:p>
              </w:tc>
              <w:tc>
                <w:tcPr>
                  <w:tcW w:w="1067" w:type="pct"/>
                  <w:shd w:val="clear" w:color="auto" w:fill="auto"/>
                  <w:vAlign w:val="center"/>
                </w:tcPr>
                <w:p w14:paraId="69FF40A9">
                  <w:pPr>
                    <w:tabs>
                      <w:tab w:val="left" w:pos="5088"/>
                    </w:tabs>
                    <w:jc w:val="center"/>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天然气用量增加</w:t>
                  </w:r>
                </w:p>
              </w:tc>
            </w:tr>
            <w:tr w14:paraId="44EED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shd w:val="clear" w:color="auto" w:fill="auto"/>
                  <w:vAlign w:val="center"/>
                </w:tcPr>
                <w:p w14:paraId="50BDF6F6">
                  <w:pPr>
                    <w:tabs>
                      <w:tab w:val="left" w:pos="5088"/>
                    </w:tabs>
                    <w:jc w:val="center"/>
                    <w:rPr>
                      <w:rFonts w:eastAsiaTheme="minorEastAsia"/>
                      <w:color w:val="auto"/>
                      <w:sz w:val="18"/>
                      <w:szCs w:val="18"/>
                    </w:rPr>
                  </w:pPr>
                  <w:r>
                    <w:rPr>
                      <w:rFonts w:hAnsiTheme="minorEastAsia" w:eastAsiaTheme="minorEastAsia"/>
                      <w:color w:val="auto"/>
                      <w:sz w:val="18"/>
                      <w:szCs w:val="18"/>
                    </w:rPr>
                    <w:t>排水系统</w:t>
                  </w:r>
                </w:p>
              </w:tc>
              <w:tc>
                <w:tcPr>
                  <w:tcW w:w="1724" w:type="pct"/>
                  <w:shd w:val="clear" w:color="auto" w:fill="auto"/>
                  <w:vAlign w:val="center"/>
                </w:tcPr>
                <w:p w14:paraId="15A11B76">
                  <w:pPr>
                    <w:tabs>
                      <w:tab w:val="left" w:pos="5088"/>
                    </w:tabs>
                    <w:jc w:val="center"/>
                    <w:rPr>
                      <w:rFonts w:hint="default" w:eastAsiaTheme="minorEastAsia"/>
                      <w:color w:val="auto"/>
                      <w:sz w:val="18"/>
                      <w:szCs w:val="18"/>
                      <w:lang w:val="en-US" w:eastAsia="zh-CN"/>
                    </w:rPr>
                  </w:pPr>
                  <w:r>
                    <w:rPr>
                      <w:rFonts w:hAnsiTheme="minorEastAsia" w:eastAsiaTheme="minorEastAsia"/>
                      <w:color w:val="auto"/>
                      <w:sz w:val="18"/>
                      <w:szCs w:val="18"/>
                    </w:rPr>
                    <w:t>雨污分流，分设雨水管道及污水管道</w:t>
                  </w:r>
                  <w:r>
                    <w:rPr>
                      <w:rFonts w:hint="eastAsia" w:hAnsiTheme="minorEastAsia" w:eastAsiaTheme="minorEastAsia"/>
                      <w:color w:val="auto"/>
                      <w:sz w:val="18"/>
                      <w:szCs w:val="18"/>
                      <w:lang w:eastAsia="zh-CN"/>
                    </w:rPr>
                    <w:t>，</w:t>
                  </w:r>
                  <w:r>
                    <w:rPr>
                      <w:rFonts w:hint="eastAsia" w:hAnsiTheme="minorEastAsia" w:eastAsiaTheme="minorEastAsia"/>
                      <w:color w:val="auto"/>
                      <w:sz w:val="18"/>
                      <w:szCs w:val="18"/>
                      <w:lang w:val="en-US" w:eastAsia="zh-CN"/>
                    </w:rPr>
                    <w:t>雨水排入市政雨水管道，生活污水排入市政污水管道，汇入园区污水处理厂</w:t>
                  </w:r>
                </w:p>
              </w:tc>
              <w:tc>
                <w:tcPr>
                  <w:tcW w:w="1510" w:type="pct"/>
                  <w:shd w:val="clear" w:color="auto" w:fill="auto"/>
                  <w:vAlign w:val="center"/>
                </w:tcPr>
                <w:p w14:paraId="3F022BF8">
                  <w:pPr>
                    <w:tabs>
                      <w:tab w:val="left" w:pos="5088"/>
                    </w:tabs>
                    <w:jc w:val="center"/>
                    <w:rPr>
                      <w:rFonts w:hint="default" w:eastAsiaTheme="minorEastAsia"/>
                      <w:color w:val="auto"/>
                      <w:sz w:val="18"/>
                      <w:szCs w:val="18"/>
                      <w:lang w:val="en-US" w:eastAsia="zh-CN"/>
                    </w:rPr>
                  </w:pPr>
                  <w:r>
                    <w:rPr>
                      <w:rFonts w:hAnsiTheme="minorEastAsia" w:eastAsiaTheme="minorEastAsia"/>
                      <w:color w:val="auto"/>
                      <w:sz w:val="18"/>
                      <w:szCs w:val="18"/>
                    </w:rPr>
                    <w:t>雨污分流，分设雨水管道及污水管道</w:t>
                  </w:r>
                  <w:r>
                    <w:rPr>
                      <w:rFonts w:hint="eastAsia" w:hAnsiTheme="minorEastAsia" w:eastAsiaTheme="minorEastAsia"/>
                      <w:color w:val="auto"/>
                      <w:sz w:val="18"/>
                      <w:szCs w:val="18"/>
                      <w:lang w:eastAsia="zh-CN"/>
                    </w:rPr>
                    <w:t>，</w:t>
                  </w:r>
                  <w:r>
                    <w:rPr>
                      <w:rFonts w:hint="eastAsia" w:hAnsiTheme="minorEastAsia" w:eastAsiaTheme="minorEastAsia"/>
                      <w:color w:val="auto"/>
                      <w:sz w:val="18"/>
                      <w:szCs w:val="18"/>
                      <w:lang w:val="en-US" w:eastAsia="zh-CN"/>
                    </w:rPr>
                    <w:t>雨水排入市政雨水管道，生产废水循环使用不外排，生活污水排入市政污水管道，汇入园区污水处理厂</w:t>
                  </w:r>
                </w:p>
              </w:tc>
              <w:tc>
                <w:tcPr>
                  <w:tcW w:w="1067" w:type="pct"/>
                  <w:shd w:val="clear" w:color="auto" w:fill="auto"/>
                  <w:vAlign w:val="center"/>
                </w:tcPr>
                <w:p w14:paraId="7E2DB56D">
                  <w:pPr>
                    <w:tabs>
                      <w:tab w:val="left" w:pos="5088"/>
                    </w:tabs>
                    <w:jc w:val="center"/>
                    <w:rPr>
                      <w:rFonts w:hint="eastAsia" w:eastAsiaTheme="minorEastAsia"/>
                      <w:color w:val="auto"/>
                      <w:sz w:val="18"/>
                      <w:szCs w:val="18"/>
                      <w:lang w:eastAsia="zh-CN"/>
                    </w:rPr>
                  </w:pPr>
                  <w:r>
                    <w:rPr>
                      <w:rFonts w:hint="eastAsia" w:hAnsiTheme="minorEastAsia" w:eastAsiaTheme="minorEastAsia"/>
                      <w:color w:val="auto"/>
                      <w:sz w:val="18"/>
                      <w:szCs w:val="18"/>
                      <w:lang w:val="en-US" w:eastAsia="zh-CN"/>
                    </w:rPr>
                    <w:t>不变</w:t>
                  </w:r>
                </w:p>
              </w:tc>
            </w:tr>
            <w:tr w14:paraId="4F31D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5000" w:type="pct"/>
                  <w:gridSpan w:val="5"/>
                  <w:vAlign w:val="center"/>
                </w:tcPr>
                <w:p w14:paraId="7F1008E9">
                  <w:pPr>
                    <w:tabs>
                      <w:tab w:val="left" w:pos="5088"/>
                    </w:tabs>
                    <w:jc w:val="left"/>
                    <w:rPr>
                      <w:rFonts w:hAnsiTheme="minorEastAsia" w:eastAsiaTheme="minorEastAsia"/>
                      <w:b/>
                      <w:bCs/>
                      <w:color w:val="auto"/>
                      <w:sz w:val="18"/>
                      <w:szCs w:val="18"/>
                    </w:rPr>
                  </w:pPr>
                  <w:r>
                    <w:rPr>
                      <w:rFonts w:hAnsiTheme="minorEastAsia" w:eastAsiaTheme="minorEastAsia"/>
                      <w:b/>
                      <w:bCs/>
                      <w:color w:val="auto"/>
                      <w:sz w:val="18"/>
                      <w:szCs w:val="18"/>
                    </w:rPr>
                    <w:t>四、环保工程</w:t>
                  </w:r>
                </w:p>
              </w:tc>
            </w:tr>
            <w:tr w14:paraId="0F978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232" w:type="pct"/>
                  <w:vMerge w:val="restart"/>
                  <w:vAlign w:val="center"/>
                </w:tcPr>
                <w:p w14:paraId="15EAF669">
                  <w:pPr>
                    <w:tabs>
                      <w:tab w:val="left" w:pos="5088"/>
                    </w:tabs>
                    <w:jc w:val="center"/>
                    <w:rPr>
                      <w:rFonts w:eastAsiaTheme="minorEastAsia"/>
                      <w:color w:val="auto"/>
                      <w:sz w:val="18"/>
                      <w:szCs w:val="18"/>
                    </w:rPr>
                  </w:pPr>
                  <w:r>
                    <w:rPr>
                      <w:rFonts w:hAnsiTheme="minorEastAsia" w:eastAsiaTheme="minorEastAsia"/>
                      <w:color w:val="auto"/>
                      <w:sz w:val="18"/>
                      <w:szCs w:val="18"/>
                    </w:rPr>
                    <w:t>废水</w:t>
                  </w:r>
                </w:p>
              </w:tc>
              <w:tc>
                <w:tcPr>
                  <w:tcW w:w="465" w:type="pct"/>
                  <w:vAlign w:val="center"/>
                </w:tcPr>
                <w:p w14:paraId="3DE46FD2">
                  <w:pPr>
                    <w:tabs>
                      <w:tab w:val="left" w:pos="5088"/>
                    </w:tabs>
                    <w:jc w:val="center"/>
                    <w:rPr>
                      <w:rFonts w:eastAsiaTheme="minorEastAsia"/>
                      <w:color w:val="auto"/>
                      <w:sz w:val="18"/>
                      <w:szCs w:val="18"/>
                    </w:rPr>
                  </w:pPr>
                  <w:r>
                    <w:rPr>
                      <w:rFonts w:hint="eastAsia" w:eastAsiaTheme="minorEastAsia"/>
                      <w:color w:val="auto"/>
                      <w:sz w:val="18"/>
                      <w:szCs w:val="18"/>
                    </w:rPr>
                    <w:t>生产废水</w:t>
                  </w:r>
                </w:p>
              </w:tc>
              <w:tc>
                <w:tcPr>
                  <w:tcW w:w="1724" w:type="pct"/>
                  <w:vAlign w:val="center"/>
                </w:tcPr>
                <w:p w14:paraId="365975EE">
                  <w:pPr>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本项目中频炉冷却用水、石蜡件冷却用水、压铸机冷却用水、造粒机冷却用水、挤出冷却用水、试压用水循环使用不外排；碱液喷淋塔喷淋废水和酸性废水经拟建的污水处理站处理达标后回用于化学抛光水洗工序不外排。</w:t>
                  </w:r>
                </w:p>
              </w:tc>
              <w:tc>
                <w:tcPr>
                  <w:tcW w:w="1510" w:type="pct"/>
                  <w:shd w:val="clear" w:color="auto" w:fill="auto"/>
                  <w:vAlign w:val="center"/>
                </w:tcPr>
                <w:p w14:paraId="2DA2738B">
                  <w:pPr>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highlight w:val="none"/>
                      <w:lang w:val="en-US" w:eastAsia="zh-CN"/>
                    </w:rPr>
                    <w:t>本项目中频炉冷却用水、石蜡件冷却用水、压铸机冷却用水、造粒机冷却用水、挤出冷却用水、试压用水、气密性检测用水、废气喷淋塔用水循环使用，定期更换，更换废水作为粘土砂混料用水回用于生产，不外排</w:t>
                  </w:r>
                  <w:r>
                    <w:rPr>
                      <w:rFonts w:hint="eastAsia" w:eastAsiaTheme="minorEastAsia"/>
                      <w:color w:val="auto"/>
                      <w:sz w:val="18"/>
                      <w:szCs w:val="18"/>
                      <w:lang w:val="en-US" w:eastAsia="zh-CN"/>
                    </w:rPr>
                    <w:t>。</w:t>
                  </w:r>
                </w:p>
              </w:tc>
              <w:tc>
                <w:tcPr>
                  <w:tcW w:w="1067" w:type="pct"/>
                  <w:vAlign w:val="center"/>
                </w:tcPr>
                <w:p w14:paraId="06B5EC42">
                  <w:pPr>
                    <w:tabs>
                      <w:tab w:val="left" w:pos="5088"/>
                    </w:tabs>
                    <w:jc w:val="center"/>
                    <w:rPr>
                      <w:rFonts w:hint="default" w:eastAsiaTheme="minorEastAsia"/>
                      <w:color w:val="auto"/>
                      <w:sz w:val="18"/>
                      <w:szCs w:val="18"/>
                      <w:highlight w:val="yellow"/>
                      <w:lang w:val="en-US" w:eastAsia="zh-CN"/>
                    </w:rPr>
                  </w:pPr>
                  <w:r>
                    <w:rPr>
                      <w:rFonts w:hint="eastAsia" w:eastAsiaTheme="minorEastAsia"/>
                      <w:color w:val="auto"/>
                      <w:sz w:val="18"/>
                      <w:szCs w:val="18"/>
                      <w:highlight w:val="none"/>
                      <w:lang w:val="en-US" w:eastAsia="zh-CN"/>
                    </w:rPr>
                    <w:t>减少化学抛光工序，减少</w:t>
                  </w:r>
                  <w:r>
                    <w:rPr>
                      <w:rFonts w:hint="eastAsia" w:eastAsiaTheme="minorEastAsia"/>
                      <w:color w:val="auto"/>
                      <w:sz w:val="18"/>
                      <w:szCs w:val="18"/>
                      <w:lang w:val="en-US" w:eastAsia="zh-CN"/>
                    </w:rPr>
                    <w:t>碱液喷淋塔喷淋废水和酸性废水；增加灭火器气密性检测用水和废气喷淋塔用水</w:t>
                  </w:r>
                </w:p>
              </w:tc>
            </w:tr>
            <w:tr w14:paraId="482B4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232" w:type="pct"/>
                  <w:vMerge w:val="continue"/>
                  <w:vAlign w:val="center"/>
                </w:tcPr>
                <w:p w14:paraId="63E485C8">
                  <w:pPr>
                    <w:tabs>
                      <w:tab w:val="left" w:pos="5088"/>
                    </w:tabs>
                    <w:jc w:val="center"/>
                    <w:rPr>
                      <w:rFonts w:eastAsiaTheme="minorEastAsia"/>
                      <w:color w:val="auto"/>
                      <w:sz w:val="18"/>
                      <w:szCs w:val="18"/>
                    </w:rPr>
                  </w:pPr>
                </w:p>
              </w:tc>
              <w:tc>
                <w:tcPr>
                  <w:tcW w:w="465" w:type="pct"/>
                  <w:vAlign w:val="center"/>
                </w:tcPr>
                <w:p w14:paraId="463A6618">
                  <w:pPr>
                    <w:tabs>
                      <w:tab w:val="left" w:pos="5088"/>
                    </w:tabs>
                    <w:jc w:val="center"/>
                    <w:rPr>
                      <w:rFonts w:eastAsiaTheme="minorEastAsia"/>
                      <w:color w:val="auto"/>
                      <w:sz w:val="18"/>
                      <w:szCs w:val="18"/>
                    </w:rPr>
                  </w:pPr>
                  <w:r>
                    <w:rPr>
                      <w:rFonts w:hAnsiTheme="minorEastAsia" w:eastAsiaTheme="minorEastAsia"/>
                      <w:color w:val="auto"/>
                      <w:sz w:val="18"/>
                      <w:szCs w:val="18"/>
                    </w:rPr>
                    <w:t>生活污水</w:t>
                  </w:r>
                </w:p>
              </w:tc>
              <w:tc>
                <w:tcPr>
                  <w:tcW w:w="1724" w:type="pct"/>
                  <w:vAlign w:val="center"/>
                </w:tcPr>
                <w:p w14:paraId="01964893">
                  <w:pPr>
                    <w:tabs>
                      <w:tab w:val="left" w:pos="5088"/>
                    </w:tabs>
                    <w:jc w:val="center"/>
                    <w:rPr>
                      <w:rFonts w:eastAsiaTheme="minorEastAsia"/>
                      <w:color w:val="auto"/>
                      <w:sz w:val="18"/>
                      <w:szCs w:val="18"/>
                    </w:rPr>
                  </w:pPr>
                  <w:r>
                    <w:rPr>
                      <w:rFonts w:hint="eastAsia" w:hAnsiTheme="minorEastAsia" w:eastAsiaTheme="minorEastAsia"/>
                      <w:color w:val="auto"/>
                      <w:sz w:val="18"/>
                      <w:szCs w:val="18"/>
                    </w:rPr>
                    <w:t>生活污水经化粪池预处理后纳入园区污水处理厂统一处理。</w:t>
                  </w:r>
                </w:p>
              </w:tc>
              <w:tc>
                <w:tcPr>
                  <w:tcW w:w="1510" w:type="pct"/>
                  <w:shd w:val="clear" w:color="auto" w:fill="auto"/>
                  <w:vAlign w:val="center"/>
                </w:tcPr>
                <w:p w14:paraId="42213FAC">
                  <w:pPr>
                    <w:tabs>
                      <w:tab w:val="left" w:pos="5088"/>
                    </w:tabs>
                    <w:jc w:val="center"/>
                    <w:rPr>
                      <w:rFonts w:ascii="Times New Roman" w:hAnsi="Times New Roman" w:cs="Times New Roman" w:eastAsiaTheme="minorEastAsia"/>
                      <w:color w:val="auto"/>
                      <w:kern w:val="2"/>
                      <w:sz w:val="18"/>
                      <w:szCs w:val="18"/>
                      <w:lang w:val="en-US" w:eastAsia="zh-CN" w:bidi="ar-SA"/>
                    </w:rPr>
                  </w:pPr>
                  <w:r>
                    <w:rPr>
                      <w:rFonts w:hint="eastAsia" w:hAnsiTheme="minorEastAsia" w:eastAsiaTheme="minorEastAsia"/>
                      <w:color w:val="auto"/>
                      <w:sz w:val="18"/>
                      <w:szCs w:val="18"/>
                    </w:rPr>
                    <w:t>生活污水经化粪池预处理后纳入园区污水处理厂统一处理。</w:t>
                  </w:r>
                </w:p>
              </w:tc>
              <w:tc>
                <w:tcPr>
                  <w:tcW w:w="1067" w:type="pct"/>
                  <w:vAlign w:val="center"/>
                </w:tcPr>
                <w:p w14:paraId="1EC7A95C">
                  <w:pPr>
                    <w:tabs>
                      <w:tab w:val="left" w:pos="5088"/>
                    </w:tabs>
                    <w:jc w:val="center"/>
                    <w:rPr>
                      <w:rFonts w:hint="default" w:eastAsiaTheme="minorEastAsia"/>
                      <w:color w:val="auto"/>
                      <w:sz w:val="18"/>
                      <w:szCs w:val="18"/>
                      <w:highlight w:val="yellow"/>
                      <w:lang w:val="en-US" w:eastAsia="zh-CN"/>
                    </w:rPr>
                  </w:pPr>
                  <w:r>
                    <w:rPr>
                      <w:rFonts w:hint="eastAsia" w:eastAsiaTheme="minorEastAsia"/>
                      <w:color w:val="auto"/>
                      <w:sz w:val="18"/>
                      <w:szCs w:val="18"/>
                      <w:highlight w:val="none"/>
                      <w:lang w:val="en-US" w:eastAsia="zh-CN"/>
                    </w:rPr>
                    <w:t>不变</w:t>
                  </w:r>
                </w:p>
              </w:tc>
            </w:tr>
            <w:tr w14:paraId="560A6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0AF6E927">
                  <w:pPr>
                    <w:tabs>
                      <w:tab w:val="left" w:pos="5088"/>
                    </w:tabs>
                    <w:jc w:val="center"/>
                    <w:rPr>
                      <w:rFonts w:hint="default" w:ascii="Times New Roman" w:eastAsia="宋体"/>
                      <w:color w:val="auto"/>
                      <w:spacing w:val="0"/>
                      <w:w w:val="100"/>
                      <w:kern w:val="0"/>
                      <w:sz w:val="18"/>
                      <w:szCs w:val="18"/>
                      <w:lang w:val="en-US" w:eastAsia="zh-CN"/>
                    </w:rPr>
                  </w:pPr>
                  <w:r>
                    <w:rPr>
                      <w:rFonts w:hAnsiTheme="minorEastAsia" w:eastAsiaTheme="minorEastAsia"/>
                      <w:color w:val="auto"/>
                      <w:sz w:val="18"/>
                      <w:szCs w:val="18"/>
                    </w:rPr>
                    <w:t>废气</w:t>
                  </w:r>
                </w:p>
              </w:tc>
              <w:tc>
                <w:tcPr>
                  <w:tcW w:w="1724" w:type="pct"/>
                  <w:vAlign w:val="center"/>
                </w:tcPr>
                <w:p w14:paraId="74E3FC34">
                  <w:pPr>
                    <w:tabs>
                      <w:tab w:val="left" w:pos="5088"/>
                    </w:tabs>
                    <w:jc w:val="center"/>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rPr>
                    <w:t>全厂拟设置17套废气净化设施，其中：烟/粉尘主要采用袋式除尘工艺，有机废气主要采用活性炭吸附工艺，化学抛光废气采用碱液喷淋工艺。</w:t>
                  </w:r>
                </w:p>
              </w:tc>
              <w:tc>
                <w:tcPr>
                  <w:tcW w:w="1510" w:type="pct"/>
                  <w:shd w:val="clear" w:color="auto" w:fill="auto"/>
                  <w:vAlign w:val="center"/>
                </w:tcPr>
                <w:p w14:paraId="045A14E3">
                  <w:pPr>
                    <w:jc w:val="center"/>
                    <w:textAlignment w:val="center"/>
                    <w:rPr>
                      <w:rFonts w:hint="default" w:eastAsiaTheme="minorEastAsia"/>
                      <w:color w:val="auto"/>
                      <w:kern w:val="0"/>
                      <w:sz w:val="18"/>
                      <w:szCs w:val="18"/>
                      <w:lang w:val="en-US" w:eastAsia="zh-CN"/>
                    </w:rPr>
                  </w:pPr>
                  <w:r>
                    <w:rPr>
                      <w:rFonts w:hint="eastAsia" w:hAnsiTheme="minorEastAsia" w:eastAsiaTheme="minorEastAsia"/>
                      <w:color w:val="auto"/>
                      <w:sz w:val="18"/>
                      <w:szCs w:val="18"/>
                    </w:rPr>
                    <w:t>全厂</w:t>
                  </w:r>
                  <w:r>
                    <w:rPr>
                      <w:rFonts w:hint="eastAsia" w:hAnsiTheme="minorEastAsia" w:eastAsiaTheme="minorEastAsia"/>
                      <w:color w:val="auto"/>
                      <w:sz w:val="18"/>
                      <w:szCs w:val="18"/>
                      <w:lang w:val="en-US" w:eastAsia="zh-CN"/>
                    </w:rPr>
                    <w:t>通过优化平面布局，对部分工艺废气进行合并处理，新增退火工艺及废气排放；全厂</w:t>
                  </w:r>
                  <w:r>
                    <w:rPr>
                      <w:rFonts w:hint="eastAsia" w:hAnsiTheme="minorEastAsia" w:eastAsiaTheme="minorEastAsia"/>
                      <w:color w:val="auto"/>
                      <w:sz w:val="18"/>
                      <w:szCs w:val="18"/>
                    </w:rPr>
                    <w:t>拟设置</w:t>
                  </w:r>
                  <w:r>
                    <w:rPr>
                      <w:rFonts w:hint="eastAsia" w:hAnsiTheme="minorEastAsia" w:eastAsiaTheme="minorEastAsia"/>
                      <w:color w:val="auto"/>
                      <w:sz w:val="18"/>
                      <w:szCs w:val="18"/>
                      <w:lang w:val="en-US" w:eastAsia="zh-CN"/>
                    </w:rPr>
                    <w:t>15</w:t>
                  </w:r>
                  <w:r>
                    <w:rPr>
                      <w:rFonts w:hint="eastAsia" w:hAnsiTheme="minorEastAsia" w:eastAsiaTheme="minorEastAsia"/>
                      <w:color w:val="auto"/>
                      <w:sz w:val="18"/>
                      <w:szCs w:val="18"/>
                    </w:rPr>
                    <w:t>套废气净化设施，其中：烟/粉尘主要采用袋式除尘工艺，有机废气主要采用活性炭吸附工艺</w:t>
                  </w:r>
                  <w:r>
                    <w:rPr>
                      <w:rFonts w:hint="eastAsia" w:hAnsiTheme="minorEastAsia" w:eastAsiaTheme="minorEastAsia"/>
                      <w:color w:val="auto"/>
                      <w:sz w:val="18"/>
                      <w:szCs w:val="18"/>
                      <w:lang w:eastAsia="zh-CN"/>
                    </w:rPr>
                    <w:t>；</w:t>
                  </w:r>
                  <w:r>
                    <w:rPr>
                      <w:rFonts w:hint="eastAsia" w:hAnsiTheme="minorEastAsia" w:eastAsiaTheme="minorEastAsia"/>
                      <w:color w:val="auto"/>
                      <w:sz w:val="18"/>
                      <w:szCs w:val="18"/>
                      <w:lang w:val="en-US" w:eastAsia="zh-CN"/>
                    </w:rPr>
                    <w:t>焊接烟尘、激光切割烟尘采用移动式烟尘净化器。</w:t>
                  </w:r>
                </w:p>
              </w:tc>
              <w:tc>
                <w:tcPr>
                  <w:tcW w:w="1067" w:type="pct"/>
                  <w:shd w:val="clear" w:color="auto" w:fill="auto"/>
                  <w:vAlign w:val="center"/>
                </w:tcPr>
                <w:p w14:paraId="2568FA74">
                  <w:pPr>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新增退火工艺废气，焊接烟尘和激光切割烟尘，减少化学抛光废气，优化布局后全厂废气排气筒数量减少3根</w:t>
                  </w:r>
                </w:p>
              </w:tc>
            </w:tr>
            <w:tr w14:paraId="75AE4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697" w:type="pct"/>
                  <w:gridSpan w:val="2"/>
                  <w:vAlign w:val="center"/>
                </w:tcPr>
                <w:p w14:paraId="07489C18">
                  <w:pPr>
                    <w:tabs>
                      <w:tab w:val="left" w:pos="5088"/>
                    </w:tabs>
                    <w:jc w:val="center"/>
                    <w:rPr>
                      <w:rFonts w:eastAsiaTheme="minorEastAsia"/>
                      <w:color w:val="auto"/>
                      <w:sz w:val="18"/>
                      <w:szCs w:val="18"/>
                    </w:rPr>
                  </w:pPr>
                  <w:r>
                    <w:rPr>
                      <w:rFonts w:hAnsiTheme="minorEastAsia" w:eastAsiaTheme="minorEastAsia"/>
                      <w:color w:val="auto"/>
                      <w:sz w:val="18"/>
                      <w:szCs w:val="18"/>
                    </w:rPr>
                    <w:t>噪声</w:t>
                  </w:r>
                </w:p>
              </w:tc>
              <w:tc>
                <w:tcPr>
                  <w:tcW w:w="1724" w:type="pct"/>
                  <w:vAlign w:val="center"/>
                </w:tcPr>
                <w:p w14:paraId="6D5C3E70">
                  <w:pPr>
                    <w:ind w:left="-105" w:leftChars="-50" w:right="-105" w:rightChars="-50"/>
                    <w:jc w:val="center"/>
                    <w:rPr>
                      <w:rFonts w:eastAsiaTheme="minorEastAsia"/>
                      <w:color w:val="auto"/>
                      <w:sz w:val="18"/>
                      <w:szCs w:val="18"/>
                    </w:rPr>
                  </w:pPr>
                  <w:r>
                    <w:rPr>
                      <w:rFonts w:hAnsiTheme="minorEastAsia" w:eastAsiaTheme="minorEastAsia"/>
                      <w:color w:val="auto"/>
                      <w:sz w:val="18"/>
                      <w:szCs w:val="18"/>
                    </w:rPr>
                    <w:t>减振、厂房隔声</w:t>
                  </w:r>
                </w:p>
              </w:tc>
              <w:tc>
                <w:tcPr>
                  <w:tcW w:w="1510" w:type="pct"/>
                  <w:vAlign w:val="center"/>
                </w:tcPr>
                <w:p w14:paraId="5859B2A2">
                  <w:pPr>
                    <w:ind w:left="-105" w:leftChars="-50" w:right="-105" w:rightChars="-50"/>
                    <w:jc w:val="center"/>
                    <w:rPr>
                      <w:rFonts w:eastAsiaTheme="minorEastAsia"/>
                      <w:color w:val="auto"/>
                      <w:sz w:val="18"/>
                      <w:szCs w:val="18"/>
                    </w:rPr>
                  </w:pPr>
                  <w:r>
                    <w:rPr>
                      <w:rFonts w:hAnsiTheme="minorEastAsia" w:eastAsiaTheme="minorEastAsia"/>
                      <w:color w:val="auto"/>
                      <w:sz w:val="18"/>
                      <w:szCs w:val="18"/>
                    </w:rPr>
                    <w:t>减振、厂房隔声</w:t>
                  </w:r>
                </w:p>
              </w:tc>
              <w:tc>
                <w:tcPr>
                  <w:tcW w:w="1067" w:type="pct"/>
                  <w:vAlign w:val="center"/>
                </w:tcPr>
                <w:p w14:paraId="54DEB314">
                  <w:pPr>
                    <w:jc w:val="center"/>
                    <w:rPr>
                      <w:rFonts w:eastAsiaTheme="minorEastAsia"/>
                      <w:color w:val="auto"/>
                      <w:sz w:val="18"/>
                      <w:szCs w:val="18"/>
                    </w:rPr>
                  </w:pPr>
                  <w:r>
                    <w:rPr>
                      <w:rFonts w:hAnsiTheme="minorEastAsia" w:eastAsiaTheme="minorEastAsia"/>
                      <w:color w:val="auto"/>
                      <w:sz w:val="18"/>
                      <w:szCs w:val="18"/>
                    </w:rPr>
                    <w:t>减振、厂房隔声</w:t>
                  </w:r>
                </w:p>
              </w:tc>
            </w:tr>
            <w:tr w14:paraId="0559A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232" w:type="pct"/>
                  <w:vMerge w:val="restart"/>
                  <w:vAlign w:val="center"/>
                </w:tcPr>
                <w:p w14:paraId="2EE9641B">
                  <w:pPr>
                    <w:tabs>
                      <w:tab w:val="left" w:pos="5088"/>
                    </w:tabs>
                    <w:jc w:val="center"/>
                    <w:rPr>
                      <w:rFonts w:eastAsiaTheme="minorEastAsia"/>
                      <w:color w:val="auto"/>
                      <w:sz w:val="18"/>
                      <w:szCs w:val="18"/>
                    </w:rPr>
                  </w:pPr>
                  <w:r>
                    <w:rPr>
                      <w:rFonts w:hAnsiTheme="minorEastAsia" w:eastAsiaTheme="minorEastAsia"/>
                      <w:color w:val="auto"/>
                      <w:sz w:val="18"/>
                      <w:szCs w:val="18"/>
                    </w:rPr>
                    <w:t>固体废物</w:t>
                  </w:r>
                </w:p>
              </w:tc>
              <w:tc>
                <w:tcPr>
                  <w:tcW w:w="465" w:type="pct"/>
                  <w:vAlign w:val="center"/>
                </w:tcPr>
                <w:p w14:paraId="32C419B4">
                  <w:pPr>
                    <w:tabs>
                      <w:tab w:val="left" w:pos="5088"/>
                    </w:tabs>
                    <w:jc w:val="center"/>
                    <w:rPr>
                      <w:rFonts w:eastAsiaTheme="minorEastAsia"/>
                      <w:color w:val="auto"/>
                      <w:sz w:val="18"/>
                      <w:szCs w:val="18"/>
                    </w:rPr>
                  </w:pPr>
                  <w:r>
                    <w:rPr>
                      <w:rFonts w:hAnsiTheme="minorEastAsia" w:eastAsiaTheme="minorEastAsia"/>
                      <w:color w:val="auto"/>
                      <w:sz w:val="18"/>
                      <w:szCs w:val="18"/>
                    </w:rPr>
                    <w:t>生活垃圾</w:t>
                  </w:r>
                </w:p>
              </w:tc>
              <w:tc>
                <w:tcPr>
                  <w:tcW w:w="1724" w:type="pct"/>
                  <w:vAlign w:val="center"/>
                </w:tcPr>
                <w:p w14:paraId="060E6D31">
                  <w:pPr>
                    <w:tabs>
                      <w:tab w:val="left" w:pos="5088"/>
                    </w:tabs>
                    <w:jc w:val="center"/>
                    <w:rPr>
                      <w:rFonts w:eastAsiaTheme="minorEastAsia"/>
                      <w:color w:val="auto"/>
                      <w:sz w:val="18"/>
                      <w:szCs w:val="18"/>
                    </w:rPr>
                  </w:pPr>
                  <w:r>
                    <w:rPr>
                      <w:rFonts w:hAnsiTheme="minorEastAsia" w:eastAsiaTheme="minorEastAsia"/>
                      <w:color w:val="auto"/>
                      <w:sz w:val="18"/>
                      <w:szCs w:val="18"/>
                    </w:rPr>
                    <w:t>设置垃圾桶</w:t>
                  </w:r>
                </w:p>
              </w:tc>
              <w:tc>
                <w:tcPr>
                  <w:tcW w:w="1510" w:type="pct"/>
                  <w:vAlign w:val="center"/>
                </w:tcPr>
                <w:p w14:paraId="1607F851">
                  <w:pPr>
                    <w:jc w:val="center"/>
                    <w:rPr>
                      <w:rFonts w:eastAsiaTheme="minorEastAsia"/>
                      <w:color w:val="auto"/>
                      <w:sz w:val="18"/>
                      <w:szCs w:val="18"/>
                    </w:rPr>
                  </w:pPr>
                  <w:r>
                    <w:rPr>
                      <w:rFonts w:hAnsiTheme="minorEastAsia" w:eastAsiaTheme="minorEastAsia"/>
                      <w:color w:val="auto"/>
                      <w:sz w:val="18"/>
                      <w:szCs w:val="18"/>
                    </w:rPr>
                    <w:t>设置垃圾桶</w:t>
                  </w:r>
                </w:p>
              </w:tc>
              <w:tc>
                <w:tcPr>
                  <w:tcW w:w="1067" w:type="pct"/>
                  <w:vAlign w:val="center"/>
                </w:tcPr>
                <w:p w14:paraId="5AF18109">
                  <w:pPr>
                    <w:jc w:val="center"/>
                    <w:rPr>
                      <w:rFonts w:eastAsiaTheme="minorEastAsia"/>
                      <w:color w:val="auto"/>
                      <w:sz w:val="18"/>
                      <w:szCs w:val="18"/>
                    </w:rPr>
                  </w:pPr>
                  <w:r>
                    <w:rPr>
                      <w:rFonts w:hint="eastAsia" w:eastAsiaTheme="minorEastAsia"/>
                      <w:color w:val="auto"/>
                      <w:sz w:val="18"/>
                      <w:szCs w:val="18"/>
                      <w:highlight w:val="none"/>
                      <w:lang w:val="en-US" w:eastAsia="zh-CN"/>
                    </w:rPr>
                    <w:t>不变</w:t>
                  </w:r>
                </w:p>
              </w:tc>
            </w:tr>
            <w:tr w14:paraId="14726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232" w:type="pct"/>
                  <w:vMerge w:val="continue"/>
                  <w:vAlign w:val="center"/>
                </w:tcPr>
                <w:p w14:paraId="69B51ED9">
                  <w:pPr>
                    <w:tabs>
                      <w:tab w:val="left" w:pos="5088"/>
                    </w:tabs>
                    <w:jc w:val="center"/>
                    <w:rPr>
                      <w:rFonts w:eastAsiaTheme="minorEastAsia"/>
                      <w:color w:val="auto"/>
                      <w:sz w:val="18"/>
                      <w:szCs w:val="18"/>
                    </w:rPr>
                  </w:pPr>
                </w:p>
              </w:tc>
              <w:tc>
                <w:tcPr>
                  <w:tcW w:w="465" w:type="pct"/>
                  <w:vAlign w:val="center"/>
                </w:tcPr>
                <w:p w14:paraId="2B8CE225">
                  <w:pPr>
                    <w:tabs>
                      <w:tab w:val="left" w:pos="5088"/>
                    </w:tabs>
                    <w:jc w:val="center"/>
                    <w:rPr>
                      <w:rFonts w:eastAsiaTheme="minorEastAsia"/>
                      <w:color w:val="auto"/>
                      <w:sz w:val="18"/>
                      <w:szCs w:val="18"/>
                    </w:rPr>
                  </w:pPr>
                  <w:r>
                    <w:rPr>
                      <w:rFonts w:hAnsiTheme="minorEastAsia" w:eastAsiaTheme="minorEastAsia"/>
                      <w:color w:val="auto"/>
                      <w:sz w:val="18"/>
                      <w:szCs w:val="18"/>
                    </w:rPr>
                    <w:t>一般固废</w:t>
                  </w:r>
                </w:p>
              </w:tc>
              <w:tc>
                <w:tcPr>
                  <w:tcW w:w="1724" w:type="pct"/>
                  <w:vAlign w:val="center"/>
                </w:tcPr>
                <w:p w14:paraId="6C3C679E">
                  <w:pPr>
                    <w:tabs>
                      <w:tab w:val="left" w:pos="5088"/>
                    </w:tabs>
                    <w:jc w:val="center"/>
                    <w:rPr>
                      <w:rFonts w:eastAsiaTheme="minorEastAsia"/>
                      <w:color w:val="auto"/>
                      <w:sz w:val="18"/>
                      <w:szCs w:val="18"/>
                    </w:rPr>
                  </w:pPr>
                  <w:r>
                    <w:rPr>
                      <w:rFonts w:hint="eastAsia" w:hAnsiTheme="minorEastAsia" w:eastAsiaTheme="minorEastAsia"/>
                      <w:color w:val="auto"/>
                      <w:sz w:val="18"/>
                      <w:szCs w:val="18"/>
                      <w:lang w:val="en-US" w:eastAsia="zh-CN"/>
                    </w:rPr>
                    <w:t>在1#厂房内</w:t>
                  </w:r>
                  <w:r>
                    <w:rPr>
                      <w:rFonts w:hAnsiTheme="minorEastAsia" w:eastAsiaTheme="minorEastAsia"/>
                      <w:color w:val="auto"/>
                      <w:sz w:val="18"/>
                      <w:szCs w:val="18"/>
                    </w:rPr>
                    <w:t>设一般固废暂存场所，面积约</w:t>
                  </w:r>
                  <w:r>
                    <w:rPr>
                      <w:rFonts w:hint="eastAsia" w:eastAsiaTheme="minorEastAsia"/>
                      <w:color w:val="auto"/>
                      <w:sz w:val="18"/>
                      <w:szCs w:val="18"/>
                      <w:lang w:val="en-US" w:eastAsia="zh-CN"/>
                    </w:rPr>
                    <w:t>130</w:t>
                  </w:r>
                  <w:r>
                    <w:rPr>
                      <w:rFonts w:eastAsiaTheme="minorEastAsia"/>
                      <w:color w:val="auto"/>
                      <w:sz w:val="18"/>
                      <w:szCs w:val="18"/>
                    </w:rPr>
                    <w:t>m</w:t>
                  </w:r>
                  <w:r>
                    <w:rPr>
                      <w:rFonts w:eastAsiaTheme="minorEastAsia"/>
                      <w:color w:val="auto"/>
                      <w:sz w:val="18"/>
                      <w:szCs w:val="18"/>
                      <w:vertAlign w:val="superscript"/>
                    </w:rPr>
                    <w:t>2</w:t>
                  </w:r>
                </w:p>
              </w:tc>
              <w:tc>
                <w:tcPr>
                  <w:tcW w:w="1510" w:type="pct"/>
                  <w:vAlign w:val="center"/>
                </w:tcPr>
                <w:p w14:paraId="534EA726">
                  <w:pPr>
                    <w:jc w:val="center"/>
                    <w:rPr>
                      <w:rFonts w:hint="default" w:eastAsiaTheme="minorEastAsia"/>
                      <w:color w:val="auto"/>
                      <w:sz w:val="18"/>
                      <w:szCs w:val="18"/>
                      <w:lang w:val="en-US" w:eastAsia="zh-CN"/>
                    </w:rPr>
                  </w:pPr>
                  <w:r>
                    <w:rPr>
                      <w:rFonts w:hint="eastAsia" w:hAnsiTheme="minorEastAsia" w:eastAsiaTheme="minorEastAsia"/>
                      <w:color w:val="auto"/>
                      <w:sz w:val="18"/>
                      <w:szCs w:val="18"/>
                      <w:lang w:val="en-US" w:eastAsia="zh-CN"/>
                    </w:rPr>
                    <w:t>在2#厂房1F内</w:t>
                  </w:r>
                  <w:r>
                    <w:rPr>
                      <w:rFonts w:hAnsiTheme="minorEastAsia" w:eastAsiaTheme="minorEastAsia"/>
                      <w:color w:val="auto"/>
                      <w:sz w:val="18"/>
                      <w:szCs w:val="18"/>
                    </w:rPr>
                    <w:t>设一般固废暂存场所，面积约</w:t>
                  </w:r>
                  <w:r>
                    <w:rPr>
                      <w:rFonts w:hint="eastAsia" w:eastAsiaTheme="minorEastAsia"/>
                      <w:color w:val="auto"/>
                      <w:sz w:val="18"/>
                      <w:szCs w:val="18"/>
                      <w:lang w:val="en-US" w:eastAsia="zh-CN"/>
                    </w:rPr>
                    <w:t>130</w:t>
                  </w:r>
                  <w:r>
                    <w:rPr>
                      <w:rFonts w:eastAsiaTheme="minorEastAsia"/>
                      <w:color w:val="auto"/>
                      <w:sz w:val="18"/>
                      <w:szCs w:val="18"/>
                    </w:rPr>
                    <w:t>m</w:t>
                  </w:r>
                  <w:r>
                    <w:rPr>
                      <w:rFonts w:eastAsiaTheme="minorEastAsia"/>
                      <w:color w:val="auto"/>
                      <w:sz w:val="18"/>
                      <w:szCs w:val="18"/>
                      <w:vertAlign w:val="superscript"/>
                    </w:rPr>
                    <w:t>2</w:t>
                  </w:r>
                </w:p>
              </w:tc>
              <w:tc>
                <w:tcPr>
                  <w:tcW w:w="1067" w:type="pct"/>
                  <w:vAlign w:val="center"/>
                </w:tcPr>
                <w:p w14:paraId="28744D64">
                  <w:pPr>
                    <w:jc w:val="center"/>
                    <w:rPr>
                      <w:rFonts w:hint="default" w:eastAsiaTheme="minorEastAsia"/>
                      <w:color w:val="auto"/>
                      <w:sz w:val="18"/>
                      <w:szCs w:val="18"/>
                      <w:lang w:val="en-US"/>
                    </w:rPr>
                  </w:pPr>
                  <w:r>
                    <w:rPr>
                      <w:rFonts w:hint="eastAsia" w:eastAsiaTheme="minorEastAsia"/>
                      <w:color w:val="auto"/>
                      <w:sz w:val="18"/>
                      <w:szCs w:val="18"/>
                      <w:lang w:val="en-US" w:eastAsia="zh-CN"/>
                    </w:rPr>
                    <w:t>位置变化，面积不变</w:t>
                  </w:r>
                </w:p>
              </w:tc>
            </w:tr>
            <w:tr w14:paraId="4C6F3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232" w:type="pct"/>
                  <w:vMerge w:val="continue"/>
                  <w:vAlign w:val="center"/>
                </w:tcPr>
                <w:p w14:paraId="27B2FB93">
                  <w:pPr>
                    <w:tabs>
                      <w:tab w:val="left" w:pos="5088"/>
                    </w:tabs>
                    <w:jc w:val="center"/>
                    <w:rPr>
                      <w:rFonts w:eastAsiaTheme="minorEastAsia"/>
                      <w:color w:val="auto"/>
                      <w:sz w:val="18"/>
                      <w:szCs w:val="18"/>
                    </w:rPr>
                  </w:pPr>
                </w:p>
              </w:tc>
              <w:tc>
                <w:tcPr>
                  <w:tcW w:w="465" w:type="pct"/>
                  <w:vAlign w:val="center"/>
                </w:tcPr>
                <w:p w14:paraId="1DA3765E">
                  <w:pPr>
                    <w:tabs>
                      <w:tab w:val="left" w:pos="5088"/>
                    </w:tabs>
                    <w:jc w:val="center"/>
                    <w:rPr>
                      <w:rFonts w:eastAsiaTheme="minorEastAsia"/>
                      <w:color w:val="auto"/>
                      <w:sz w:val="18"/>
                      <w:szCs w:val="18"/>
                    </w:rPr>
                  </w:pPr>
                  <w:r>
                    <w:rPr>
                      <w:rFonts w:hAnsiTheme="minorEastAsia" w:eastAsiaTheme="minorEastAsia"/>
                      <w:color w:val="auto"/>
                      <w:sz w:val="18"/>
                      <w:szCs w:val="18"/>
                    </w:rPr>
                    <w:t>危险废物</w:t>
                  </w:r>
                </w:p>
              </w:tc>
              <w:tc>
                <w:tcPr>
                  <w:tcW w:w="1724" w:type="pct"/>
                  <w:vAlign w:val="center"/>
                </w:tcPr>
                <w:p w14:paraId="41FD6182">
                  <w:pPr>
                    <w:tabs>
                      <w:tab w:val="left" w:pos="5088"/>
                    </w:tabs>
                    <w:jc w:val="center"/>
                    <w:rPr>
                      <w:rFonts w:hint="default" w:eastAsiaTheme="minorEastAsia"/>
                      <w:color w:val="auto"/>
                      <w:sz w:val="18"/>
                      <w:szCs w:val="18"/>
                      <w:lang w:val="en-US" w:eastAsia="zh-CN"/>
                    </w:rPr>
                  </w:pPr>
                  <w:r>
                    <w:rPr>
                      <w:rFonts w:hint="eastAsia" w:hAnsiTheme="minorEastAsia" w:eastAsiaTheme="minorEastAsia"/>
                      <w:color w:val="auto"/>
                      <w:sz w:val="18"/>
                      <w:szCs w:val="18"/>
                      <w:lang w:val="en-US" w:eastAsia="zh-CN"/>
                    </w:rPr>
                    <w:t>在1#厂房内设</w:t>
                  </w:r>
                  <w:r>
                    <w:rPr>
                      <w:rFonts w:hint="eastAsia" w:eastAsiaTheme="minorEastAsia"/>
                      <w:color w:val="auto"/>
                      <w:sz w:val="18"/>
                      <w:szCs w:val="18"/>
                      <w:lang w:val="en-US" w:eastAsia="zh-CN"/>
                    </w:rPr>
                    <w:t>一间125㎡危险废物贮存间，危险废物委托有资质单位处置</w:t>
                  </w:r>
                </w:p>
              </w:tc>
              <w:tc>
                <w:tcPr>
                  <w:tcW w:w="1510" w:type="pct"/>
                  <w:vAlign w:val="center"/>
                </w:tcPr>
                <w:p w14:paraId="79BB92BE">
                  <w:pPr>
                    <w:jc w:val="center"/>
                    <w:rPr>
                      <w:rFonts w:hint="default" w:eastAsiaTheme="minorEastAsia"/>
                      <w:color w:val="auto"/>
                      <w:sz w:val="18"/>
                      <w:szCs w:val="18"/>
                      <w:lang w:val="en-US" w:eastAsia="zh-CN"/>
                    </w:rPr>
                  </w:pPr>
                  <w:r>
                    <w:rPr>
                      <w:rFonts w:hint="eastAsia" w:hAnsiTheme="minorEastAsia" w:eastAsiaTheme="minorEastAsia"/>
                      <w:color w:val="auto"/>
                      <w:sz w:val="18"/>
                      <w:szCs w:val="18"/>
                      <w:lang w:val="en-US" w:eastAsia="zh-CN"/>
                    </w:rPr>
                    <w:t>在2#厂房1F内设</w:t>
                  </w:r>
                  <w:r>
                    <w:rPr>
                      <w:rFonts w:hint="eastAsia" w:eastAsiaTheme="minorEastAsia"/>
                      <w:color w:val="auto"/>
                      <w:sz w:val="18"/>
                      <w:szCs w:val="18"/>
                      <w:lang w:val="en-US" w:eastAsia="zh-CN"/>
                    </w:rPr>
                    <w:t>一间125㎡危险废物贮存间，危险废物委托有资质单位处置</w:t>
                  </w:r>
                </w:p>
              </w:tc>
              <w:tc>
                <w:tcPr>
                  <w:tcW w:w="1067" w:type="pct"/>
                  <w:vAlign w:val="center"/>
                </w:tcPr>
                <w:p w14:paraId="0997B20A">
                  <w:pPr>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位置变化，面积不变</w:t>
                  </w:r>
                </w:p>
              </w:tc>
            </w:tr>
          </w:tbl>
          <w:p w14:paraId="54B8E5F8">
            <w:pPr>
              <w:pStyle w:val="5"/>
              <w:keepNext w:val="0"/>
              <w:spacing w:before="120" w:beforeLines="50" w:line="360" w:lineRule="auto"/>
              <w:ind w:firstLine="482" w:firstLineChars="200"/>
              <w:rPr>
                <w:rFonts w:hint="eastAsia" w:hAnsiTheme="minorEastAsia" w:eastAsiaTheme="minorEastAsia"/>
                <w:b/>
                <w:bCs/>
                <w:color w:val="auto"/>
                <w:sz w:val="24"/>
                <w:szCs w:val="24"/>
              </w:rPr>
            </w:pPr>
            <w:r>
              <w:rPr>
                <w:rFonts w:hint="eastAsia" w:hAnsiTheme="minorEastAsia" w:eastAsiaTheme="minorEastAsia"/>
                <w:b/>
                <w:bCs/>
                <w:color w:val="auto"/>
                <w:sz w:val="24"/>
                <w:szCs w:val="24"/>
              </w:rPr>
              <w:t>（4）</w:t>
            </w:r>
            <w:r>
              <w:rPr>
                <w:rFonts w:hAnsiTheme="minorEastAsia" w:eastAsiaTheme="minorEastAsia"/>
                <w:b/>
                <w:bCs/>
                <w:color w:val="auto"/>
                <w:sz w:val="24"/>
                <w:szCs w:val="24"/>
              </w:rPr>
              <w:t>主要设备</w:t>
            </w:r>
          </w:p>
          <w:p w14:paraId="0F0308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lang w:val="zh-CN"/>
              </w:rPr>
            </w:pPr>
            <w:r>
              <w:rPr>
                <w:b/>
                <w:bCs/>
                <w:color w:val="auto"/>
                <w:sz w:val="24"/>
                <w:szCs w:val="24"/>
                <w:lang w:val="zh-CN"/>
              </w:rPr>
              <w:t>表</w:t>
            </w:r>
            <w:r>
              <w:rPr>
                <w:rFonts w:hint="eastAsia"/>
                <w:b/>
                <w:bCs/>
                <w:color w:val="auto"/>
                <w:sz w:val="24"/>
                <w:szCs w:val="24"/>
                <w:lang w:val="zh-CN"/>
              </w:rPr>
              <w:t>2-</w:t>
            </w:r>
            <w:r>
              <w:rPr>
                <w:rFonts w:hint="eastAsia"/>
                <w:b/>
                <w:bCs/>
                <w:color w:val="auto"/>
                <w:sz w:val="24"/>
                <w:szCs w:val="24"/>
                <w:lang w:val="en-US" w:eastAsia="zh-CN"/>
              </w:rPr>
              <w:t>6</w:t>
            </w:r>
            <w:r>
              <w:rPr>
                <w:b/>
                <w:bCs/>
                <w:color w:val="auto"/>
                <w:sz w:val="24"/>
                <w:szCs w:val="24"/>
                <w:lang w:val="zh-CN"/>
              </w:rPr>
              <w:t xml:space="preserve">  </w:t>
            </w:r>
            <w:r>
              <w:rPr>
                <w:rFonts w:hint="eastAsia"/>
                <w:b/>
                <w:bCs/>
                <w:color w:val="auto"/>
                <w:sz w:val="24"/>
                <w:szCs w:val="24"/>
              </w:rPr>
              <w:t>项目</w:t>
            </w:r>
            <w:r>
              <w:rPr>
                <w:rFonts w:hint="eastAsia"/>
                <w:b/>
                <w:bCs/>
                <w:color w:val="auto"/>
                <w:sz w:val="24"/>
                <w:szCs w:val="24"/>
                <w:lang w:val="en-US" w:eastAsia="zh-CN"/>
              </w:rPr>
              <w:t>主要生产</w:t>
            </w:r>
            <w:r>
              <w:rPr>
                <w:rFonts w:hint="eastAsia"/>
                <w:b/>
                <w:bCs/>
                <w:color w:val="auto"/>
                <w:sz w:val="24"/>
                <w:szCs w:val="24"/>
                <w:lang w:val="zh-CN"/>
              </w:rPr>
              <w:t>设备一览表</w:t>
            </w:r>
          </w:p>
          <w:p w14:paraId="4247409D">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7D203DF9">
            <w:pPr>
              <w:widowControl/>
              <w:spacing w:beforeLines="50" w:line="360" w:lineRule="auto"/>
              <w:ind w:firstLine="480" w:firstLineChars="200"/>
              <w:jc w:val="left"/>
              <w:rPr>
                <w:rFonts w:ascii="Times New Roman" w:hAnsi="Times New Roman"/>
                <w:color w:val="auto"/>
                <w:sz w:val="24"/>
                <w:szCs w:val="24"/>
              </w:rPr>
            </w:pPr>
            <w:r>
              <w:rPr>
                <w:rFonts w:hint="eastAsia"/>
                <w:color w:val="auto"/>
                <w:kern w:val="0"/>
                <w:sz w:val="24"/>
                <w:szCs w:val="24"/>
                <w:lang w:val="en-US" w:eastAsia="zh-CN"/>
              </w:rPr>
              <w:t>生产线</w:t>
            </w:r>
            <w:r>
              <w:rPr>
                <w:rFonts w:ascii="Times New Roman" w:hAnsi="Times New Roman"/>
                <w:color w:val="auto"/>
                <w:kern w:val="0"/>
                <w:sz w:val="24"/>
                <w:szCs w:val="24"/>
              </w:rPr>
              <w:t>产能核算：</w:t>
            </w:r>
          </w:p>
          <w:p w14:paraId="406442DC">
            <w:pPr>
              <w:widowControl/>
              <w:spacing w:line="360" w:lineRule="auto"/>
              <w:ind w:firstLine="480" w:firstLineChars="200"/>
              <w:rPr>
                <w:rFonts w:hint="eastAsia" w:ascii="Times New Roman" w:hAnsi="Times New Roman"/>
                <w:color w:val="auto"/>
                <w:kern w:val="0"/>
                <w:sz w:val="24"/>
                <w:szCs w:val="24"/>
              </w:rPr>
            </w:pPr>
            <w:r>
              <w:rPr>
                <w:rFonts w:hint="eastAsia" w:ascii="Times New Roman" w:hAnsi="Times New Roman"/>
                <w:color w:val="auto"/>
                <w:kern w:val="0"/>
                <w:sz w:val="24"/>
                <w:szCs w:val="24"/>
              </w:rPr>
              <w:t>本项目</w:t>
            </w:r>
            <w:r>
              <w:rPr>
                <w:rFonts w:hint="eastAsia"/>
                <w:color w:val="auto"/>
                <w:kern w:val="0"/>
                <w:sz w:val="24"/>
                <w:szCs w:val="24"/>
                <w:lang w:val="en-US" w:eastAsia="zh-CN"/>
              </w:rPr>
              <w:t>铸造生产线</w:t>
            </w:r>
            <w:r>
              <w:rPr>
                <w:rFonts w:hint="eastAsia" w:ascii="Times New Roman" w:hAnsi="Times New Roman"/>
                <w:color w:val="auto"/>
                <w:kern w:val="0"/>
                <w:sz w:val="24"/>
                <w:szCs w:val="24"/>
              </w:rPr>
              <w:t>主要原料为废钢、</w:t>
            </w:r>
            <w:r>
              <w:rPr>
                <w:rFonts w:hint="eastAsia"/>
                <w:color w:val="auto"/>
                <w:kern w:val="0"/>
                <w:sz w:val="24"/>
                <w:szCs w:val="24"/>
                <w:lang w:val="en-US" w:eastAsia="zh-CN"/>
              </w:rPr>
              <w:t>生铁</w:t>
            </w:r>
            <w:r>
              <w:rPr>
                <w:rFonts w:hint="eastAsia" w:ascii="Times New Roman" w:hAnsi="Times New Roman"/>
                <w:color w:val="auto"/>
                <w:kern w:val="0"/>
                <w:sz w:val="24"/>
                <w:szCs w:val="24"/>
              </w:rPr>
              <w:t>等，拟购置</w:t>
            </w:r>
            <w:r>
              <w:rPr>
                <w:rFonts w:hint="eastAsia"/>
                <w:color w:val="auto"/>
                <w:kern w:val="0"/>
                <w:sz w:val="24"/>
                <w:szCs w:val="24"/>
                <w:lang w:val="en-US" w:eastAsia="zh-CN"/>
              </w:rPr>
              <w:t>5套</w:t>
            </w:r>
            <w:r>
              <w:rPr>
                <w:rFonts w:hint="eastAsia" w:ascii="Times New Roman" w:hAnsi="Times New Roman"/>
                <w:color w:val="auto"/>
                <w:kern w:val="0"/>
                <w:sz w:val="24"/>
                <w:szCs w:val="24"/>
              </w:rPr>
              <w:t>钢壳磁轭中频电炉，3套冷室压铸机（配备3套500kg压铸熔化炉），建设铸造生产线（包含</w:t>
            </w:r>
            <w:r>
              <w:rPr>
                <w:rFonts w:hint="eastAsia"/>
                <w:color w:val="auto"/>
                <w:kern w:val="0"/>
                <w:sz w:val="24"/>
                <w:szCs w:val="24"/>
                <w:lang w:val="en-US" w:eastAsia="zh-CN"/>
              </w:rPr>
              <w:t>1条</w:t>
            </w:r>
            <w:r>
              <w:rPr>
                <w:rFonts w:hint="eastAsia" w:ascii="Times New Roman" w:hAnsi="Times New Roman"/>
                <w:color w:val="auto"/>
                <w:kern w:val="0"/>
                <w:sz w:val="24"/>
                <w:szCs w:val="24"/>
              </w:rPr>
              <w:t>粘土砂铸造生产线、1条树脂砂铸造生产线、1条熔模铸造生产线）、消防配件铸锻件生产线，涉及机加工、喷粉、红冲</w:t>
            </w:r>
            <w:r>
              <w:rPr>
                <w:rFonts w:hint="eastAsia"/>
                <w:color w:val="auto"/>
                <w:kern w:val="0"/>
                <w:sz w:val="24"/>
                <w:szCs w:val="24"/>
                <w:lang w:eastAsia="zh-CN"/>
              </w:rPr>
              <w:t>、</w:t>
            </w:r>
            <w:r>
              <w:rPr>
                <w:rFonts w:hint="eastAsia" w:ascii="Times New Roman" w:hAnsi="Times New Roman"/>
                <w:color w:val="auto"/>
                <w:kern w:val="0"/>
                <w:sz w:val="24"/>
                <w:szCs w:val="24"/>
              </w:rPr>
              <w:t>压铸、拌料、挤出等工艺。项目铸造生产线加工规模主要由钢壳中频电炉生产能力所决定，压铸工艺加工规模主要由压铸电熔炉生产能力所决定，根据建设单位提供的中频炉和压铸电熔炉规格及其单批次熔化时间、工作时间等参数，核算本项目的铸造生产线及压铸工艺设计产能，详见下表。</w:t>
            </w:r>
            <w:r>
              <w:rPr>
                <w:rFonts w:hint="eastAsia" w:hAnsiTheme="minorEastAsia" w:eastAsiaTheme="minorEastAsia"/>
                <w:b w:val="0"/>
                <w:bCs w:val="0"/>
                <w:color w:val="auto"/>
                <w:sz w:val="24"/>
                <w:szCs w:val="24"/>
                <w:lang w:val="en-US" w:eastAsia="zh-CN"/>
              </w:rPr>
              <w:t>根据上表核算结果，本项目</w:t>
            </w:r>
            <w:r>
              <w:rPr>
                <w:rFonts w:hint="eastAsia" w:ascii="Times New Roman" w:hAnsi="Times New Roman"/>
                <w:b w:val="0"/>
                <w:bCs w:val="0"/>
                <w:color w:val="auto"/>
                <w:kern w:val="0"/>
                <w:sz w:val="24"/>
                <w:szCs w:val="24"/>
              </w:rPr>
              <w:t>中频炉、压铸电熔炉的生产能力</w:t>
            </w:r>
            <w:r>
              <w:rPr>
                <w:rFonts w:hint="eastAsia"/>
                <w:b w:val="0"/>
                <w:bCs w:val="0"/>
                <w:color w:val="auto"/>
                <w:kern w:val="0"/>
                <w:sz w:val="24"/>
                <w:szCs w:val="24"/>
                <w:lang w:val="en-US" w:eastAsia="zh-CN"/>
              </w:rPr>
              <w:t>满足本项目生产需求。</w:t>
            </w:r>
          </w:p>
          <w:p w14:paraId="43A08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b/>
                <w:bCs/>
                <w:color w:val="auto"/>
                <w:kern w:val="0"/>
                <w:sz w:val="24"/>
                <w:szCs w:val="24"/>
              </w:rPr>
            </w:pPr>
            <w:r>
              <w:rPr>
                <w:rFonts w:hint="eastAsia" w:ascii="Times New Roman" w:hAnsi="Times New Roman"/>
                <w:b/>
                <w:bCs/>
                <w:color w:val="auto"/>
                <w:kern w:val="0"/>
                <w:sz w:val="24"/>
                <w:szCs w:val="24"/>
              </w:rPr>
              <w:t>表2-</w:t>
            </w:r>
            <w:r>
              <w:rPr>
                <w:rFonts w:hint="eastAsia"/>
                <w:b/>
                <w:bCs/>
                <w:color w:val="auto"/>
                <w:kern w:val="0"/>
                <w:sz w:val="24"/>
                <w:szCs w:val="24"/>
                <w:lang w:val="en-US" w:eastAsia="zh-CN"/>
              </w:rPr>
              <w:t>7</w:t>
            </w:r>
            <w:r>
              <w:rPr>
                <w:rFonts w:hint="eastAsia" w:ascii="Times New Roman" w:hAnsi="Times New Roman"/>
                <w:b/>
                <w:bCs/>
                <w:color w:val="auto"/>
                <w:kern w:val="0"/>
                <w:sz w:val="24"/>
                <w:szCs w:val="24"/>
              </w:rPr>
              <w:t xml:space="preserve"> </w:t>
            </w:r>
            <w:r>
              <w:rPr>
                <w:rFonts w:hint="eastAsia"/>
                <w:b/>
                <w:bCs/>
                <w:color w:val="auto"/>
                <w:kern w:val="0"/>
                <w:sz w:val="24"/>
                <w:szCs w:val="24"/>
                <w:lang w:val="en-US" w:eastAsia="zh-CN"/>
              </w:rPr>
              <w:t xml:space="preserve">  </w:t>
            </w:r>
            <w:r>
              <w:rPr>
                <w:rFonts w:hint="eastAsia" w:ascii="Times New Roman" w:hAnsi="Times New Roman"/>
                <w:b/>
                <w:bCs/>
                <w:color w:val="auto"/>
                <w:kern w:val="0"/>
                <w:sz w:val="24"/>
                <w:szCs w:val="24"/>
              </w:rPr>
              <w:t>项目拟配备中频炉、压铸电熔炉的生产能力核算一览表</w:t>
            </w:r>
          </w:p>
          <w:p w14:paraId="35C3F0FB">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088FB5A8">
            <w:pPr>
              <w:pStyle w:val="5"/>
              <w:keepNext w:val="0"/>
              <w:spacing w:before="120" w:beforeLines="50" w:line="360" w:lineRule="auto"/>
              <w:ind w:firstLine="480" w:firstLineChars="200"/>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根据建设单位提供资料，本项目部分精密铸件水枪头（铸钢件）、报警阀门（铸铁件）作为消防栓箱配件，不单独外售。水枪头重量约0.45kg/个，报警阀门重量约5.0kg/个。本项目生产70万套消防栓箱，则项目自用的精密铸件总量约0.45kg×70万+5.0kg×70万=3815t</w:t>
            </w:r>
            <w:r>
              <w:rPr>
                <w:rFonts w:hint="eastAsia" w:ascii="Times New Roman" w:hAnsi="Times New Roman" w:cs="Times New Roman" w:eastAsiaTheme="minorEastAsia"/>
                <w:b w:val="0"/>
                <w:bCs w:val="0"/>
                <w:color w:val="auto"/>
                <w:kern w:val="2"/>
                <w:sz w:val="24"/>
                <w:szCs w:val="24"/>
                <w:lang w:val="en-US" w:eastAsia="zh-CN" w:bidi="ar-SA"/>
              </w:rPr>
              <w:t>。</w:t>
            </w:r>
          </w:p>
          <w:p w14:paraId="238775A4">
            <w:pPr>
              <w:pStyle w:val="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Theme="minorEastAsia" w:eastAsiaTheme="minorEastAsia"/>
                <w:b/>
                <w:bCs/>
                <w:color w:val="auto"/>
                <w:sz w:val="24"/>
                <w:szCs w:val="24"/>
              </w:rPr>
            </w:pPr>
            <w:r>
              <w:rPr>
                <w:rFonts w:hint="eastAsia" w:hAnsiTheme="minorEastAsia" w:eastAsiaTheme="minorEastAsia"/>
                <w:b/>
                <w:bCs/>
                <w:color w:val="auto"/>
                <w:sz w:val="24"/>
                <w:szCs w:val="24"/>
              </w:rPr>
              <w:t>（5）主要原辅材料</w:t>
            </w:r>
          </w:p>
          <w:p w14:paraId="659E97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color w:val="auto"/>
                <w:sz w:val="24"/>
                <w:szCs w:val="24"/>
              </w:rPr>
            </w:pPr>
            <w:r>
              <w:rPr>
                <w:b/>
                <w:color w:val="auto"/>
                <w:sz w:val="24"/>
                <w:szCs w:val="24"/>
              </w:rPr>
              <w:t>表</w:t>
            </w:r>
            <w:r>
              <w:rPr>
                <w:rFonts w:hint="eastAsia"/>
                <w:b/>
                <w:color w:val="auto"/>
                <w:sz w:val="24"/>
                <w:szCs w:val="24"/>
              </w:rPr>
              <w:t>2</w:t>
            </w:r>
            <w:r>
              <w:rPr>
                <w:b/>
                <w:color w:val="auto"/>
                <w:sz w:val="24"/>
                <w:szCs w:val="24"/>
              </w:rPr>
              <w:t>-</w:t>
            </w:r>
            <w:r>
              <w:rPr>
                <w:rFonts w:hint="eastAsia"/>
                <w:b/>
                <w:color w:val="auto"/>
                <w:sz w:val="24"/>
                <w:szCs w:val="24"/>
                <w:lang w:val="en-US" w:eastAsia="zh-CN"/>
              </w:rPr>
              <w:t>8</w:t>
            </w:r>
            <w:r>
              <w:rPr>
                <w:b/>
                <w:color w:val="auto"/>
                <w:sz w:val="24"/>
                <w:szCs w:val="24"/>
              </w:rPr>
              <w:t xml:space="preserve"> </w:t>
            </w:r>
            <w:r>
              <w:rPr>
                <w:rFonts w:hint="eastAsia"/>
                <w:b/>
                <w:color w:val="auto"/>
                <w:sz w:val="24"/>
                <w:szCs w:val="24"/>
              </w:rPr>
              <w:t xml:space="preserve"> 本项目主要原辅材料一览表</w:t>
            </w:r>
          </w:p>
          <w:p w14:paraId="294125BF">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57C67175">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hint="eastAsia"/>
                <w:b/>
                <w:bCs/>
                <w:color w:val="auto"/>
                <w:kern w:val="0"/>
                <w:sz w:val="24"/>
                <w:szCs w:val="24"/>
                <w:lang w:val="en-US" w:eastAsia="zh-CN"/>
              </w:rPr>
            </w:pPr>
            <w:r>
              <w:rPr>
                <w:rFonts w:hint="eastAsia"/>
                <w:b/>
                <w:bCs/>
                <w:color w:val="auto"/>
                <w:kern w:val="0"/>
                <w:sz w:val="24"/>
                <w:szCs w:val="24"/>
                <w:lang w:val="en-US" w:eastAsia="zh-CN"/>
              </w:rPr>
              <w:t>表2-9  项目塑粉用量核算一览表</w:t>
            </w:r>
          </w:p>
          <w:p w14:paraId="67C950ED">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4F34E27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szCs w:val="24"/>
              </w:rPr>
            </w:pPr>
            <w:r>
              <w:rPr>
                <w:rFonts w:hint="eastAsia"/>
                <w:color w:val="auto"/>
                <w:sz w:val="24"/>
                <w:szCs w:val="24"/>
              </w:rPr>
              <w:t>本项目原辅材料理化性质见表2-</w:t>
            </w:r>
            <w:r>
              <w:rPr>
                <w:rFonts w:hint="eastAsia"/>
                <w:color w:val="auto"/>
                <w:sz w:val="24"/>
                <w:szCs w:val="24"/>
                <w:lang w:val="en-US" w:eastAsia="zh-CN"/>
              </w:rPr>
              <w:t>10</w:t>
            </w:r>
            <w:r>
              <w:rPr>
                <w:rFonts w:hint="eastAsia"/>
                <w:color w:val="auto"/>
                <w:sz w:val="24"/>
                <w:szCs w:val="24"/>
              </w:rPr>
              <w:t>：</w:t>
            </w:r>
            <w:bookmarkStart w:id="13" w:name="_Ref475270641"/>
          </w:p>
          <w:p w14:paraId="3B4462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rPr>
            </w:pPr>
            <w:r>
              <w:rPr>
                <w:rFonts w:hint="eastAsia"/>
                <w:b/>
                <w:color w:val="auto"/>
                <w:sz w:val="24"/>
                <w:szCs w:val="24"/>
              </w:rPr>
              <w:t>表2-</w:t>
            </w:r>
            <w:r>
              <w:rPr>
                <w:rFonts w:hint="eastAsia"/>
                <w:b/>
                <w:color w:val="auto"/>
                <w:sz w:val="24"/>
                <w:szCs w:val="24"/>
                <w:lang w:val="en-US" w:eastAsia="zh-CN"/>
              </w:rPr>
              <w:t>10</w:t>
            </w:r>
            <w:r>
              <w:rPr>
                <w:rFonts w:hint="eastAsia"/>
                <w:b/>
                <w:color w:val="auto"/>
                <w:sz w:val="24"/>
                <w:szCs w:val="24"/>
              </w:rPr>
              <w:t xml:space="preserve">  主要原辅材料物质理化性质与毒理特征</w:t>
            </w:r>
            <w:bookmarkEnd w:id="13"/>
          </w:p>
          <w:tbl>
            <w:tblPr>
              <w:tblStyle w:val="30"/>
              <w:tblW w:w="502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7553"/>
            </w:tblGrid>
            <w:tr w14:paraId="17FE4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vAlign w:val="center"/>
                </w:tcPr>
                <w:p w14:paraId="538B9469">
                  <w:pPr>
                    <w:jc w:val="center"/>
                    <w:rPr>
                      <w:b/>
                      <w:bCs/>
                      <w:color w:val="auto"/>
                      <w:sz w:val="18"/>
                      <w:szCs w:val="18"/>
                    </w:rPr>
                  </w:pPr>
                  <w:r>
                    <w:rPr>
                      <w:b/>
                      <w:bCs/>
                      <w:color w:val="auto"/>
                      <w:sz w:val="18"/>
                      <w:szCs w:val="18"/>
                    </w:rPr>
                    <w:t>名称</w:t>
                  </w:r>
                </w:p>
              </w:tc>
              <w:tc>
                <w:tcPr>
                  <w:tcW w:w="4389" w:type="pct"/>
                  <w:tcBorders>
                    <w:tl2br w:val="nil"/>
                    <w:tr2bl w:val="nil"/>
                  </w:tcBorders>
                  <w:vAlign w:val="center"/>
                </w:tcPr>
                <w:p w14:paraId="34578FA2">
                  <w:pPr>
                    <w:jc w:val="center"/>
                    <w:rPr>
                      <w:b/>
                      <w:bCs/>
                      <w:color w:val="auto"/>
                      <w:sz w:val="18"/>
                      <w:szCs w:val="18"/>
                    </w:rPr>
                  </w:pPr>
                  <w:r>
                    <w:rPr>
                      <w:b/>
                      <w:bCs/>
                      <w:color w:val="auto"/>
                      <w:sz w:val="18"/>
                      <w:szCs w:val="18"/>
                    </w:rPr>
                    <w:t>理化性质</w:t>
                  </w:r>
                </w:p>
              </w:tc>
            </w:tr>
            <w:tr w14:paraId="09834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2A052367">
                  <w:pPr>
                    <w:snapToGrid w:val="0"/>
                    <w:jc w:val="center"/>
                    <w:rPr>
                      <w:rFonts w:hint="eastAsia" w:eastAsia="宋体"/>
                      <w:color w:val="auto"/>
                      <w:sz w:val="18"/>
                      <w:szCs w:val="18"/>
                      <w:lang w:eastAsia="zh-CN"/>
                    </w:rPr>
                  </w:pPr>
                  <w:r>
                    <w:rPr>
                      <w:rFonts w:hint="eastAsia"/>
                      <w:color w:val="auto"/>
                      <w:sz w:val="18"/>
                      <w:szCs w:val="18"/>
                      <w:lang w:val="en-US" w:eastAsia="zh-CN"/>
                    </w:rPr>
                    <w:t>生铁</w:t>
                  </w:r>
                </w:p>
              </w:tc>
              <w:tc>
                <w:tcPr>
                  <w:tcW w:w="4389" w:type="pct"/>
                  <w:tcBorders>
                    <w:tl2br w:val="nil"/>
                    <w:tr2bl w:val="nil"/>
                  </w:tcBorders>
                  <w:vAlign w:val="center"/>
                </w:tcPr>
                <w:p w14:paraId="550D0FDC">
                  <w:pPr>
                    <w:jc w:val="left"/>
                    <w:rPr>
                      <w:color w:val="auto"/>
                      <w:sz w:val="18"/>
                      <w:szCs w:val="18"/>
                    </w:rPr>
                  </w:pPr>
                  <w:r>
                    <w:rPr>
                      <w:rFonts w:hint="eastAsia"/>
                      <w:color w:val="auto"/>
                      <w:sz w:val="18"/>
                      <w:szCs w:val="18"/>
                    </w:rPr>
                    <w:t>为原生料，含碳量大于2%的铁碳合金，工业生铁含碳量一般为2.11%~4.3%，并含硅、锰、硫、磷等元素，是用铁矿石经高炉冶炼的产品，具有坚硬、耐磨、铸造性好的特性。</w:t>
                  </w:r>
                </w:p>
              </w:tc>
            </w:tr>
            <w:tr w14:paraId="4A289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3E8CEF36">
                  <w:pPr>
                    <w:snapToGrid w:val="0"/>
                    <w:jc w:val="center"/>
                    <w:rPr>
                      <w:rFonts w:hint="eastAsia" w:eastAsia="宋体"/>
                      <w:color w:val="auto"/>
                      <w:sz w:val="18"/>
                      <w:szCs w:val="18"/>
                      <w:lang w:eastAsia="zh-CN"/>
                    </w:rPr>
                  </w:pPr>
                  <w:r>
                    <w:rPr>
                      <w:rFonts w:hint="eastAsia"/>
                      <w:color w:val="auto"/>
                      <w:sz w:val="18"/>
                      <w:szCs w:val="18"/>
                      <w:lang w:val="en-US" w:eastAsia="zh-CN"/>
                    </w:rPr>
                    <w:t>废钢</w:t>
                  </w:r>
                </w:p>
              </w:tc>
              <w:tc>
                <w:tcPr>
                  <w:tcW w:w="4389" w:type="pct"/>
                  <w:tcBorders>
                    <w:tl2br w:val="nil"/>
                    <w:tr2bl w:val="nil"/>
                  </w:tcBorders>
                  <w:vAlign w:val="center"/>
                </w:tcPr>
                <w:p w14:paraId="35FD1205">
                  <w:pPr>
                    <w:jc w:val="left"/>
                    <w:rPr>
                      <w:rFonts w:hint="eastAsia"/>
                      <w:color w:val="auto"/>
                      <w:sz w:val="18"/>
                      <w:szCs w:val="18"/>
                    </w:rPr>
                  </w:pPr>
                  <w:r>
                    <w:rPr>
                      <w:rFonts w:hint="eastAsia"/>
                      <w:color w:val="auto"/>
                      <w:sz w:val="18"/>
                      <w:szCs w:val="18"/>
                    </w:rPr>
                    <w:t>项目外购的废钢为钢材边角料，属于经过分选归类的不含有机涂层、油污、乳化液、切削液、塑料、橡胶等可直接熔化的钢材边角料，包括201、304等不锈钢。不锈钢为不锈耐酸钢的简称，201、304不锈钢属于铬镍不锈钢，含铬量为12~18%，含镍量为1~8%。</w:t>
                  </w:r>
                </w:p>
                <w:p w14:paraId="366DFDC8">
                  <w:pPr>
                    <w:jc w:val="left"/>
                    <w:rPr>
                      <w:rFonts w:hint="eastAsia"/>
                      <w:color w:val="auto"/>
                      <w:sz w:val="18"/>
                      <w:szCs w:val="18"/>
                    </w:rPr>
                  </w:pPr>
                  <w:r>
                    <w:rPr>
                      <w:rFonts w:hint="eastAsia"/>
                      <w:color w:val="auto"/>
                      <w:sz w:val="18"/>
                      <w:szCs w:val="18"/>
                    </w:rPr>
                    <w:t>为确保本项目使用的废钢洁净度，要求建设单位严格把关控制原材料的选择</w:t>
                  </w:r>
                  <w:r>
                    <w:rPr>
                      <w:rFonts w:hint="eastAsia"/>
                      <w:color w:val="auto"/>
                      <w:sz w:val="18"/>
                      <w:szCs w:val="18"/>
                      <w:lang w:val="en-US" w:eastAsia="zh-CN"/>
                    </w:rPr>
                    <w:t>和</w:t>
                  </w:r>
                  <w:r>
                    <w:rPr>
                      <w:rFonts w:hint="eastAsia"/>
                      <w:color w:val="auto"/>
                      <w:sz w:val="18"/>
                      <w:szCs w:val="18"/>
                    </w:rPr>
                    <w:t>使用，钢材边角料进厂由专人负责对进厂的品质进行检查，不得使用含有有机涂层、镀层、油污、乳化液、切削液、塑料、橡胶及表面有明显灰尘的废钢，符合本项目进厂品质要求的钢材边角料块打包后方可进厂，直接进入原料仓库暂存。</w:t>
                  </w:r>
                </w:p>
              </w:tc>
            </w:tr>
            <w:tr w14:paraId="3E799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0CB5CECF">
                  <w:pPr>
                    <w:snapToGrid w:val="0"/>
                    <w:jc w:val="center"/>
                    <w:rPr>
                      <w:rFonts w:hint="eastAsia"/>
                      <w:color w:val="auto"/>
                      <w:sz w:val="18"/>
                      <w:szCs w:val="18"/>
                      <w:lang w:val="en-US" w:eastAsia="zh-CN"/>
                    </w:rPr>
                  </w:pPr>
                  <w:r>
                    <w:rPr>
                      <w:rFonts w:hint="eastAsia"/>
                      <w:color w:val="auto"/>
                      <w:sz w:val="18"/>
                      <w:szCs w:val="18"/>
                    </w:rPr>
                    <w:t>硅铁</w:t>
                  </w:r>
                </w:p>
              </w:tc>
              <w:tc>
                <w:tcPr>
                  <w:tcW w:w="4389" w:type="pct"/>
                  <w:tcBorders>
                    <w:tl2br w:val="nil"/>
                    <w:tr2bl w:val="nil"/>
                  </w:tcBorders>
                  <w:vAlign w:val="center"/>
                </w:tcPr>
                <w:p w14:paraId="57F8C397">
                  <w:pPr>
                    <w:jc w:val="left"/>
                    <w:rPr>
                      <w:rFonts w:hint="eastAsia"/>
                      <w:color w:val="auto"/>
                      <w:sz w:val="18"/>
                      <w:szCs w:val="18"/>
                    </w:rPr>
                  </w:pPr>
                  <w:r>
                    <w:rPr>
                      <w:rFonts w:hint="eastAsia"/>
                      <w:color w:val="auto"/>
                      <w:sz w:val="18"/>
                      <w:szCs w:val="18"/>
                    </w:rPr>
                    <w:t>硅铁是铁和硅组成的铁合金，容易熔化，具有优良的铸造性能和比钢更好的抗震能力，在铸铁中加入一定量的硅铁能阻止铁中形成碳化物，改善铸铁性能。</w:t>
                  </w:r>
                </w:p>
              </w:tc>
            </w:tr>
            <w:tr w14:paraId="65E47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42991AF0">
                  <w:pPr>
                    <w:snapToGrid w:val="0"/>
                    <w:jc w:val="center"/>
                    <w:rPr>
                      <w:rFonts w:hint="default"/>
                      <w:color w:val="auto"/>
                      <w:sz w:val="18"/>
                      <w:szCs w:val="18"/>
                      <w:lang w:val="en-US" w:eastAsia="zh-CN"/>
                    </w:rPr>
                  </w:pPr>
                  <w:r>
                    <w:rPr>
                      <w:rFonts w:hint="eastAsia"/>
                      <w:color w:val="auto"/>
                      <w:sz w:val="18"/>
                      <w:szCs w:val="18"/>
                      <w:lang w:val="en-US" w:eastAsia="zh-CN"/>
                    </w:rPr>
                    <w:t>除渣剂</w:t>
                  </w:r>
                </w:p>
              </w:tc>
              <w:tc>
                <w:tcPr>
                  <w:tcW w:w="4389" w:type="pct"/>
                  <w:tcBorders>
                    <w:tl2br w:val="nil"/>
                    <w:tr2bl w:val="nil"/>
                  </w:tcBorders>
                  <w:vAlign w:val="center"/>
                </w:tcPr>
                <w:p w14:paraId="2D74151C">
                  <w:pPr>
                    <w:jc w:val="left"/>
                    <w:rPr>
                      <w:rFonts w:hint="eastAsia"/>
                      <w:color w:val="auto"/>
                      <w:sz w:val="18"/>
                      <w:szCs w:val="18"/>
                    </w:rPr>
                  </w:pPr>
                  <w:r>
                    <w:rPr>
                      <w:rFonts w:hint="eastAsia"/>
                      <w:color w:val="auto"/>
                      <w:sz w:val="18"/>
                      <w:szCs w:val="18"/>
                    </w:rPr>
                    <w:t>项目除渣剂主要用于铸造熔化工序，除渣剂的主要原料为火山灰矿物质，主要成分为硅酸盐，经过特殊加工配比而成，主要应用于聚集金属熔液表面的不熔物，使之易于除去，确保金属溶液的纯净。打渣剂不爆裂、铺展快速且均匀，聚渣能力强，有效防止铸件夹渣缺陷，提高铸件成品率。</w:t>
                  </w:r>
                </w:p>
              </w:tc>
            </w:tr>
            <w:tr w14:paraId="0AAA7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1E701C0D">
                  <w:pPr>
                    <w:snapToGrid w:val="0"/>
                    <w:jc w:val="center"/>
                    <w:rPr>
                      <w:rFonts w:hint="default"/>
                      <w:color w:val="auto"/>
                      <w:sz w:val="18"/>
                      <w:szCs w:val="18"/>
                      <w:lang w:val="en-US" w:eastAsia="zh-CN"/>
                    </w:rPr>
                  </w:pPr>
                  <w:r>
                    <w:rPr>
                      <w:rFonts w:hint="eastAsia"/>
                      <w:color w:val="auto"/>
                      <w:sz w:val="18"/>
                      <w:szCs w:val="18"/>
                      <w:lang w:val="en-US" w:eastAsia="zh-CN"/>
                    </w:rPr>
                    <w:t>球化剂</w:t>
                  </w:r>
                </w:p>
              </w:tc>
              <w:tc>
                <w:tcPr>
                  <w:tcW w:w="4389" w:type="pct"/>
                  <w:tcBorders>
                    <w:tl2br w:val="nil"/>
                    <w:tr2bl w:val="nil"/>
                  </w:tcBorders>
                  <w:vAlign w:val="center"/>
                </w:tcPr>
                <w:p w14:paraId="0C98D51E">
                  <w:pPr>
                    <w:jc w:val="left"/>
                    <w:rPr>
                      <w:rFonts w:hint="eastAsia"/>
                      <w:color w:val="auto"/>
                      <w:sz w:val="18"/>
                      <w:szCs w:val="18"/>
                    </w:rPr>
                  </w:pPr>
                  <w:r>
                    <w:rPr>
                      <w:rFonts w:hint="eastAsia"/>
                      <w:color w:val="auto"/>
                      <w:sz w:val="18"/>
                      <w:szCs w:val="18"/>
                    </w:rPr>
                    <w:t>可促使球墨铸铁中石墨结晶成球形的添加剂，主要成分为镁、硅、钙、铁等。</w:t>
                  </w:r>
                </w:p>
              </w:tc>
            </w:tr>
            <w:tr w14:paraId="2ABAB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2F7C4E3C">
                  <w:pPr>
                    <w:snapToGrid w:val="0"/>
                    <w:jc w:val="center"/>
                    <w:rPr>
                      <w:rFonts w:hint="default"/>
                      <w:color w:val="auto"/>
                      <w:sz w:val="18"/>
                      <w:szCs w:val="18"/>
                      <w:lang w:val="en-US" w:eastAsia="zh-CN"/>
                    </w:rPr>
                  </w:pPr>
                  <w:r>
                    <w:rPr>
                      <w:rFonts w:hint="eastAsia"/>
                      <w:color w:val="auto"/>
                      <w:sz w:val="18"/>
                      <w:szCs w:val="18"/>
                      <w:lang w:val="en-US" w:eastAsia="zh-CN"/>
                    </w:rPr>
                    <w:t>孕育剂</w:t>
                  </w:r>
                </w:p>
              </w:tc>
              <w:tc>
                <w:tcPr>
                  <w:tcW w:w="4389" w:type="pct"/>
                  <w:tcBorders>
                    <w:tl2br w:val="nil"/>
                    <w:tr2bl w:val="nil"/>
                  </w:tcBorders>
                  <w:vAlign w:val="center"/>
                </w:tcPr>
                <w:p w14:paraId="745306AB">
                  <w:pPr>
                    <w:jc w:val="left"/>
                    <w:rPr>
                      <w:rFonts w:hint="eastAsia"/>
                      <w:color w:val="auto"/>
                      <w:sz w:val="18"/>
                      <w:szCs w:val="18"/>
                    </w:rPr>
                  </w:pPr>
                  <w:r>
                    <w:rPr>
                      <w:rFonts w:hint="eastAsia"/>
                      <w:color w:val="auto"/>
                      <w:sz w:val="18"/>
                      <w:szCs w:val="18"/>
                    </w:rPr>
                    <w:t>是一种促进石墨化、减少白口倾向，改善石墨形态和分布状况，增加共晶团数量，细化基体组织的物质，主要成分为硅等。铸铁孕育处理所用的孕育剂加入量很少，对铸铁的化学成分影响甚小，对其显微组织的影响却很大，因而能改善灰铸铁的力学性能，对其物理性能也有明显的影响。</w:t>
                  </w:r>
                </w:p>
              </w:tc>
            </w:tr>
            <w:tr w14:paraId="5B24C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59449D31">
                  <w:pPr>
                    <w:snapToGrid w:val="0"/>
                    <w:jc w:val="center"/>
                    <w:rPr>
                      <w:rFonts w:hint="eastAsia"/>
                      <w:color w:val="auto"/>
                      <w:sz w:val="18"/>
                      <w:szCs w:val="18"/>
                      <w:lang w:val="en-US" w:eastAsia="zh-CN"/>
                    </w:rPr>
                  </w:pPr>
                  <w:r>
                    <w:rPr>
                      <w:rFonts w:hint="eastAsia"/>
                      <w:color w:val="auto"/>
                      <w:sz w:val="18"/>
                      <w:szCs w:val="18"/>
                      <w:lang w:val="en-US" w:eastAsia="zh-CN"/>
                    </w:rPr>
                    <w:t>树脂粘结剂</w:t>
                  </w:r>
                </w:p>
              </w:tc>
              <w:tc>
                <w:tcPr>
                  <w:tcW w:w="4389" w:type="pct"/>
                  <w:tcBorders>
                    <w:tl2br w:val="nil"/>
                    <w:tr2bl w:val="nil"/>
                  </w:tcBorders>
                  <w:vAlign w:val="center"/>
                </w:tcPr>
                <w:p w14:paraId="4229C814">
                  <w:pPr>
                    <w:jc w:val="left"/>
                    <w:rPr>
                      <w:rFonts w:hint="eastAsia"/>
                      <w:color w:val="auto"/>
                      <w:sz w:val="18"/>
                      <w:szCs w:val="18"/>
                    </w:rPr>
                  </w:pPr>
                  <w:r>
                    <w:rPr>
                      <w:rFonts w:hint="eastAsia"/>
                      <w:color w:val="auto"/>
                      <w:sz w:val="18"/>
                      <w:szCs w:val="18"/>
                    </w:rPr>
                    <w:t>包括两组分，组分I为酚醛树脂，组分II为聚异氰酸酯，两组分使用比例为1:1，是目前广泛使用的制芯、造型用的有机粘结剂。</w:t>
                  </w:r>
                </w:p>
              </w:tc>
            </w:tr>
            <w:tr w14:paraId="46DC0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5A053213">
                  <w:pPr>
                    <w:snapToGrid w:val="0"/>
                    <w:jc w:val="center"/>
                    <w:rPr>
                      <w:rFonts w:hint="eastAsia"/>
                      <w:color w:val="auto"/>
                      <w:sz w:val="18"/>
                      <w:szCs w:val="18"/>
                      <w:lang w:val="en-US" w:eastAsia="zh-CN"/>
                    </w:rPr>
                  </w:pPr>
                  <w:r>
                    <w:rPr>
                      <w:rFonts w:hint="eastAsia"/>
                      <w:color w:val="auto"/>
                      <w:sz w:val="18"/>
                      <w:szCs w:val="18"/>
                      <w:lang w:val="en-US" w:eastAsia="zh-CN"/>
                    </w:rPr>
                    <w:t>三乙胺</w:t>
                  </w:r>
                </w:p>
              </w:tc>
              <w:tc>
                <w:tcPr>
                  <w:tcW w:w="4389" w:type="pct"/>
                  <w:tcBorders>
                    <w:tl2br w:val="nil"/>
                    <w:tr2bl w:val="nil"/>
                  </w:tcBorders>
                  <w:vAlign w:val="center"/>
                </w:tcPr>
                <w:p w14:paraId="0C9549E8">
                  <w:pPr>
                    <w:jc w:val="left"/>
                    <w:rPr>
                      <w:rFonts w:hint="eastAsia"/>
                      <w:color w:val="auto"/>
                      <w:sz w:val="18"/>
                      <w:szCs w:val="18"/>
                    </w:rPr>
                  </w:pPr>
                  <w:r>
                    <w:rPr>
                      <w:rFonts w:hint="eastAsia"/>
                      <w:color w:val="auto"/>
                      <w:sz w:val="18"/>
                      <w:szCs w:val="18"/>
                    </w:rPr>
                    <w:t>又称N,N-二乙基乙胺，分子式为C</w:t>
                  </w:r>
                  <w:r>
                    <w:rPr>
                      <w:rFonts w:hint="eastAsia"/>
                      <w:color w:val="auto"/>
                      <w:sz w:val="18"/>
                      <w:szCs w:val="18"/>
                      <w:vertAlign w:val="subscript"/>
                    </w:rPr>
                    <w:t>6</w:t>
                  </w:r>
                  <w:r>
                    <w:rPr>
                      <w:rFonts w:hint="eastAsia"/>
                      <w:color w:val="auto"/>
                      <w:sz w:val="18"/>
                      <w:szCs w:val="18"/>
                    </w:rPr>
                    <w:t>H</w:t>
                  </w:r>
                  <w:r>
                    <w:rPr>
                      <w:rFonts w:hint="eastAsia"/>
                      <w:color w:val="auto"/>
                      <w:sz w:val="18"/>
                      <w:szCs w:val="18"/>
                      <w:vertAlign w:val="subscript"/>
                    </w:rPr>
                    <w:t>15</w:t>
                  </w:r>
                  <w:r>
                    <w:rPr>
                      <w:rFonts w:hint="eastAsia"/>
                      <w:color w:val="auto"/>
                      <w:sz w:val="18"/>
                      <w:szCs w:val="18"/>
                    </w:rPr>
                    <w:t>N，CAS号为121-44-8，分子量为101.19，沸点89.5℃，熔点-114.8℃，是具有强烈氨臭的淡黄色油状液体，在空气中微发烟。微溶于水，可溶于乙醇、乙醚等多数有机溶剂。工业丝主要用作溶剂、固化剂、催化剂、阻聚剂、防腐剂及合成染料等。</w:t>
                  </w:r>
                </w:p>
              </w:tc>
            </w:tr>
            <w:tr w14:paraId="71CAF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4D23103C">
                  <w:pPr>
                    <w:snapToGrid w:val="0"/>
                    <w:jc w:val="center"/>
                    <w:rPr>
                      <w:rFonts w:hint="default"/>
                      <w:color w:val="auto"/>
                      <w:sz w:val="18"/>
                      <w:szCs w:val="18"/>
                      <w:lang w:val="en-US" w:eastAsia="zh-CN"/>
                    </w:rPr>
                  </w:pPr>
                  <w:r>
                    <w:rPr>
                      <w:rFonts w:hint="eastAsia"/>
                      <w:color w:val="auto"/>
                      <w:sz w:val="18"/>
                      <w:szCs w:val="18"/>
                      <w:lang w:val="en-US" w:eastAsia="zh-CN"/>
                    </w:rPr>
                    <w:t>氮气</w:t>
                  </w:r>
                </w:p>
              </w:tc>
              <w:tc>
                <w:tcPr>
                  <w:tcW w:w="4389" w:type="pct"/>
                  <w:tcBorders>
                    <w:tl2br w:val="nil"/>
                    <w:tr2bl w:val="nil"/>
                  </w:tcBorders>
                  <w:vAlign w:val="center"/>
                </w:tcPr>
                <w:p w14:paraId="26AC5949">
                  <w:pPr>
                    <w:jc w:val="left"/>
                    <w:rPr>
                      <w:rFonts w:hint="default" w:eastAsia="宋体"/>
                      <w:color w:val="auto"/>
                      <w:sz w:val="18"/>
                      <w:szCs w:val="18"/>
                      <w:lang w:val="en-US" w:eastAsia="zh-CN"/>
                    </w:rPr>
                  </w:pPr>
                  <w:r>
                    <w:rPr>
                      <w:rFonts w:hint="eastAsia"/>
                      <w:color w:val="auto"/>
                      <w:sz w:val="18"/>
                      <w:szCs w:val="18"/>
                      <w:lang w:val="en-US" w:eastAsia="zh-CN"/>
                    </w:rPr>
                    <w:t>氮气，常温常压下是一种无色无味的气体，微溶于酒精和水。分子式为N</w:t>
                  </w:r>
                  <w:r>
                    <w:rPr>
                      <w:rFonts w:hint="eastAsia"/>
                      <w:color w:val="auto"/>
                      <w:sz w:val="18"/>
                      <w:szCs w:val="18"/>
                      <w:vertAlign w:val="subscript"/>
                      <w:lang w:val="en-US" w:eastAsia="zh-CN"/>
                    </w:rPr>
                    <w:t>2</w:t>
                  </w:r>
                  <w:r>
                    <w:rPr>
                      <w:rFonts w:hint="eastAsia"/>
                      <w:color w:val="auto"/>
                      <w:sz w:val="18"/>
                      <w:szCs w:val="18"/>
                      <w:lang w:val="en-US" w:eastAsia="zh-CN"/>
                    </w:rPr>
                    <w:t>，</w:t>
                  </w:r>
                  <w:r>
                    <w:rPr>
                      <w:rFonts w:hint="eastAsia"/>
                      <w:color w:val="auto"/>
                      <w:sz w:val="18"/>
                      <w:szCs w:val="18"/>
                    </w:rPr>
                    <w:t>CAS号为</w:t>
                  </w:r>
                  <w:r>
                    <w:rPr>
                      <w:rFonts w:hint="eastAsia"/>
                      <w:color w:val="auto"/>
                      <w:sz w:val="18"/>
                      <w:szCs w:val="18"/>
                      <w:lang w:val="en-US" w:eastAsia="zh-CN"/>
                    </w:rPr>
                    <w:t>7727</w:t>
                  </w:r>
                  <w:r>
                    <w:rPr>
                      <w:rFonts w:hint="eastAsia"/>
                      <w:color w:val="auto"/>
                      <w:sz w:val="18"/>
                      <w:szCs w:val="18"/>
                    </w:rPr>
                    <w:t>-</w:t>
                  </w:r>
                  <w:r>
                    <w:rPr>
                      <w:rFonts w:hint="eastAsia"/>
                      <w:color w:val="auto"/>
                      <w:sz w:val="18"/>
                      <w:szCs w:val="18"/>
                      <w:lang w:val="en-US" w:eastAsia="zh-CN"/>
                    </w:rPr>
                    <w:t>37</w:t>
                  </w:r>
                  <w:r>
                    <w:rPr>
                      <w:rFonts w:hint="eastAsia"/>
                      <w:color w:val="auto"/>
                      <w:sz w:val="18"/>
                      <w:szCs w:val="18"/>
                    </w:rPr>
                    <w:t>-</w:t>
                  </w:r>
                  <w:r>
                    <w:rPr>
                      <w:rFonts w:hint="eastAsia"/>
                      <w:color w:val="auto"/>
                      <w:sz w:val="18"/>
                      <w:szCs w:val="18"/>
                      <w:lang w:val="en-US" w:eastAsia="zh-CN"/>
                    </w:rPr>
                    <w:t>9，沸点-196℃，熔点-209.86℃，分子量为28.01，工业水常用作惰性保护气、制冷剂、合成氨。本项目氮气作为三乙胺的载体气体，稀释到5%左右，向芯盒中吹入催化剂气雾。</w:t>
                  </w:r>
                </w:p>
              </w:tc>
            </w:tr>
            <w:tr w14:paraId="73AB7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29B45847">
                  <w:pPr>
                    <w:snapToGrid w:val="0"/>
                    <w:jc w:val="center"/>
                    <w:rPr>
                      <w:rFonts w:hint="default"/>
                      <w:color w:val="auto"/>
                      <w:sz w:val="18"/>
                      <w:szCs w:val="18"/>
                      <w:lang w:val="en-US" w:eastAsia="zh-CN"/>
                    </w:rPr>
                  </w:pPr>
                  <w:r>
                    <w:rPr>
                      <w:rFonts w:hint="eastAsia"/>
                      <w:color w:val="auto"/>
                      <w:sz w:val="18"/>
                      <w:szCs w:val="18"/>
                      <w:lang w:val="en-US" w:eastAsia="zh-CN"/>
                    </w:rPr>
                    <w:t>膨润土</w:t>
                  </w:r>
                </w:p>
              </w:tc>
              <w:tc>
                <w:tcPr>
                  <w:tcW w:w="4389" w:type="pct"/>
                  <w:tcBorders>
                    <w:tl2br w:val="nil"/>
                    <w:tr2bl w:val="nil"/>
                  </w:tcBorders>
                  <w:vAlign w:val="center"/>
                </w:tcPr>
                <w:p w14:paraId="079393B1">
                  <w:pPr>
                    <w:jc w:val="left"/>
                    <w:rPr>
                      <w:rFonts w:hint="eastAsia"/>
                      <w:color w:val="auto"/>
                      <w:sz w:val="18"/>
                      <w:szCs w:val="18"/>
                    </w:rPr>
                  </w:pPr>
                  <w:r>
                    <w:rPr>
                      <w:rFonts w:hint="eastAsia"/>
                      <w:color w:val="auto"/>
                      <w:sz w:val="18"/>
                      <w:szCs w:val="18"/>
                    </w:rPr>
                    <w:t>膨润土是由蒙脱石按其晶体的结构组成，因其独特的晶体吸水后具有很强的粘结力，因此被广泛应用于铸造型砂中，将砂粘结在一起。可增加铸件强度、韧性、透气性，减少型砂的含水量，有效提高铸件的表面光洁度、精度等。</w:t>
                  </w:r>
                </w:p>
              </w:tc>
            </w:tr>
            <w:tr w14:paraId="50503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1BDD1D81">
                  <w:pPr>
                    <w:snapToGrid w:val="0"/>
                    <w:jc w:val="center"/>
                    <w:rPr>
                      <w:rFonts w:hint="default"/>
                      <w:color w:val="auto"/>
                      <w:sz w:val="18"/>
                      <w:szCs w:val="18"/>
                      <w:lang w:val="en-US" w:eastAsia="zh-CN"/>
                    </w:rPr>
                  </w:pPr>
                  <w:r>
                    <w:rPr>
                      <w:rFonts w:hint="eastAsia"/>
                      <w:color w:val="auto"/>
                      <w:sz w:val="18"/>
                      <w:szCs w:val="18"/>
                      <w:lang w:val="en-US" w:eastAsia="zh-CN"/>
                    </w:rPr>
                    <w:t>红煤粉</w:t>
                  </w:r>
                </w:p>
              </w:tc>
              <w:tc>
                <w:tcPr>
                  <w:tcW w:w="4389" w:type="pct"/>
                  <w:tcBorders>
                    <w:tl2br w:val="nil"/>
                    <w:tr2bl w:val="nil"/>
                  </w:tcBorders>
                  <w:vAlign w:val="center"/>
                </w:tcPr>
                <w:p w14:paraId="1CFFB1BD">
                  <w:pPr>
                    <w:jc w:val="left"/>
                    <w:rPr>
                      <w:rFonts w:hint="eastAsia"/>
                      <w:color w:val="auto"/>
                      <w:sz w:val="18"/>
                      <w:szCs w:val="18"/>
                    </w:rPr>
                  </w:pPr>
                  <w:r>
                    <w:rPr>
                      <w:rFonts w:hint="eastAsia"/>
                      <w:color w:val="auto"/>
                      <w:sz w:val="18"/>
                      <w:szCs w:val="18"/>
                    </w:rPr>
                    <w:t>选用水洗过的焦煤和肥煤作原料生产的煤粉，适用于采用湿型铸造生产铸铁的工艺，能防止铸件上出现夹砂等膨胀缺陷，改善铸件的表面质量。</w:t>
                  </w:r>
                </w:p>
              </w:tc>
            </w:tr>
            <w:tr w14:paraId="77763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10" w:type="pct"/>
                  <w:tcBorders>
                    <w:tl2br w:val="nil"/>
                    <w:tr2bl w:val="nil"/>
                  </w:tcBorders>
                  <w:shd w:val="clear" w:color="auto" w:fill="auto"/>
                  <w:vAlign w:val="center"/>
                </w:tcPr>
                <w:p w14:paraId="1287789E">
                  <w:pPr>
                    <w:snapToGrid w:val="0"/>
                    <w:jc w:val="center"/>
                    <w:rPr>
                      <w:rFonts w:hint="default"/>
                      <w:color w:val="auto"/>
                      <w:sz w:val="18"/>
                      <w:szCs w:val="18"/>
                      <w:lang w:val="en-US" w:eastAsia="zh-CN"/>
                    </w:rPr>
                  </w:pPr>
                  <w:r>
                    <w:rPr>
                      <w:rFonts w:hint="eastAsia"/>
                      <w:color w:val="auto"/>
                      <w:sz w:val="18"/>
                      <w:szCs w:val="18"/>
                      <w:lang w:val="en-US" w:eastAsia="zh-CN"/>
                    </w:rPr>
                    <w:t>脱氧剂</w:t>
                  </w:r>
                </w:p>
              </w:tc>
              <w:tc>
                <w:tcPr>
                  <w:tcW w:w="4389" w:type="pct"/>
                  <w:tcBorders>
                    <w:tl2br w:val="nil"/>
                    <w:tr2bl w:val="nil"/>
                  </w:tcBorders>
                  <w:vAlign w:val="center"/>
                </w:tcPr>
                <w:p w14:paraId="60D37AE2">
                  <w:pPr>
                    <w:jc w:val="left"/>
                    <w:rPr>
                      <w:rFonts w:hint="eastAsia"/>
                      <w:color w:val="auto"/>
                      <w:sz w:val="18"/>
                      <w:szCs w:val="18"/>
                    </w:rPr>
                  </w:pPr>
                  <w:r>
                    <w:rPr>
                      <w:rFonts w:hint="eastAsia"/>
                      <w:color w:val="auto"/>
                      <w:sz w:val="18"/>
                      <w:szCs w:val="18"/>
                    </w:rPr>
                    <w:t>钢水脱氧元素主要为硅、锰等，项目采用的脱氧剂为复合脱氧剂，即使用多种脱氧元素制成的脱氧剂。脱氧剂的主要作用是脱氧元素与炉水中溶解的氧反应变为低熔点易于上浮的脱氧产物，净化了钢液。</w:t>
                  </w:r>
                </w:p>
              </w:tc>
            </w:tr>
            <w:tr w14:paraId="1A04C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598DC557">
                  <w:pPr>
                    <w:snapToGrid w:val="0"/>
                    <w:jc w:val="center"/>
                    <w:rPr>
                      <w:rFonts w:hint="default"/>
                      <w:color w:val="auto"/>
                      <w:sz w:val="18"/>
                      <w:szCs w:val="18"/>
                      <w:lang w:val="en-US" w:eastAsia="zh-CN"/>
                    </w:rPr>
                  </w:pPr>
                  <w:r>
                    <w:rPr>
                      <w:rFonts w:hint="eastAsia"/>
                      <w:color w:val="auto"/>
                      <w:sz w:val="18"/>
                      <w:szCs w:val="18"/>
                      <w:lang w:val="en-US" w:eastAsia="zh-CN"/>
                    </w:rPr>
                    <w:t>硅溶胶</w:t>
                  </w:r>
                </w:p>
              </w:tc>
              <w:tc>
                <w:tcPr>
                  <w:tcW w:w="4389" w:type="pct"/>
                  <w:tcBorders>
                    <w:tl2br w:val="nil"/>
                    <w:tr2bl w:val="nil"/>
                  </w:tcBorders>
                  <w:vAlign w:val="center"/>
                </w:tcPr>
                <w:p w14:paraId="437C6503">
                  <w:pPr>
                    <w:jc w:val="left"/>
                    <w:rPr>
                      <w:rFonts w:hint="eastAsia"/>
                      <w:color w:val="auto"/>
                      <w:sz w:val="18"/>
                      <w:szCs w:val="18"/>
                    </w:rPr>
                  </w:pPr>
                  <w:r>
                    <w:rPr>
                      <w:rFonts w:hint="eastAsia"/>
                      <w:color w:val="auto"/>
                      <w:sz w:val="18"/>
                      <w:szCs w:val="18"/>
                    </w:rPr>
                    <w:t>为纳米级二氧化硅颗粒在水中或溶剂中的分散液，由于硅溶胶中的SiO</w:t>
                  </w:r>
                  <w:r>
                    <w:rPr>
                      <w:rFonts w:hint="eastAsia"/>
                      <w:color w:val="auto"/>
                      <w:sz w:val="18"/>
                      <w:szCs w:val="18"/>
                      <w:vertAlign w:val="subscript"/>
                    </w:rPr>
                    <w:t>2</w:t>
                  </w:r>
                  <w:r>
                    <w:rPr>
                      <w:rFonts w:hint="eastAsia"/>
                      <w:color w:val="auto"/>
                      <w:sz w:val="18"/>
                      <w:szCs w:val="18"/>
                    </w:rPr>
                    <w:t>含有大量的水及羟基，故硅溶胶也可以表述为SiO</w:t>
                  </w:r>
                  <w:r>
                    <w:rPr>
                      <w:rFonts w:hint="eastAsia"/>
                      <w:color w:val="auto"/>
                      <w:sz w:val="18"/>
                      <w:szCs w:val="18"/>
                      <w:vertAlign w:val="subscript"/>
                    </w:rPr>
                    <w:t>2</w:t>
                  </w:r>
                  <w:r>
                    <w:rPr>
                      <w:rFonts w:hint="eastAsia"/>
                      <w:color w:val="auto"/>
                      <w:sz w:val="18"/>
                      <w:szCs w:val="18"/>
                    </w:rPr>
                    <w:t>·nH</w:t>
                  </w:r>
                  <w:r>
                    <w:rPr>
                      <w:rFonts w:hint="eastAsia"/>
                      <w:color w:val="auto"/>
                      <w:sz w:val="18"/>
                      <w:szCs w:val="18"/>
                      <w:vertAlign w:val="subscript"/>
                    </w:rPr>
                    <w:t>2</w:t>
                  </w:r>
                  <w:r>
                    <w:rPr>
                      <w:rFonts w:hint="eastAsia"/>
                      <w:color w:val="auto"/>
                      <w:sz w:val="18"/>
                      <w:szCs w:val="18"/>
                    </w:rPr>
                    <w:t>O。由于胶体离子微细，粘度较低，水能渗透的地方都能渗透，因此和其它物质混合时分散性和渗透性都非常好。当硅溶胶水</w:t>
                  </w:r>
                  <w:r>
                    <w:rPr>
                      <w:rFonts w:hint="eastAsia"/>
                      <w:color w:val="auto"/>
                      <w:sz w:val="18"/>
                      <w:szCs w:val="18"/>
                      <w:lang w:val="en-US" w:eastAsia="zh-CN"/>
                    </w:rPr>
                    <w:t>分</w:t>
                  </w:r>
                  <w:r>
                    <w:rPr>
                      <w:rFonts w:hint="eastAsia"/>
                      <w:color w:val="auto"/>
                      <w:sz w:val="18"/>
                      <w:szCs w:val="18"/>
                    </w:rPr>
                    <w:t>蒸发时，胶体粒子牢固地附着在物体表面，粒子间形成硅氧结合，是很好的</w:t>
                  </w:r>
                  <w:r>
                    <w:rPr>
                      <w:rFonts w:hint="eastAsia"/>
                      <w:color w:val="auto"/>
                      <w:sz w:val="18"/>
                      <w:szCs w:val="18"/>
                      <w:lang w:eastAsia="zh-CN"/>
                    </w:rPr>
                    <w:t>黏合</w:t>
                  </w:r>
                  <w:r>
                    <w:rPr>
                      <w:rFonts w:hint="eastAsia"/>
                      <w:color w:val="auto"/>
                      <w:sz w:val="18"/>
                      <w:szCs w:val="18"/>
                    </w:rPr>
                    <w:t>剂，用于薄壳精密铸造，可使壳型强度大、铸造光洁度高。</w:t>
                  </w:r>
                </w:p>
              </w:tc>
            </w:tr>
            <w:tr w14:paraId="7291C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55159FDE">
                  <w:pPr>
                    <w:snapToGrid w:val="0"/>
                    <w:jc w:val="center"/>
                    <w:rPr>
                      <w:rFonts w:hint="default"/>
                      <w:color w:val="auto"/>
                      <w:sz w:val="18"/>
                      <w:szCs w:val="18"/>
                      <w:lang w:val="en-US" w:eastAsia="zh-CN"/>
                    </w:rPr>
                  </w:pPr>
                  <w:r>
                    <w:rPr>
                      <w:rFonts w:hint="eastAsia"/>
                      <w:color w:val="auto"/>
                      <w:sz w:val="18"/>
                      <w:szCs w:val="18"/>
                      <w:lang w:val="en-US" w:eastAsia="zh-CN"/>
                    </w:rPr>
                    <w:t>酚醛树脂</w:t>
                  </w:r>
                </w:p>
              </w:tc>
              <w:tc>
                <w:tcPr>
                  <w:tcW w:w="4389" w:type="pct"/>
                  <w:tcBorders>
                    <w:tl2br w:val="nil"/>
                    <w:tr2bl w:val="nil"/>
                  </w:tcBorders>
                  <w:vAlign w:val="center"/>
                </w:tcPr>
                <w:p w14:paraId="35E36E98">
                  <w:pPr>
                    <w:jc w:val="left"/>
                    <w:rPr>
                      <w:rFonts w:hint="eastAsia"/>
                      <w:color w:val="auto"/>
                      <w:sz w:val="18"/>
                      <w:szCs w:val="18"/>
                    </w:rPr>
                  </w:pPr>
                  <w:r>
                    <w:rPr>
                      <w:rFonts w:hint="eastAsia"/>
                      <w:color w:val="auto"/>
                      <w:sz w:val="18"/>
                      <w:szCs w:val="18"/>
                    </w:rPr>
                    <w:t>由苯酚醛或其衍生物缩聚而得，具有良好的阻燃性和较好的耐酸性，可常温固化，也可加热固化。酚醛树脂最重要的特征就是耐高温性，即使在非常高的温度下，也能保持其结构的整体性和尺寸的稳定性。根据建设单位提供的资料，本项目使用的树脂成分主要为：酚醛树脂 95~99%、苯酚＜5%、甲醛＜0.5%。</w:t>
                  </w:r>
                </w:p>
              </w:tc>
            </w:tr>
            <w:tr w14:paraId="0718C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6D46EB79">
                  <w:pPr>
                    <w:snapToGrid w:val="0"/>
                    <w:jc w:val="center"/>
                    <w:rPr>
                      <w:rFonts w:hint="default"/>
                      <w:color w:val="auto"/>
                      <w:sz w:val="18"/>
                      <w:szCs w:val="18"/>
                      <w:lang w:val="en-US" w:eastAsia="zh-CN"/>
                    </w:rPr>
                  </w:pPr>
                  <w:r>
                    <w:rPr>
                      <w:rFonts w:hint="eastAsia"/>
                      <w:color w:val="auto"/>
                      <w:sz w:val="18"/>
                      <w:szCs w:val="18"/>
                      <w:lang w:val="en-US" w:eastAsia="zh-CN"/>
                    </w:rPr>
                    <w:t>固化剂</w:t>
                  </w:r>
                </w:p>
              </w:tc>
              <w:tc>
                <w:tcPr>
                  <w:tcW w:w="4389" w:type="pct"/>
                  <w:tcBorders>
                    <w:tl2br w:val="nil"/>
                    <w:tr2bl w:val="nil"/>
                  </w:tcBorders>
                  <w:vAlign w:val="center"/>
                </w:tcPr>
                <w:p w14:paraId="1B579599">
                  <w:pPr>
                    <w:jc w:val="left"/>
                    <w:rPr>
                      <w:rFonts w:hint="eastAsia"/>
                      <w:color w:val="auto"/>
                      <w:sz w:val="18"/>
                      <w:szCs w:val="18"/>
                    </w:rPr>
                  </w:pPr>
                  <w:r>
                    <w:rPr>
                      <w:rFonts w:hint="eastAsia"/>
                      <w:color w:val="auto"/>
                      <w:sz w:val="18"/>
                      <w:szCs w:val="18"/>
                    </w:rPr>
                    <w:t>项目所用固化剂为磺酸固化液，主要成分为对甲苯磺酸一水合物（C</w:t>
                  </w:r>
                  <w:r>
                    <w:rPr>
                      <w:rFonts w:hint="eastAsia"/>
                      <w:color w:val="auto"/>
                      <w:sz w:val="18"/>
                      <w:szCs w:val="18"/>
                      <w:vertAlign w:val="subscript"/>
                    </w:rPr>
                    <w:t>7</w:t>
                  </w:r>
                  <w:r>
                    <w:rPr>
                      <w:rFonts w:hint="eastAsia"/>
                      <w:color w:val="auto"/>
                      <w:sz w:val="18"/>
                      <w:szCs w:val="18"/>
                    </w:rPr>
                    <w:t>H</w:t>
                  </w:r>
                  <w:r>
                    <w:rPr>
                      <w:rFonts w:hint="eastAsia"/>
                      <w:color w:val="auto"/>
                      <w:sz w:val="18"/>
                      <w:szCs w:val="18"/>
                      <w:vertAlign w:val="subscript"/>
                    </w:rPr>
                    <w:t>10</w:t>
                  </w:r>
                  <w:r>
                    <w:rPr>
                      <w:rFonts w:hint="eastAsia"/>
                      <w:color w:val="auto"/>
                      <w:sz w:val="18"/>
                      <w:szCs w:val="18"/>
                    </w:rPr>
                    <w:t>O</w:t>
                  </w:r>
                  <w:r>
                    <w:rPr>
                      <w:rFonts w:hint="eastAsia"/>
                      <w:color w:val="auto"/>
                      <w:sz w:val="18"/>
                      <w:szCs w:val="18"/>
                      <w:vertAlign w:val="subscript"/>
                    </w:rPr>
                    <w:t>4</w:t>
                  </w:r>
                  <w:r>
                    <w:rPr>
                      <w:rFonts w:hint="eastAsia"/>
                      <w:color w:val="auto"/>
                      <w:sz w:val="18"/>
                      <w:szCs w:val="18"/>
                    </w:rPr>
                    <w:t>S），为棕色至无色液体，相对密度(水=1)为0.9-1.5；溶于水，易溶于醇、醚等。广泛应用于合成医药、农药、聚合反应的稳定剂，以及涂料的中间体和树脂固化剂。</w:t>
                  </w:r>
                </w:p>
              </w:tc>
            </w:tr>
            <w:tr w14:paraId="72004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2FB56408">
                  <w:pPr>
                    <w:snapToGrid w:val="0"/>
                    <w:jc w:val="center"/>
                    <w:rPr>
                      <w:rFonts w:hint="default"/>
                      <w:color w:val="auto"/>
                      <w:sz w:val="18"/>
                      <w:szCs w:val="18"/>
                      <w:lang w:val="en-US" w:eastAsia="zh-CN"/>
                    </w:rPr>
                  </w:pPr>
                  <w:r>
                    <w:rPr>
                      <w:rFonts w:hint="eastAsia"/>
                      <w:color w:val="auto"/>
                      <w:sz w:val="18"/>
                      <w:szCs w:val="18"/>
                      <w:lang w:val="en-US" w:eastAsia="zh-CN"/>
                    </w:rPr>
                    <w:t>覆膜砂</w:t>
                  </w:r>
                </w:p>
              </w:tc>
              <w:tc>
                <w:tcPr>
                  <w:tcW w:w="4389" w:type="pct"/>
                  <w:tcBorders>
                    <w:tl2br w:val="nil"/>
                    <w:tr2bl w:val="nil"/>
                  </w:tcBorders>
                  <w:vAlign w:val="center"/>
                </w:tcPr>
                <w:p w14:paraId="3F6A5E9E">
                  <w:pPr>
                    <w:jc w:val="left"/>
                    <w:rPr>
                      <w:rFonts w:hint="eastAsia"/>
                      <w:color w:val="auto"/>
                      <w:sz w:val="18"/>
                      <w:szCs w:val="18"/>
                    </w:rPr>
                  </w:pPr>
                  <w:r>
                    <w:rPr>
                      <w:rFonts w:hint="eastAsia"/>
                      <w:color w:val="auto"/>
                      <w:sz w:val="18"/>
                      <w:szCs w:val="18"/>
                    </w:rPr>
                    <w:t>覆膜砂主要采用优质精选天然石英砂为原砂，且砂粒表面覆有一层固体树脂膜，以热塑性酚醛树脂为主，可用于铸钢件、铸铁件等的造型或制芯，覆膜砂中酚醛树脂含量约占砂量的2.8%（其中游离甲醛含量＜0.5%）。</w:t>
                  </w:r>
                </w:p>
                <w:p w14:paraId="4D9E505C">
                  <w:pPr>
                    <w:jc w:val="left"/>
                    <w:rPr>
                      <w:rFonts w:hint="eastAsia"/>
                      <w:color w:val="auto"/>
                      <w:sz w:val="18"/>
                      <w:szCs w:val="18"/>
                    </w:rPr>
                  </w:pPr>
                  <w:r>
                    <w:rPr>
                      <w:rFonts w:hint="eastAsia"/>
                      <w:color w:val="auto"/>
                      <w:sz w:val="18"/>
                      <w:szCs w:val="18"/>
                    </w:rPr>
                    <w:t>查阅相关资料，普通酚醛树脂耐热温度约 180℃，分解温度高于300℃。在300℃以下，树脂基本上不发生分解，这一阶段产生的气体主要是水分，还有树脂内的少量游离单体；300~600℃之间，砂粒表面的树脂膜开始热分解，而且分解的速率很高，产生的气体有水蒸汽、CO、CO</w:t>
                  </w:r>
                  <w:r>
                    <w:rPr>
                      <w:rFonts w:hint="eastAsia"/>
                      <w:color w:val="auto"/>
                      <w:sz w:val="18"/>
                      <w:szCs w:val="18"/>
                      <w:vertAlign w:val="subscript"/>
                    </w:rPr>
                    <w:t>2</w:t>
                  </w:r>
                  <w:r>
                    <w:rPr>
                      <w:rFonts w:hint="eastAsia"/>
                      <w:color w:val="auto"/>
                      <w:sz w:val="18"/>
                      <w:szCs w:val="18"/>
                    </w:rPr>
                    <w:t>、甲烷、乙烷等小分子物质；1000℃以上，热分解产物主要为水和CO</w:t>
                  </w:r>
                  <w:r>
                    <w:rPr>
                      <w:rFonts w:hint="eastAsia"/>
                      <w:color w:val="auto"/>
                      <w:sz w:val="18"/>
                      <w:szCs w:val="18"/>
                      <w:vertAlign w:val="subscript"/>
                    </w:rPr>
                    <w:t>2</w:t>
                  </w:r>
                  <w:r>
                    <w:rPr>
                      <w:rFonts w:hint="eastAsia"/>
                      <w:color w:val="auto"/>
                      <w:sz w:val="18"/>
                      <w:szCs w:val="18"/>
                    </w:rPr>
                    <w:t>。</w:t>
                  </w:r>
                </w:p>
              </w:tc>
            </w:tr>
            <w:tr w14:paraId="7C278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0B97791C">
                  <w:pPr>
                    <w:snapToGrid w:val="0"/>
                    <w:jc w:val="center"/>
                    <w:rPr>
                      <w:rFonts w:hint="default"/>
                      <w:color w:val="auto"/>
                      <w:sz w:val="18"/>
                      <w:szCs w:val="18"/>
                      <w:lang w:val="en-US" w:eastAsia="zh-CN"/>
                    </w:rPr>
                  </w:pPr>
                  <w:r>
                    <w:rPr>
                      <w:rFonts w:hint="eastAsia"/>
                      <w:color w:val="auto"/>
                      <w:sz w:val="18"/>
                      <w:szCs w:val="18"/>
                      <w:lang w:val="en-US" w:eastAsia="zh-CN"/>
                    </w:rPr>
                    <w:t>塑粉</w:t>
                  </w:r>
                </w:p>
              </w:tc>
              <w:tc>
                <w:tcPr>
                  <w:tcW w:w="4389" w:type="pct"/>
                  <w:tcBorders>
                    <w:tl2br w:val="nil"/>
                    <w:tr2bl w:val="nil"/>
                  </w:tcBorders>
                  <w:vAlign w:val="center"/>
                </w:tcPr>
                <w:p w14:paraId="1FAFE24F">
                  <w:pPr>
                    <w:jc w:val="left"/>
                    <w:rPr>
                      <w:rFonts w:hint="eastAsia"/>
                      <w:color w:val="auto"/>
                      <w:sz w:val="18"/>
                      <w:szCs w:val="18"/>
                    </w:rPr>
                  </w:pPr>
                  <w:r>
                    <w:rPr>
                      <w:rFonts w:hint="eastAsia"/>
                      <w:color w:val="auto"/>
                      <w:sz w:val="18"/>
                      <w:szCs w:val="18"/>
                    </w:rPr>
                    <w:t>为热固性粉末涂料，以固体环氧树脂和颜料、填料及助剂等组成的固体粉末状合成树脂涂料。和普通溶剂型涂料及水性涂料不同，它的分散介质不是溶剂和 水，而是空气，具有无溶剂污染，100%成膜，能耗低的特点。</w:t>
                  </w:r>
                </w:p>
              </w:tc>
            </w:tr>
            <w:tr w14:paraId="625A8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47955BC0">
                  <w:pPr>
                    <w:snapToGrid w:val="0"/>
                    <w:jc w:val="center"/>
                    <w:rPr>
                      <w:rFonts w:hint="eastAsia"/>
                      <w:color w:val="auto"/>
                      <w:sz w:val="18"/>
                      <w:szCs w:val="18"/>
                      <w:lang w:val="en-US" w:eastAsia="zh-CN"/>
                    </w:rPr>
                  </w:pPr>
                  <w:r>
                    <w:rPr>
                      <w:rFonts w:hint="eastAsia"/>
                      <w:color w:val="auto"/>
                      <w:sz w:val="18"/>
                      <w:szCs w:val="18"/>
                    </w:rPr>
                    <w:t>海砂</w:t>
                  </w:r>
                </w:p>
              </w:tc>
              <w:tc>
                <w:tcPr>
                  <w:tcW w:w="4389" w:type="pct"/>
                  <w:tcBorders>
                    <w:tl2br w:val="nil"/>
                    <w:tr2bl w:val="nil"/>
                  </w:tcBorders>
                  <w:vAlign w:val="center"/>
                </w:tcPr>
                <w:p w14:paraId="754517BE">
                  <w:pPr>
                    <w:jc w:val="left"/>
                    <w:rPr>
                      <w:rFonts w:hint="eastAsia"/>
                      <w:color w:val="auto"/>
                      <w:sz w:val="18"/>
                      <w:szCs w:val="18"/>
                    </w:rPr>
                  </w:pPr>
                  <w:r>
                    <w:rPr>
                      <w:rFonts w:hint="eastAsia"/>
                      <w:color w:val="auto"/>
                      <w:sz w:val="18"/>
                      <w:szCs w:val="18"/>
                    </w:rPr>
                    <w:t>海砂为不含其他金属矿产的普通天然石英砂，其主要矿物成分是二氧化 硅，是一种坚硬、耐磨、化学性质稳定的硅酸盐矿物，其化学、热学和机械性能具有明显的异向性，不溶于酸，熔点1750℃。</w:t>
                  </w:r>
                </w:p>
              </w:tc>
            </w:tr>
            <w:tr w14:paraId="7A6EF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1BC844D8">
                  <w:pPr>
                    <w:snapToGrid w:val="0"/>
                    <w:jc w:val="center"/>
                    <w:rPr>
                      <w:rFonts w:hint="default" w:eastAsia="宋体"/>
                      <w:color w:val="auto"/>
                      <w:sz w:val="18"/>
                      <w:szCs w:val="18"/>
                      <w:lang w:val="en-US" w:eastAsia="zh-CN"/>
                    </w:rPr>
                  </w:pPr>
                  <w:r>
                    <w:rPr>
                      <w:rFonts w:hint="eastAsia"/>
                      <w:color w:val="auto"/>
                      <w:sz w:val="18"/>
                      <w:szCs w:val="18"/>
                      <w:lang w:val="en-US" w:eastAsia="zh-CN"/>
                    </w:rPr>
                    <w:t>低温环保石蜡</w:t>
                  </w:r>
                </w:p>
              </w:tc>
              <w:tc>
                <w:tcPr>
                  <w:tcW w:w="4389" w:type="pct"/>
                  <w:tcBorders>
                    <w:tl2br w:val="nil"/>
                    <w:tr2bl w:val="nil"/>
                  </w:tcBorders>
                  <w:vAlign w:val="center"/>
                </w:tcPr>
                <w:p w14:paraId="60215DDC">
                  <w:pPr>
                    <w:jc w:val="left"/>
                    <w:rPr>
                      <w:rFonts w:hint="eastAsia"/>
                      <w:color w:val="auto"/>
                      <w:sz w:val="18"/>
                      <w:szCs w:val="18"/>
                    </w:rPr>
                  </w:pPr>
                  <w:r>
                    <w:rPr>
                      <w:rFonts w:hint="eastAsia"/>
                      <w:color w:val="auto"/>
                      <w:sz w:val="18"/>
                      <w:szCs w:val="18"/>
                    </w:rPr>
                    <w:t>石蜡是固态高级烷烃的混合物，主要成分的分子式为CnH</w:t>
                  </w:r>
                  <w:r>
                    <w:rPr>
                      <w:rFonts w:hint="eastAsia"/>
                      <w:color w:val="auto"/>
                      <w:sz w:val="18"/>
                      <w:szCs w:val="18"/>
                      <w:vertAlign w:val="subscript"/>
                    </w:rPr>
                    <w:t>2n+2</w:t>
                  </w:r>
                  <w:r>
                    <w:rPr>
                      <w:rFonts w:hint="eastAsia"/>
                      <w:color w:val="auto"/>
                      <w:sz w:val="18"/>
                      <w:szCs w:val="18"/>
                    </w:rPr>
                    <w:t>，其中n=17~35。主要组分为直链烷烃，还有少量带个别支链的烷烃和带长侧链的单环环烷烃</w:t>
                  </w:r>
                  <w:r>
                    <w:rPr>
                      <w:rFonts w:hint="eastAsia"/>
                      <w:color w:val="auto"/>
                      <w:sz w:val="18"/>
                      <w:szCs w:val="18"/>
                      <w:lang w:eastAsia="zh-CN"/>
                    </w:rPr>
                    <w:t>；</w:t>
                  </w:r>
                  <w:r>
                    <w:rPr>
                      <w:rFonts w:hint="eastAsia"/>
                      <w:color w:val="auto"/>
                      <w:sz w:val="18"/>
                      <w:szCs w:val="18"/>
                    </w:rPr>
                    <w:t>直链烷烃中主要是正二十二烷(C</w:t>
                  </w:r>
                  <w:r>
                    <w:rPr>
                      <w:rFonts w:hint="eastAsia"/>
                      <w:color w:val="auto"/>
                      <w:sz w:val="18"/>
                      <w:szCs w:val="18"/>
                      <w:vertAlign w:val="subscript"/>
                    </w:rPr>
                    <w:t>22</w:t>
                  </w:r>
                  <w:r>
                    <w:rPr>
                      <w:rFonts w:hint="eastAsia"/>
                      <w:color w:val="auto"/>
                      <w:sz w:val="18"/>
                      <w:szCs w:val="18"/>
                    </w:rPr>
                    <w:t>H</w:t>
                  </w:r>
                  <w:r>
                    <w:rPr>
                      <w:rFonts w:hint="eastAsia"/>
                      <w:color w:val="auto"/>
                      <w:sz w:val="18"/>
                      <w:szCs w:val="18"/>
                      <w:vertAlign w:val="subscript"/>
                    </w:rPr>
                    <w:t>46</w:t>
                  </w:r>
                  <w:r>
                    <w:rPr>
                      <w:rFonts w:hint="eastAsia"/>
                      <w:color w:val="auto"/>
                      <w:sz w:val="18"/>
                      <w:szCs w:val="18"/>
                    </w:rPr>
                    <w:t>)和正二十八烷(C</w:t>
                  </w:r>
                  <w:r>
                    <w:rPr>
                      <w:rFonts w:hint="eastAsia"/>
                      <w:color w:val="auto"/>
                      <w:sz w:val="18"/>
                      <w:szCs w:val="18"/>
                      <w:vertAlign w:val="subscript"/>
                    </w:rPr>
                    <w:t>28</w:t>
                  </w:r>
                  <w:r>
                    <w:rPr>
                      <w:rFonts w:hint="eastAsia"/>
                      <w:color w:val="auto"/>
                      <w:sz w:val="18"/>
                      <w:szCs w:val="18"/>
                    </w:rPr>
                    <w:t>H</w:t>
                  </w:r>
                  <w:r>
                    <w:rPr>
                      <w:rFonts w:hint="eastAsia"/>
                      <w:color w:val="auto"/>
                      <w:sz w:val="18"/>
                      <w:szCs w:val="18"/>
                      <w:vertAlign w:val="subscript"/>
                    </w:rPr>
                    <w:t>58</w:t>
                  </w:r>
                  <w:r>
                    <w:rPr>
                      <w:rFonts w:hint="eastAsia"/>
                      <w:color w:val="auto"/>
                      <w:sz w:val="18"/>
                      <w:szCs w:val="18"/>
                    </w:rPr>
                    <w:t>)。石蜡又称晶形蜡，通常是白色、无味的蜡状固体，在47℃-64℃熔化，密度约0.9g/cm</w:t>
                  </w:r>
                  <w:r>
                    <w:rPr>
                      <w:rFonts w:hint="eastAsia"/>
                      <w:color w:val="auto"/>
                      <w:sz w:val="18"/>
                      <w:szCs w:val="18"/>
                      <w:vertAlign w:val="superscript"/>
                    </w:rPr>
                    <w:t>3</w:t>
                  </w:r>
                  <w:r>
                    <w:rPr>
                      <w:rFonts w:hint="eastAsia"/>
                      <w:color w:val="auto"/>
                      <w:sz w:val="18"/>
                      <w:szCs w:val="18"/>
                    </w:rPr>
                    <w:t>，</w:t>
                  </w:r>
                  <w:r>
                    <w:rPr>
                      <w:rFonts w:hint="eastAsia"/>
                      <w:color w:val="auto"/>
                      <w:sz w:val="18"/>
                      <w:szCs w:val="18"/>
                      <w:lang w:val="en-US" w:eastAsia="zh-CN"/>
                    </w:rPr>
                    <w:t>溶</w:t>
                  </w:r>
                  <w:r>
                    <w:rPr>
                      <w:rFonts w:hint="eastAsia"/>
                      <w:color w:val="auto"/>
                      <w:sz w:val="18"/>
                      <w:szCs w:val="18"/>
                    </w:rPr>
                    <w:t>于汽油、二硫化碳、二甲苯、乙醚、苯、氯仿、四氯化碳、石脑油等一类非极性熔剂，不熔于水和甲醇等极性熔剂。</w:t>
                  </w:r>
                </w:p>
              </w:tc>
            </w:tr>
            <w:tr w14:paraId="75C27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7C135678">
                  <w:pPr>
                    <w:snapToGrid w:val="0"/>
                    <w:jc w:val="center"/>
                    <w:rPr>
                      <w:rFonts w:hint="eastAsia" w:eastAsia="宋体"/>
                      <w:color w:val="auto"/>
                      <w:sz w:val="18"/>
                      <w:szCs w:val="18"/>
                      <w:lang w:val="en-US" w:eastAsia="zh-CN"/>
                    </w:rPr>
                  </w:pPr>
                  <w:r>
                    <w:rPr>
                      <w:rFonts w:hint="eastAsia"/>
                      <w:color w:val="auto"/>
                      <w:sz w:val="18"/>
                      <w:szCs w:val="18"/>
                      <w:lang w:val="en-US" w:eastAsia="zh-CN"/>
                    </w:rPr>
                    <w:t>切削液</w:t>
                  </w:r>
                </w:p>
              </w:tc>
              <w:tc>
                <w:tcPr>
                  <w:tcW w:w="4389" w:type="pct"/>
                  <w:tcBorders>
                    <w:tl2br w:val="nil"/>
                    <w:tr2bl w:val="nil"/>
                  </w:tcBorders>
                  <w:vAlign w:val="center"/>
                </w:tcPr>
                <w:p w14:paraId="6B0CE5B1">
                  <w:pPr>
                    <w:jc w:val="left"/>
                    <w:rPr>
                      <w:rFonts w:hint="eastAsia"/>
                      <w:color w:val="auto"/>
                      <w:sz w:val="18"/>
                      <w:szCs w:val="18"/>
                    </w:rPr>
                  </w:pPr>
                  <w:r>
                    <w:rPr>
                      <w:rFonts w:hint="eastAsia"/>
                      <w:color w:val="auto"/>
                      <w:sz w:val="18"/>
                      <w:szCs w:val="18"/>
                    </w:rPr>
                    <w:t></w:t>
                  </w:r>
                  <w:r>
                    <w:rPr>
                      <w:rFonts w:hint="default" w:ascii="Times New Roman" w:hAnsi="Times New Roman" w:cs="Times New Roman"/>
                      <w:color w:val="auto"/>
                      <w:sz w:val="18"/>
                      <w:szCs w:val="18"/>
                    </w:rPr>
                    <w:t>切削液是一种在金属切、削、磨加工过程中，用来冷却和润滑刀具和加工件的工业用液体。本项目使用的切削液主要为水基、全合成切削液，主要成分为表面活性剂0~5</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，胺基醇10~40</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，防锈剂0~40</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，使用时加水稀释20倍。本项目切削液主要用于铸钢件的机加工设备，用</w:t>
                  </w:r>
                  <w:r>
                    <w:rPr>
                      <w:rFonts w:hint="eastAsia"/>
                      <w:color w:val="auto"/>
                      <w:sz w:val="18"/>
                      <w:szCs w:val="18"/>
                    </w:rPr>
                    <w:t>量较小。</w:t>
                  </w:r>
                </w:p>
              </w:tc>
            </w:tr>
            <w:tr w14:paraId="173A5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7712FEEF">
                  <w:pPr>
                    <w:snapToGrid w:val="0"/>
                    <w:jc w:val="center"/>
                    <w:rPr>
                      <w:rFonts w:hint="default" w:eastAsia="宋体"/>
                      <w:color w:val="auto"/>
                      <w:sz w:val="18"/>
                      <w:szCs w:val="18"/>
                      <w:lang w:val="en-US" w:eastAsia="zh-CN"/>
                    </w:rPr>
                  </w:pPr>
                  <w:r>
                    <w:rPr>
                      <w:rFonts w:hint="eastAsia"/>
                      <w:color w:val="auto"/>
                      <w:sz w:val="18"/>
                      <w:szCs w:val="18"/>
                      <w:lang w:val="en-US" w:eastAsia="zh-CN"/>
                    </w:rPr>
                    <w:t>红冲铜棒</w:t>
                  </w:r>
                </w:p>
              </w:tc>
              <w:tc>
                <w:tcPr>
                  <w:tcW w:w="4389" w:type="pct"/>
                  <w:tcBorders>
                    <w:tl2br w:val="nil"/>
                    <w:tr2bl w:val="nil"/>
                  </w:tcBorders>
                  <w:vAlign w:val="center"/>
                </w:tcPr>
                <w:p w14:paraId="378535DA">
                  <w:pPr>
                    <w:jc w:val="left"/>
                    <w:rPr>
                      <w:rFonts w:hint="eastAsia"/>
                      <w:color w:val="auto"/>
                      <w:sz w:val="18"/>
                      <w:szCs w:val="18"/>
                    </w:rPr>
                  </w:pPr>
                  <w:r>
                    <w:rPr>
                      <w:rFonts w:hint="eastAsia"/>
                      <w:color w:val="auto"/>
                      <w:sz w:val="18"/>
                      <w:szCs w:val="18"/>
                    </w:rPr>
                    <w:t>红冲工艺常使用黄铜棒，黄铜是一种含有一定量锌的铜合金，铜含量约占60%，锌含量约占40%，黄铜强度较高，密度约8.93g/cm3，由于其较耐磨常用于制作阀门等配件。</w:t>
                  </w:r>
                </w:p>
              </w:tc>
            </w:tr>
            <w:tr w14:paraId="228F5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4B5A4FD6">
                  <w:pPr>
                    <w:snapToGrid w:val="0"/>
                    <w:jc w:val="center"/>
                    <w:rPr>
                      <w:rFonts w:hint="eastAsia" w:eastAsia="宋体"/>
                      <w:color w:val="auto"/>
                      <w:sz w:val="18"/>
                      <w:szCs w:val="18"/>
                      <w:lang w:val="en-US" w:eastAsia="zh-CN"/>
                    </w:rPr>
                  </w:pPr>
                  <w:r>
                    <w:rPr>
                      <w:rFonts w:hint="eastAsia"/>
                      <w:color w:val="auto"/>
                      <w:sz w:val="18"/>
                      <w:szCs w:val="18"/>
                      <w:lang w:val="en-US" w:eastAsia="zh-CN"/>
                    </w:rPr>
                    <w:t>石墨</w:t>
                  </w:r>
                </w:p>
              </w:tc>
              <w:tc>
                <w:tcPr>
                  <w:tcW w:w="4389" w:type="pct"/>
                  <w:tcBorders>
                    <w:tl2br w:val="nil"/>
                    <w:tr2bl w:val="nil"/>
                  </w:tcBorders>
                  <w:vAlign w:val="center"/>
                </w:tcPr>
                <w:p w14:paraId="16391DF1">
                  <w:pPr>
                    <w:jc w:val="left"/>
                    <w:rPr>
                      <w:rFonts w:hint="eastAsia"/>
                      <w:color w:val="auto"/>
                      <w:sz w:val="18"/>
                      <w:szCs w:val="18"/>
                    </w:rPr>
                  </w:pPr>
                  <w:r>
                    <w:rPr>
                      <w:rFonts w:hint="eastAsia"/>
                      <w:color w:val="auto"/>
                      <w:sz w:val="18"/>
                      <w:szCs w:val="18"/>
                    </w:rPr>
                    <w:t>是目前应用最广泛的高温润滑剂之一。由于石墨具有良好的润滑性能，特别是在不高于500℃的温度下使用时，充分显示了其低摩擦系数。石墨与水按1:15配置成红冲压模所用的热变形保护润滑剂，在金属热变形过程中起到润滑和保护模具及工件的作用，是一种能提高模具寿命和工件表面质量的材料。</w:t>
                  </w:r>
                </w:p>
              </w:tc>
            </w:tr>
            <w:tr w14:paraId="6F7B2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23EF4633">
                  <w:pPr>
                    <w:snapToGrid w:val="0"/>
                    <w:jc w:val="center"/>
                    <w:rPr>
                      <w:rFonts w:hint="eastAsia"/>
                      <w:color w:val="auto"/>
                      <w:sz w:val="18"/>
                      <w:szCs w:val="18"/>
                    </w:rPr>
                  </w:pPr>
                  <w:r>
                    <w:rPr>
                      <w:rFonts w:hint="eastAsia"/>
                      <w:color w:val="auto"/>
                      <w:sz w:val="18"/>
                      <w:szCs w:val="18"/>
                    </w:rPr>
                    <w:t>铝合金锭</w:t>
                  </w:r>
                </w:p>
              </w:tc>
              <w:tc>
                <w:tcPr>
                  <w:tcW w:w="4389" w:type="pct"/>
                  <w:tcBorders>
                    <w:tl2br w:val="nil"/>
                    <w:tr2bl w:val="nil"/>
                  </w:tcBorders>
                  <w:vAlign w:val="center"/>
                </w:tcPr>
                <w:p w14:paraId="790DB7AF">
                  <w:pPr>
                    <w:jc w:val="left"/>
                    <w:rPr>
                      <w:rFonts w:hint="eastAsia"/>
                      <w:color w:val="auto"/>
                      <w:sz w:val="18"/>
                      <w:szCs w:val="18"/>
                    </w:rPr>
                  </w:pPr>
                  <w:r>
                    <w:rPr>
                      <w:rFonts w:hint="eastAsia"/>
                      <w:color w:val="auto"/>
                      <w:sz w:val="18"/>
                      <w:szCs w:val="18"/>
                    </w:rPr>
                    <w:t>铝合金锭的主要成分为Al（99.75%）、Si（0.121%）、Cu（0.012%）、Ga（0.027%）、Mg（0.09%）、Se（&lt;0.0001%）。</w:t>
                  </w:r>
                </w:p>
              </w:tc>
            </w:tr>
            <w:tr w14:paraId="631B0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040BBCDC">
                  <w:pPr>
                    <w:snapToGrid w:val="0"/>
                    <w:jc w:val="center"/>
                    <w:rPr>
                      <w:rFonts w:hint="eastAsia"/>
                      <w:color w:val="auto"/>
                      <w:sz w:val="18"/>
                      <w:szCs w:val="18"/>
                    </w:rPr>
                  </w:pPr>
                  <w:r>
                    <w:rPr>
                      <w:rFonts w:hint="eastAsia"/>
                      <w:color w:val="auto"/>
                      <w:sz w:val="18"/>
                      <w:szCs w:val="18"/>
                    </w:rPr>
                    <w:t>脱模剂</w:t>
                  </w:r>
                </w:p>
              </w:tc>
              <w:tc>
                <w:tcPr>
                  <w:tcW w:w="4389" w:type="pct"/>
                  <w:tcBorders>
                    <w:tl2br w:val="nil"/>
                    <w:tr2bl w:val="nil"/>
                  </w:tcBorders>
                  <w:vAlign w:val="center"/>
                </w:tcPr>
                <w:p w14:paraId="3DFBDE9E">
                  <w:pPr>
                    <w:jc w:val="left"/>
                    <w:rPr>
                      <w:rFonts w:hint="eastAsia"/>
                      <w:color w:val="auto"/>
                      <w:sz w:val="18"/>
                      <w:szCs w:val="18"/>
                    </w:rPr>
                  </w:pPr>
                  <w:r>
                    <w:rPr>
                      <w:rFonts w:hint="eastAsia"/>
                      <w:color w:val="auto"/>
                      <w:sz w:val="18"/>
                      <w:szCs w:val="18"/>
                    </w:rPr>
                    <w:t>脱模剂成分中有机硅乳液含量为10%、氧化聚乙烯均聚物含量为2%、矿物油含量为2%、耐高温润滑脂含量为4%、水含量为82%。</w:t>
                  </w:r>
                </w:p>
              </w:tc>
            </w:tr>
            <w:tr w14:paraId="2BF68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610" w:type="pct"/>
                  <w:tcBorders>
                    <w:tl2br w:val="nil"/>
                    <w:tr2bl w:val="nil"/>
                  </w:tcBorders>
                  <w:shd w:val="clear" w:color="auto" w:fill="auto"/>
                  <w:vAlign w:val="center"/>
                </w:tcPr>
                <w:p w14:paraId="0B2EE241">
                  <w:pPr>
                    <w:snapToGrid w:val="0"/>
                    <w:jc w:val="center"/>
                    <w:rPr>
                      <w:rFonts w:hint="eastAsia" w:eastAsia="宋体"/>
                      <w:color w:val="auto"/>
                      <w:sz w:val="18"/>
                      <w:szCs w:val="18"/>
                      <w:lang w:val="en-US" w:eastAsia="zh-CN"/>
                    </w:rPr>
                  </w:pPr>
                  <w:r>
                    <w:rPr>
                      <w:rFonts w:hint="eastAsia"/>
                      <w:color w:val="auto"/>
                      <w:sz w:val="18"/>
                      <w:szCs w:val="18"/>
                    </w:rPr>
                    <w:t>PVC</w:t>
                  </w:r>
                  <w:r>
                    <w:rPr>
                      <w:rFonts w:hint="eastAsia"/>
                      <w:color w:val="auto"/>
                      <w:sz w:val="18"/>
                      <w:szCs w:val="18"/>
                      <w:lang w:val="en-US" w:eastAsia="zh-CN"/>
                    </w:rPr>
                    <w:t>塑料米</w:t>
                  </w:r>
                </w:p>
              </w:tc>
              <w:tc>
                <w:tcPr>
                  <w:tcW w:w="4389" w:type="pct"/>
                  <w:tcBorders>
                    <w:tl2br w:val="nil"/>
                    <w:tr2bl w:val="nil"/>
                  </w:tcBorders>
                  <w:vAlign w:val="center"/>
                </w:tcPr>
                <w:p w14:paraId="6064234B">
                  <w:pPr>
                    <w:jc w:val="left"/>
                    <w:rPr>
                      <w:rFonts w:hint="eastAsia"/>
                      <w:color w:val="auto"/>
                      <w:sz w:val="18"/>
                      <w:szCs w:val="18"/>
                    </w:rPr>
                  </w:pPr>
                  <w:r>
                    <w:rPr>
                      <w:rFonts w:hint="eastAsia"/>
                      <w:color w:val="auto"/>
                      <w:sz w:val="18"/>
                      <w:szCs w:val="18"/>
                    </w:rPr>
                    <w:t>PVC的CAS号为9002-86-2，是氯乙烯（VCM）在过氧化物、偶氮化合物等引发剂，或在光、热作用下按自由基聚合反应机理聚合而成的聚合物。PVC 为半透明状，有光泽，相对密度1.4左右，玻璃化温度77~90℃，170℃左右开始分解，对光合热的稳定性差。PVC衬里做出的水带柔软、常温无毒、无异味、耐腐蚀。</w:t>
                  </w:r>
                </w:p>
              </w:tc>
            </w:tr>
            <w:tr w14:paraId="1E1EF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6420803A">
                  <w:pPr>
                    <w:snapToGrid w:val="0"/>
                    <w:jc w:val="center"/>
                    <w:rPr>
                      <w:rFonts w:hint="default" w:eastAsia="宋体"/>
                      <w:color w:val="auto"/>
                      <w:sz w:val="18"/>
                      <w:szCs w:val="18"/>
                      <w:lang w:val="en-US" w:eastAsia="zh-CN"/>
                    </w:rPr>
                  </w:pPr>
                  <w:r>
                    <w:rPr>
                      <w:rFonts w:hint="eastAsia"/>
                      <w:color w:val="auto"/>
                      <w:sz w:val="18"/>
                      <w:szCs w:val="18"/>
                    </w:rPr>
                    <w:t>DO</w:t>
                  </w:r>
                  <w:r>
                    <w:rPr>
                      <w:rFonts w:hint="eastAsia"/>
                      <w:color w:val="auto"/>
                      <w:sz w:val="18"/>
                      <w:szCs w:val="18"/>
                      <w:lang w:val="en-US" w:eastAsia="zh-CN"/>
                    </w:rPr>
                    <w:t>P增塑剂</w:t>
                  </w:r>
                </w:p>
              </w:tc>
              <w:tc>
                <w:tcPr>
                  <w:tcW w:w="4389" w:type="pct"/>
                  <w:tcBorders>
                    <w:tl2br w:val="nil"/>
                    <w:tr2bl w:val="nil"/>
                  </w:tcBorders>
                  <w:vAlign w:val="center"/>
                </w:tcPr>
                <w:p w14:paraId="406AD053">
                  <w:pPr>
                    <w:jc w:val="left"/>
                    <w:rPr>
                      <w:rFonts w:hint="eastAsia"/>
                      <w:color w:val="auto"/>
                      <w:sz w:val="18"/>
                      <w:szCs w:val="18"/>
                    </w:rPr>
                  </w:pPr>
                  <w:r>
                    <w:rPr>
                      <w:rFonts w:hint="eastAsia"/>
                      <w:color w:val="auto"/>
                      <w:sz w:val="18"/>
                      <w:szCs w:val="18"/>
                    </w:rPr>
                    <w:t>邻苯二甲酸二辛脂（DOP）是一种有机酯类化合物，无色透明油状液体，是一种常用的塑化剂，DOP增塑的PVC可用于农用薄膜、消防水带等的生产。</w:t>
                  </w:r>
                </w:p>
              </w:tc>
            </w:tr>
            <w:tr w14:paraId="43C60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26BF3417">
                  <w:pPr>
                    <w:snapToGrid w:val="0"/>
                    <w:jc w:val="center"/>
                    <w:rPr>
                      <w:rFonts w:hint="default" w:eastAsia="宋体"/>
                      <w:color w:val="auto"/>
                      <w:sz w:val="18"/>
                      <w:szCs w:val="18"/>
                      <w:lang w:val="en-US" w:eastAsia="zh-CN"/>
                    </w:rPr>
                  </w:pPr>
                  <w:r>
                    <w:rPr>
                      <w:rFonts w:hint="eastAsia"/>
                      <w:color w:val="auto"/>
                      <w:sz w:val="18"/>
                      <w:szCs w:val="18"/>
                      <w:lang w:val="en-US" w:eastAsia="zh-CN"/>
                    </w:rPr>
                    <w:t>轻质碳酸钙</w:t>
                  </w:r>
                </w:p>
              </w:tc>
              <w:tc>
                <w:tcPr>
                  <w:tcW w:w="4389" w:type="pct"/>
                  <w:tcBorders>
                    <w:tl2br w:val="nil"/>
                    <w:tr2bl w:val="nil"/>
                  </w:tcBorders>
                  <w:vAlign w:val="center"/>
                </w:tcPr>
                <w:p w14:paraId="365257AD">
                  <w:pPr>
                    <w:jc w:val="left"/>
                    <w:rPr>
                      <w:rFonts w:hint="eastAsia"/>
                      <w:color w:val="auto"/>
                      <w:sz w:val="18"/>
                      <w:szCs w:val="18"/>
                    </w:rPr>
                  </w:pPr>
                  <w:r>
                    <w:rPr>
                      <w:rFonts w:hint="eastAsia"/>
                      <w:color w:val="auto"/>
                      <w:sz w:val="18"/>
                      <w:szCs w:val="18"/>
                    </w:rPr>
                    <w:t>在消防软管生产过程中，碳酸钙的使用可提高消防软管的硬度和刚度，也可使其弹性显著提高；同时碳酸钙的添加也可使消防软管热膨胀系数和收缩率有所下降。</w:t>
                  </w:r>
                </w:p>
              </w:tc>
            </w:tr>
            <w:tr w14:paraId="18C5E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06F423D2">
                  <w:pPr>
                    <w:snapToGrid w:val="0"/>
                    <w:jc w:val="center"/>
                    <w:rPr>
                      <w:rFonts w:hint="eastAsia" w:eastAsia="宋体"/>
                      <w:color w:val="auto"/>
                      <w:sz w:val="18"/>
                      <w:szCs w:val="18"/>
                      <w:lang w:val="en-US" w:eastAsia="zh-CN"/>
                    </w:rPr>
                  </w:pPr>
                  <w:r>
                    <w:rPr>
                      <w:rFonts w:hint="eastAsia"/>
                      <w:color w:val="auto"/>
                      <w:sz w:val="18"/>
                      <w:szCs w:val="18"/>
                      <w:lang w:val="en-US" w:eastAsia="zh-CN"/>
                    </w:rPr>
                    <w:t>稳定剂</w:t>
                  </w:r>
                </w:p>
              </w:tc>
              <w:tc>
                <w:tcPr>
                  <w:tcW w:w="4389" w:type="pct"/>
                  <w:tcBorders>
                    <w:tl2br w:val="nil"/>
                    <w:tr2bl w:val="nil"/>
                  </w:tcBorders>
                  <w:vAlign w:val="center"/>
                </w:tcPr>
                <w:p w14:paraId="4AAA2334">
                  <w:pPr>
                    <w:jc w:val="left"/>
                    <w:rPr>
                      <w:rFonts w:hint="eastAsia"/>
                      <w:color w:val="auto"/>
                      <w:sz w:val="18"/>
                      <w:szCs w:val="18"/>
                    </w:rPr>
                  </w:pPr>
                  <w:r>
                    <w:rPr>
                      <w:rFonts w:hint="eastAsia"/>
                      <w:color w:val="auto"/>
                      <w:sz w:val="18"/>
                      <w:szCs w:val="18"/>
                    </w:rPr>
                    <w:t>稳定剂为钙锌复合物，自带润滑性能，能有效防止因为设备、塑化等问题造成的黑线的产生，提高消防软管的长期稳定性。</w:t>
                  </w:r>
                </w:p>
              </w:tc>
            </w:tr>
            <w:tr w14:paraId="31DD3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05A9EFE0">
                  <w:pPr>
                    <w:snapToGrid w:val="0"/>
                    <w:jc w:val="center"/>
                    <w:rPr>
                      <w:rFonts w:hint="eastAsia" w:eastAsia="宋体"/>
                      <w:color w:val="auto"/>
                      <w:sz w:val="18"/>
                      <w:szCs w:val="18"/>
                      <w:lang w:val="en-US" w:eastAsia="zh-CN"/>
                    </w:rPr>
                  </w:pPr>
                  <w:r>
                    <w:rPr>
                      <w:rFonts w:hint="eastAsia"/>
                      <w:color w:val="auto"/>
                      <w:sz w:val="18"/>
                      <w:szCs w:val="18"/>
                      <w:lang w:val="en-US" w:eastAsia="zh-CN"/>
                    </w:rPr>
                    <w:t>TPU</w:t>
                  </w:r>
                </w:p>
              </w:tc>
              <w:tc>
                <w:tcPr>
                  <w:tcW w:w="4389" w:type="pct"/>
                  <w:tcBorders>
                    <w:tl2br w:val="nil"/>
                    <w:tr2bl w:val="nil"/>
                  </w:tcBorders>
                  <w:vAlign w:val="center"/>
                </w:tcPr>
                <w:p w14:paraId="15240250">
                  <w:pPr>
                    <w:jc w:val="left"/>
                    <w:rPr>
                      <w:rFonts w:hint="eastAsia"/>
                      <w:color w:val="auto"/>
                      <w:sz w:val="18"/>
                      <w:szCs w:val="18"/>
                    </w:rPr>
                  </w:pPr>
                  <w:r>
                    <w:rPr>
                      <w:rFonts w:hint="eastAsia"/>
                      <w:color w:val="auto"/>
                      <w:sz w:val="18"/>
                      <w:szCs w:val="18"/>
                    </w:rPr>
                    <w:t>TPU的CAS号为9087-79-0，中文名称为热塑性聚氨酯弹性体，TPU常用于制造消防水带，TPU常应用于消防水带衬胶以及内管的生产。TPU作为消防水带衬里，其衬里强度较大，弹性、耐磨性能、耐低温性能、耐腐蚀性能、耐油性能和耐老化性能较好；TPU作为胶黏剂层，其作用为将衬里与织物层粘结在一起。</w:t>
                  </w:r>
                </w:p>
              </w:tc>
            </w:tr>
            <w:tr w14:paraId="21236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426493B9">
                  <w:pPr>
                    <w:snapToGrid w:val="0"/>
                    <w:jc w:val="center"/>
                    <w:rPr>
                      <w:rFonts w:hint="eastAsia"/>
                      <w:color w:val="auto"/>
                      <w:sz w:val="18"/>
                      <w:szCs w:val="18"/>
                      <w:lang w:val="en-US" w:eastAsia="zh-CN"/>
                    </w:rPr>
                  </w:pPr>
                  <w:r>
                    <w:rPr>
                      <w:rFonts w:hint="eastAsia"/>
                      <w:color w:val="auto"/>
                      <w:sz w:val="18"/>
                      <w:szCs w:val="18"/>
                    </w:rPr>
                    <w:t>TPU胶水</w:t>
                  </w:r>
                </w:p>
              </w:tc>
              <w:tc>
                <w:tcPr>
                  <w:tcW w:w="4389" w:type="pct"/>
                  <w:tcBorders>
                    <w:tl2br w:val="nil"/>
                    <w:tr2bl w:val="nil"/>
                  </w:tcBorders>
                  <w:vAlign w:val="center"/>
                </w:tcPr>
                <w:p w14:paraId="5EABB226">
                  <w:pPr>
                    <w:jc w:val="left"/>
                    <w:rPr>
                      <w:rFonts w:hint="eastAsia" w:eastAsia="宋体"/>
                      <w:color w:val="auto"/>
                      <w:sz w:val="18"/>
                      <w:szCs w:val="18"/>
                      <w:lang w:eastAsia="zh-CN"/>
                    </w:rPr>
                  </w:pPr>
                  <w:r>
                    <w:rPr>
                      <w:rFonts w:hint="eastAsia"/>
                      <w:color w:val="auto"/>
                      <w:sz w:val="18"/>
                      <w:szCs w:val="18"/>
                    </w:rPr>
                    <w:t>即聚氨脂胶粘剂，具有优异的粘接牢度，耐热耐候性能好，无色半透明，环保无毒，操作方便，适合于流水线生产。具有优异的粘接牢度，耐热耐候性能好，无色半透明，本系列产品无毒、无味、无腐蚀、无闪点、对人体无刺激、环保安全</w:t>
                  </w:r>
                  <w:r>
                    <w:rPr>
                      <w:rFonts w:hint="eastAsia"/>
                      <w:color w:val="auto"/>
                      <w:sz w:val="18"/>
                      <w:szCs w:val="18"/>
                      <w:lang w:eastAsia="zh-CN"/>
                    </w:rPr>
                    <w:t>。</w:t>
                  </w:r>
                </w:p>
              </w:tc>
            </w:tr>
            <w:tr w14:paraId="3081B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63827CF3">
                  <w:pPr>
                    <w:snapToGrid w:val="0"/>
                    <w:jc w:val="center"/>
                    <w:rPr>
                      <w:rFonts w:hint="eastAsia" w:eastAsia="宋体"/>
                      <w:color w:val="auto"/>
                      <w:sz w:val="18"/>
                      <w:szCs w:val="18"/>
                      <w:lang w:val="en-US" w:eastAsia="zh-CN"/>
                    </w:rPr>
                  </w:pPr>
                  <w:r>
                    <w:rPr>
                      <w:rFonts w:hint="eastAsia"/>
                      <w:color w:val="auto"/>
                      <w:sz w:val="18"/>
                      <w:szCs w:val="18"/>
                      <w:lang w:val="en-US" w:eastAsia="zh-CN"/>
                    </w:rPr>
                    <w:t>涤纶工业丝</w:t>
                  </w:r>
                </w:p>
              </w:tc>
              <w:tc>
                <w:tcPr>
                  <w:tcW w:w="4389" w:type="pct"/>
                  <w:tcBorders>
                    <w:tl2br w:val="nil"/>
                    <w:tr2bl w:val="nil"/>
                  </w:tcBorders>
                  <w:vAlign w:val="center"/>
                </w:tcPr>
                <w:p w14:paraId="712BA79C">
                  <w:pPr>
                    <w:jc w:val="left"/>
                    <w:rPr>
                      <w:rFonts w:hint="eastAsia"/>
                      <w:color w:val="auto"/>
                      <w:sz w:val="18"/>
                      <w:szCs w:val="18"/>
                    </w:rPr>
                  </w:pPr>
                  <w:r>
                    <w:rPr>
                      <w:rFonts w:hint="eastAsia"/>
                      <w:color w:val="auto"/>
                      <w:sz w:val="18"/>
                      <w:szCs w:val="18"/>
                    </w:rPr>
                    <w:t>涤纶工业丝经捻丝、制造形成的线绳是编</w:t>
                  </w:r>
                  <w:r>
                    <w:rPr>
                      <w:rFonts w:hint="eastAsia"/>
                      <w:color w:val="auto"/>
                      <w:sz w:val="18"/>
                      <w:szCs w:val="18"/>
                      <w:lang w:val="en-US" w:eastAsia="zh-CN"/>
                    </w:rPr>
                    <w:t>织</w:t>
                  </w:r>
                  <w:r>
                    <w:rPr>
                      <w:rFonts w:hint="eastAsia"/>
                      <w:color w:val="auto"/>
                      <w:sz w:val="18"/>
                      <w:szCs w:val="18"/>
                    </w:rPr>
                    <w:t>水带最为理想的骨架材料，涤纶工业丝不仅强力高、尺寸稳定性好，而且还具有很好的化学稳定性。</w:t>
                  </w:r>
                </w:p>
              </w:tc>
            </w:tr>
            <w:tr w14:paraId="42C43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78A089A0">
                  <w:pPr>
                    <w:snapToGrid w:val="0"/>
                    <w:jc w:val="center"/>
                    <w:rPr>
                      <w:rFonts w:hint="eastAsia"/>
                      <w:color w:val="auto"/>
                      <w:sz w:val="18"/>
                      <w:szCs w:val="18"/>
                      <w:lang w:val="en-US" w:eastAsia="zh-CN"/>
                    </w:rPr>
                  </w:pPr>
                  <w:r>
                    <w:rPr>
                      <w:rFonts w:hint="eastAsia"/>
                      <w:color w:val="auto"/>
                      <w:sz w:val="18"/>
                      <w:szCs w:val="18"/>
                    </w:rPr>
                    <w:t>ABC干粉</w:t>
                  </w:r>
                </w:p>
              </w:tc>
              <w:tc>
                <w:tcPr>
                  <w:tcW w:w="4389" w:type="pct"/>
                  <w:tcBorders>
                    <w:tl2br w:val="nil"/>
                    <w:tr2bl w:val="nil"/>
                  </w:tcBorders>
                  <w:vAlign w:val="center"/>
                </w:tcPr>
                <w:p w14:paraId="5833296D">
                  <w:pPr>
                    <w:jc w:val="left"/>
                    <w:rPr>
                      <w:rFonts w:hint="eastAsia"/>
                      <w:color w:val="auto"/>
                      <w:sz w:val="18"/>
                      <w:szCs w:val="18"/>
                    </w:rPr>
                  </w:pPr>
                  <w:r>
                    <w:rPr>
                      <w:rFonts w:hint="eastAsia"/>
                      <w:color w:val="auto"/>
                      <w:sz w:val="18"/>
                      <w:szCs w:val="18"/>
                    </w:rPr>
                    <w:t>由磷酸二氢铵、滑石粉、云母粉、活性白土、沸石粉、疏水白炭黑等，按照一定比例，经过超细化粉碎、除油除湿、硅化、恒温干燥、烘干等一系列步骤，加工后成品即ABC干粉灭火剂。ABC干粉灭火剂为粉状固态，袋装，1000kg/袋，存放于原料仓库中，具有灭火速度快、灭火效率高、绝缘性能好、贮存期长等特点，可充装在手提式干粉灭火器、推车式干粉灭火器和干粉消防车内，适用于扑救可燃液体、气体及带电设备的火灾。广泛适用于油田、油库、船舶、仓库、炼油厂、变电房、石化企业等。</w:t>
                  </w:r>
                </w:p>
              </w:tc>
            </w:tr>
            <w:tr w14:paraId="3E618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3381ACF9">
                  <w:pPr>
                    <w:snapToGrid w:val="0"/>
                    <w:jc w:val="center"/>
                    <w:rPr>
                      <w:rFonts w:hint="eastAsia"/>
                      <w:color w:val="auto"/>
                      <w:sz w:val="18"/>
                      <w:szCs w:val="18"/>
                      <w:lang w:val="en-US" w:eastAsia="zh-CN"/>
                    </w:rPr>
                  </w:pPr>
                  <w:r>
                    <w:rPr>
                      <w:rFonts w:hint="eastAsia"/>
                      <w:color w:val="auto"/>
                      <w:sz w:val="18"/>
                      <w:szCs w:val="18"/>
                    </w:rPr>
                    <w:t>混合气</w:t>
                  </w:r>
                </w:p>
              </w:tc>
              <w:tc>
                <w:tcPr>
                  <w:tcW w:w="4389" w:type="pct"/>
                  <w:tcBorders>
                    <w:tl2br w:val="nil"/>
                    <w:tr2bl w:val="nil"/>
                  </w:tcBorders>
                  <w:vAlign w:val="center"/>
                </w:tcPr>
                <w:p w14:paraId="68F68F20">
                  <w:pPr>
                    <w:jc w:val="left"/>
                    <w:rPr>
                      <w:rFonts w:hint="eastAsia"/>
                      <w:color w:val="auto"/>
                      <w:sz w:val="18"/>
                      <w:szCs w:val="18"/>
                    </w:rPr>
                  </w:pPr>
                  <w:r>
                    <w:rPr>
                      <w:rFonts w:hint="eastAsia"/>
                      <w:color w:val="auto"/>
                      <w:sz w:val="18"/>
                      <w:szCs w:val="18"/>
                    </w:rPr>
                    <w:t>包含二氧化碳和氩气，无色无味，均为惰性气体，主要用于焊接工序，作为焊接过程保护气体。</w:t>
                  </w:r>
                </w:p>
              </w:tc>
            </w:tr>
            <w:tr w14:paraId="6F51B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tcBorders>
                    <w:tl2br w:val="nil"/>
                    <w:tr2bl w:val="nil"/>
                  </w:tcBorders>
                  <w:shd w:val="clear" w:color="auto" w:fill="auto"/>
                  <w:vAlign w:val="center"/>
                </w:tcPr>
                <w:p w14:paraId="445DDCDE">
                  <w:pPr>
                    <w:snapToGrid w:val="0"/>
                    <w:jc w:val="center"/>
                    <w:rPr>
                      <w:rFonts w:hint="default"/>
                      <w:color w:val="auto"/>
                      <w:sz w:val="18"/>
                      <w:szCs w:val="18"/>
                      <w:lang w:val="en-US" w:eastAsia="zh-CN"/>
                    </w:rPr>
                  </w:pPr>
                  <w:r>
                    <w:rPr>
                      <w:rFonts w:hint="eastAsia"/>
                      <w:color w:val="auto"/>
                      <w:sz w:val="18"/>
                      <w:szCs w:val="18"/>
                      <w:lang w:val="en-US" w:eastAsia="zh-CN"/>
                    </w:rPr>
                    <w:t>氮气</w:t>
                  </w:r>
                </w:p>
              </w:tc>
              <w:tc>
                <w:tcPr>
                  <w:tcW w:w="4389" w:type="pct"/>
                  <w:tcBorders>
                    <w:tl2br w:val="nil"/>
                    <w:tr2bl w:val="nil"/>
                  </w:tcBorders>
                  <w:vAlign w:val="center"/>
                </w:tcPr>
                <w:p w14:paraId="7E631EA6">
                  <w:pPr>
                    <w:jc w:val="left"/>
                    <w:rPr>
                      <w:rFonts w:hint="eastAsia"/>
                      <w:color w:val="auto"/>
                      <w:sz w:val="18"/>
                      <w:szCs w:val="18"/>
                    </w:rPr>
                  </w:pPr>
                  <w:r>
                    <w:rPr>
                      <w:rFonts w:hint="eastAsia"/>
                      <w:color w:val="auto"/>
                      <w:sz w:val="18"/>
                      <w:szCs w:val="18"/>
                    </w:rPr>
                    <w:t>氮气，化学式为N</w:t>
                  </w:r>
                  <w:r>
                    <w:rPr>
                      <w:rFonts w:hint="eastAsia"/>
                      <w:color w:val="auto"/>
                      <w:sz w:val="18"/>
                      <w:szCs w:val="18"/>
                      <w:vertAlign w:val="subscript"/>
                    </w:rPr>
                    <w:t>2</w:t>
                  </w:r>
                  <w:r>
                    <w:rPr>
                      <w:rFonts w:hint="eastAsia"/>
                      <w:color w:val="auto"/>
                      <w:sz w:val="18"/>
                      <w:szCs w:val="18"/>
                    </w:rPr>
                    <w:t>，通常状况下是一种无色无味的气体，而且一般氮气比空气密度小。氮气占大气总量的78.08%(体积分数)，是空气的主要成</w:t>
                  </w:r>
                  <w:r>
                    <w:rPr>
                      <w:rFonts w:hint="eastAsia"/>
                      <w:color w:val="auto"/>
                      <w:sz w:val="18"/>
                      <w:szCs w:val="18"/>
                      <w:lang w:val="en-US" w:eastAsia="zh-CN"/>
                    </w:rPr>
                    <w:t>分</w:t>
                  </w:r>
                  <w:r>
                    <w:rPr>
                      <w:rFonts w:hint="eastAsia"/>
                      <w:color w:val="auto"/>
                      <w:sz w:val="18"/>
                      <w:szCs w:val="18"/>
                    </w:rPr>
                    <w:t>。在标准大气压下，冷却至-195.8℃时，变成没有颜色的液体，冷却至-209.8℃时，液态氮变成雪状的固体。氮气的化学性质不活泼，常温下很难跟其他物质发生反应，所以常被用来制作防腐剂。但在高温、高能量条件下可与某些物质发生化学变化，用来制取对人类有用的新物质。</w:t>
                  </w:r>
                </w:p>
              </w:tc>
            </w:tr>
          </w:tbl>
          <w:p w14:paraId="5B7437C9">
            <w:pPr>
              <w:snapToGrid w:val="0"/>
              <w:spacing w:before="120" w:beforeLines="50" w:line="360" w:lineRule="auto"/>
              <w:ind w:firstLine="482" w:firstLineChars="200"/>
              <w:jc w:val="both"/>
              <w:rPr>
                <w:b/>
                <w:color w:val="auto"/>
                <w:sz w:val="24"/>
                <w:szCs w:val="24"/>
                <w:highlight w:val="none"/>
              </w:rPr>
            </w:pPr>
            <w:r>
              <w:rPr>
                <w:rFonts w:hint="eastAsia"/>
                <w:b/>
                <w:color w:val="auto"/>
                <w:sz w:val="24"/>
                <w:szCs w:val="24"/>
                <w:highlight w:val="none"/>
              </w:rPr>
              <w:t>（6）水平衡</w:t>
            </w:r>
          </w:p>
          <w:p w14:paraId="34E657D4">
            <w:pPr>
              <w:adjustRightInd w:val="0"/>
              <w:snapToGrid w:val="0"/>
              <w:spacing w:line="360" w:lineRule="auto"/>
              <w:ind w:firstLine="480" w:firstLineChars="200"/>
              <w:rPr>
                <w:color w:val="auto"/>
                <w:sz w:val="24"/>
                <w:szCs w:val="24"/>
              </w:rPr>
            </w:pPr>
            <w:r>
              <w:rPr>
                <w:rFonts w:hint="eastAsia"/>
                <w:color w:val="auto"/>
                <w:sz w:val="24"/>
                <w:szCs w:val="24"/>
              </w:rPr>
              <w:t>给水：给水由市政自来水管网供给。</w:t>
            </w:r>
          </w:p>
          <w:p w14:paraId="420D4009">
            <w:pPr>
              <w:adjustRightInd w:val="0"/>
              <w:snapToGrid w:val="0"/>
              <w:spacing w:line="360" w:lineRule="auto"/>
              <w:ind w:firstLine="480" w:firstLineChars="200"/>
              <w:rPr>
                <w:color w:val="auto"/>
                <w:sz w:val="24"/>
                <w:szCs w:val="24"/>
              </w:rPr>
            </w:pPr>
            <w:r>
              <w:rPr>
                <w:rFonts w:hint="eastAsia"/>
                <w:color w:val="auto"/>
                <w:sz w:val="24"/>
                <w:szCs w:val="24"/>
              </w:rPr>
              <w:t>排水</w:t>
            </w:r>
            <w:r>
              <w:rPr>
                <w:color w:val="auto"/>
                <w:sz w:val="24"/>
                <w:szCs w:val="24"/>
              </w:rPr>
              <w:t>：</w:t>
            </w:r>
            <w:r>
              <w:rPr>
                <w:rFonts w:hint="eastAsia"/>
                <w:color w:val="auto"/>
                <w:sz w:val="24"/>
                <w:szCs w:val="24"/>
              </w:rPr>
              <w:t>厂区排水采用雨水、污水分设排水管网的分流制排水系统。</w:t>
            </w:r>
          </w:p>
          <w:p w14:paraId="19004A94">
            <w:pPr>
              <w:adjustRightInd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项目用水主要包括中频炉冷却塔冷却用水、石蜡件冷却用水、粘土砂混砂用水、</w:t>
            </w:r>
            <w:r>
              <w:rPr>
                <w:rFonts w:hint="eastAsia"/>
                <w:color w:val="auto"/>
                <w:sz w:val="24"/>
                <w:szCs w:val="24"/>
                <w:highlight w:val="none"/>
                <w:lang w:val="en-US" w:eastAsia="zh-CN"/>
              </w:rPr>
              <w:t>废气</w:t>
            </w:r>
            <w:r>
              <w:rPr>
                <w:rFonts w:hint="eastAsia"/>
                <w:color w:val="auto"/>
                <w:sz w:val="24"/>
                <w:szCs w:val="24"/>
                <w:highlight w:val="none"/>
              </w:rPr>
              <w:t>喷淋塔喷淋用水、石墨乳制备用水、压铸机冷却用水、造粒机冷却用水、挤出冷却用水、锅炉用水、试压用水</w:t>
            </w:r>
            <w:r>
              <w:rPr>
                <w:rFonts w:hint="eastAsia"/>
                <w:color w:val="auto"/>
                <w:sz w:val="24"/>
                <w:szCs w:val="24"/>
                <w:highlight w:val="none"/>
                <w:lang w:eastAsia="zh-CN"/>
              </w:rPr>
              <w:t>、</w:t>
            </w:r>
            <w:r>
              <w:rPr>
                <w:rFonts w:hint="eastAsia"/>
                <w:color w:val="auto"/>
                <w:sz w:val="24"/>
                <w:szCs w:val="24"/>
                <w:highlight w:val="none"/>
                <w:lang w:val="en-US" w:eastAsia="zh-CN"/>
              </w:rPr>
              <w:t>气密性检测用水</w:t>
            </w:r>
            <w:r>
              <w:rPr>
                <w:rFonts w:hint="eastAsia"/>
                <w:color w:val="auto"/>
                <w:sz w:val="24"/>
                <w:szCs w:val="24"/>
                <w:highlight w:val="none"/>
              </w:rPr>
              <w:t>和生活用水等。其中中频炉冷却用水、石蜡件冷却用水、压铸机冷却用水、造粒机冷却用水、挤出冷却用水、锅炉用水、试压用水</w:t>
            </w:r>
            <w:r>
              <w:rPr>
                <w:rFonts w:hint="eastAsia"/>
                <w:color w:val="auto"/>
                <w:sz w:val="24"/>
                <w:szCs w:val="24"/>
                <w:highlight w:val="none"/>
                <w:lang w:eastAsia="zh-CN"/>
              </w:rPr>
              <w:t>、</w:t>
            </w:r>
            <w:r>
              <w:rPr>
                <w:rFonts w:hint="eastAsia"/>
                <w:color w:val="auto"/>
                <w:sz w:val="24"/>
                <w:szCs w:val="24"/>
                <w:highlight w:val="none"/>
                <w:lang w:val="en-US" w:eastAsia="zh-CN"/>
              </w:rPr>
              <w:t>气密性检测用水</w:t>
            </w:r>
            <w:r>
              <w:rPr>
                <w:rFonts w:hint="eastAsia"/>
                <w:color w:val="auto"/>
                <w:sz w:val="24"/>
                <w:szCs w:val="24"/>
                <w:highlight w:val="none"/>
              </w:rPr>
              <w:t>循环使用</w:t>
            </w:r>
            <w:r>
              <w:rPr>
                <w:rFonts w:hint="eastAsia"/>
                <w:color w:val="auto"/>
                <w:sz w:val="24"/>
                <w:szCs w:val="24"/>
                <w:highlight w:val="none"/>
                <w:lang w:eastAsia="zh-CN"/>
              </w:rPr>
              <w:t>，</w:t>
            </w:r>
            <w:r>
              <w:rPr>
                <w:rFonts w:hint="eastAsia"/>
                <w:color w:val="auto"/>
                <w:sz w:val="24"/>
                <w:szCs w:val="24"/>
                <w:highlight w:val="none"/>
                <w:lang w:val="en-US" w:eastAsia="zh-CN"/>
              </w:rPr>
              <w:t>定期更换，更换废水作为粘土砂配料用水回用，不外排</w:t>
            </w:r>
            <w:r>
              <w:rPr>
                <w:rFonts w:hint="eastAsia"/>
                <w:color w:val="auto"/>
                <w:sz w:val="24"/>
                <w:szCs w:val="24"/>
                <w:highlight w:val="none"/>
              </w:rPr>
              <w:t>；</w:t>
            </w:r>
            <w:r>
              <w:rPr>
                <w:rFonts w:hint="eastAsia"/>
                <w:color w:val="auto"/>
                <w:sz w:val="24"/>
                <w:szCs w:val="24"/>
                <w:highlight w:val="none"/>
                <w:lang w:val="en-US" w:eastAsia="zh-CN"/>
              </w:rPr>
              <w:t>锅炉用水、</w:t>
            </w:r>
            <w:r>
              <w:rPr>
                <w:rFonts w:hint="eastAsia"/>
                <w:color w:val="auto"/>
                <w:sz w:val="24"/>
                <w:szCs w:val="24"/>
                <w:highlight w:val="none"/>
              </w:rPr>
              <w:t>粘土砂混砂用水、石墨乳制备用水最终蒸发损耗；职工生活污水经化粪池处理达标后最终纳入园区污水处理厂统一处理。项目水平衡图如下：</w:t>
            </w:r>
          </w:p>
          <w:p w14:paraId="6F2C4C10">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75F3B96F">
            <w:pPr>
              <w:adjustRightInd w:val="0"/>
              <w:snapToGrid w:val="0"/>
              <w:spacing w:line="360" w:lineRule="auto"/>
              <w:rPr>
                <w:rFonts w:hint="eastAsia"/>
                <w:color w:val="auto"/>
                <w:sz w:val="24"/>
                <w:szCs w:val="24"/>
                <w:highlight w:val="none"/>
              </w:rPr>
            </w:pPr>
          </w:p>
          <w:p w14:paraId="5A72F8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注：项目冷却塔、冷却水槽、喷淋塔、试压、检验等生产用水循环使用，定期更换，更换废水回用于粘土砂造型混料用水，不外排。</w:t>
            </w:r>
          </w:p>
          <w:p w14:paraId="74778AD8">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bCs/>
                <w:color w:val="auto"/>
                <w:sz w:val="24"/>
                <w:szCs w:val="24"/>
                <w:highlight w:val="none"/>
                <w:lang w:val="en-US" w:eastAsia="zh-CN"/>
              </w:rPr>
            </w:pPr>
            <w:r>
              <w:rPr>
                <w:b/>
                <w:bCs/>
                <w:color w:val="auto"/>
                <w:sz w:val="24"/>
                <w:szCs w:val="24"/>
                <w:highlight w:val="none"/>
              </w:rPr>
              <w:t>图2-</w:t>
            </w:r>
            <w:r>
              <w:rPr>
                <w:rFonts w:hint="eastAsia"/>
                <w:b/>
                <w:bCs/>
                <w:color w:val="auto"/>
                <w:sz w:val="24"/>
                <w:szCs w:val="24"/>
                <w:highlight w:val="none"/>
                <w:lang w:val="en-US" w:eastAsia="zh-CN"/>
              </w:rPr>
              <w:t>1（a）</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b/>
                <w:bCs/>
                <w:color w:val="auto"/>
                <w:sz w:val="24"/>
                <w:szCs w:val="24"/>
                <w:highlight w:val="none"/>
              </w:rPr>
              <w:t>项目</w:t>
            </w:r>
            <w:r>
              <w:rPr>
                <w:rFonts w:hint="eastAsia"/>
                <w:b/>
                <w:bCs/>
                <w:color w:val="auto"/>
                <w:sz w:val="24"/>
                <w:szCs w:val="24"/>
                <w:highlight w:val="none"/>
                <w:lang w:val="en-US" w:eastAsia="zh-CN"/>
              </w:rPr>
              <w:t>年</w:t>
            </w:r>
            <w:r>
              <w:rPr>
                <w:b/>
                <w:bCs/>
                <w:color w:val="auto"/>
                <w:sz w:val="24"/>
                <w:szCs w:val="24"/>
                <w:highlight w:val="none"/>
              </w:rPr>
              <w:t>水平衡图</w:t>
            </w:r>
            <w:r>
              <w:rPr>
                <w:rFonts w:hint="eastAsia"/>
                <w:b/>
                <w:bCs/>
                <w:color w:val="auto"/>
                <w:sz w:val="24"/>
                <w:szCs w:val="24"/>
                <w:highlight w:val="none"/>
              </w:rPr>
              <w:t xml:space="preserve">   单位：t/</w:t>
            </w:r>
            <w:r>
              <w:rPr>
                <w:rFonts w:hint="eastAsia"/>
                <w:b/>
                <w:bCs/>
                <w:color w:val="auto"/>
                <w:sz w:val="24"/>
                <w:szCs w:val="24"/>
                <w:highlight w:val="none"/>
                <w:lang w:val="en-US" w:eastAsia="zh-CN"/>
              </w:rPr>
              <w:t>a</w:t>
            </w:r>
          </w:p>
          <w:p w14:paraId="790FD206">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2905C2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b w:val="0"/>
                <w:bCs w:val="0"/>
                <w:color w:val="auto"/>
                <w:sz w:val="21"/>
                <w:szCs w:val="21"/>
                <w:highlight w:val="none"/>
                <w:lang w:val="en-US" w:eastAsia="zh-CN"/>
              </w:rPr>
              <w:t>注：</w:t>
            </w:r>
            <w:r>
              <w:rPr>
                <w:rFonts w:hint="eastAsia"/>
                <w:color w:val="auto"/>
                <w:sz w:val="21"/>
                <w:szCs w:val="21"/>
                <w:highlight w:val="none"/>
                <w:lang w:val="en-US" w:eastAsia="zh-CN"/>
              </w:rPr>
              <w:t>①项目冷却塔、冷却水槽、喷淋塔、试压、检验等生产用水循环使用，定期更换，更换废水回用于粘土砂造型混料用水，不外排。</w:t>
            </w:r>
          </w:p>
          <w:p w14:paraId="7356FB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②冷却塔、冷却水槽、喷淋塔等设施更换废水量以该类设备当天只更换1台设备循环水量计。</w:t>
            </w:r>
          </w:p>
          <w:p w14:paraId="2A21BC5E">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bCs/>
                <w:color w:val="auto"/>
                <w:sz w:val="24"/>
                <w:szCs w:val="24"/>
                <w:highlight w:val="none"/>
                <w:lang w:val="en-US" w:eastAsia="zh-CN"/>
              </w:rPr>
            </w:pPr>
            <w:r>
              <w:rPr>
                <w:b/>
                <w:bCs/>
                <w:color w:val="auto"/>
                <w:sz w:val="24"/>
                <w:szCs w:val="24"/>
                <w:highlight w:val="none"/>
              </w:rPr>
              <w:t>图2-</w:t>
            </w:r>
            <w:r>
              <w:rPr>
                <w:rFonts w:hint="eastAsia"/>
                <w:b/>
                <w:bCs/>
                <w:color w:val="auto"/>
                <w:sz w:val="24"/>
                <w:szCs w:val="24"/>
                <w:highlight w:val="none"/>
                <w:lang w:val="en-US" w:eastAsia="zh-CN"/>
              </w:rPr>
              <w:t>1（b）</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b/>
                <w:bCs/>
                <w:color w:val="auto"/>
                <w:sz w:val="24"/>
                <w:szCs w:val="24"/>
                <w:highlight w:val="none"/>
              </w:rPr>
              <w:t>项目</w:t>
            </w:r>
            <w:r>
              <w:rPr>
                <w:rFonts w:hint="eastAsia"/>
                <w:b/>
                <w:bCs/>
                <w:color w:val="auto"/>
                <w:sz w:val="24"/>
                <w:szCs w:val="24"/>
                <w:highlight w:val="none"/>
                <w:lang w:val="en-US" w:eastAsia="zh-CN"/>
              </w:rPr>
              <w:t>日</w:t>
            </w:r>
            <w:r>
              <w:rPr>
                <w:b/>
                <w:bCs/>
                <w:color w:val="auto"/>
                <w:sz w:val="24"/>
                <w:szCs w:val="24"/>
                <w:highlight w:val="none"/>
              </w:rPr>
              <w:t>水平衡图</w:t>
            </w:r>
            <w:r>
              <w:rPr>
                <w:rFonts w:hint="eastAsia"/>
                <w:b/>
                <w:bCs/>
                <w:color w:val="auto"/>
                <w:sz w:val="24"/>
                <w:szCs w:val="24"/>
                <w:highlight w:val="none"/>
              </w:rPr>
              <w:t xml:space="preserve">   单位：t/</w:t>
            </w:r>
            <w:r>
              <w:rPr>
                <w:rFonts w:hint="eastAsia"/>
                <w:b/>
                <w:bCs/>
                <w:color w:val="auto"/>
                <w:sz w:val="24"/>
                <w:szCs w:val="24"/>
                <w:highlight w:val="none"/>
                <w:lang w:val="en-US" w:eastAsia="zh-CN"/>
              </w:rPr>
              <w:t>d</w:t>
            </w:r>
          </w:p>
          <w:p w14:paraId="1701B293">
            <w:pPr>
              <w:snapToGrid w:val="0"/>
              <w:spacing w:before="120" w:beforeLines="50" w:line="360" w:lineRule="auto"/>
              <w:ind w:firstLine="482" w:firstLineChars="200"/>
              <w:jc w:val="both"/>
              <w:rPr>
                <w:rFonts w:hint="default" w:eastAsia="宋体"/>
                <w:b/>
                <w:color w:val="auto"/>
                <w:sz w:val="24"/>
                <w:szCs w:val="24"/>
                <w:lang w:val="en-US" w:eastAsia="zh-CN"/>
              </w:rPr>
            </w:pPr>
            <w:r>
              <w:rPr>
                <w:rFonts w:hint="eastAsia"/>
                <w:b/>
                <w:color w:val="auto"/>
                <w:sz w:val="24"/>
                <w:szCs w:val="24"/>
              </w:rPr>
              <w:t>（</w:t>
            </w:r>
            <w:r>
              <w:rPr>
                <w:rFonts w:hint="eastAsia"/>
                <w:b/>
                <w:color w:val="auto"/>
                <w:sz w:val="24"/>
                <w:szCs w:val="24"/>
                <w:lang w:val="en-US" w:eastAsia="zh-CN"/>
              </w:rPr>
              <w:t>7</w:t>
            </w:r>
            <w:r>
              <w:rPr>
                <w:rFonts w:hint="eastAsia"/>
                <w:b/>
                <w:color w:val="auto"/>
                <w:sz w:val="24"/>
                <w:szCs w:val="24"/>
              </w:rPr>
              <w:t>）</w:t>
            </w:r>
            <w:r>
              <w:rPr>
                <w:rFonts w:hint="eastAsia"/>
                <w:b/>
                <w:color w:val="auto"/>
                <w:sz w:val="24"/>
                <w:szCs w:val="24"/>
                <w:lang w:val="en-US" w:eastAsia="zh-CN"/>
              </w:rPr>
              <w:t>三乙胺物料平衡分析</w:t>
            </w:r>
          </w:p>
          <w:p w14:paraId="5C7F5BCA">
            <w:pPr>
              <w:spacing w:line="360" w:lineRule="auto"/>
              <w:ind w:firstLine="480" w:firstLineChars="200"/>
              <w:jc w:val="left"/>
              <w:rPr>
                <w:rFonts w:hAnsi="宋体"/>
                <w:color w:val="auto"/>
                <w:kern w:val="0"/>
                <w:sz w:val="24"/>
                <w:szCs w:val="24"/>
                <w:highlight w:val="none"/>
              </w:rPr>
            </w:pPr>
            <w:r>
              <w:rPr>
                <w:rFonts w:hAnsi="宋体"/>
                <w:color w:val="auto"/>
                <w:kern w:val="0"/>
                <w:sz w:val="24"/>
                <w:szCs w:val="24"/>
              </w:rPr>
              <w:t>根据建设单位提供资料及运营期污染源强分析，</w:t>
            </w:r>
            <w:r>
              <w:rPr>
                <w:rFonts w:hint="eastAsia" w:hAnsi="宋体"/>
                <w:color w:val="auto"/>
                <w:kern w:val="0"/>
                <w:sz w:val="24"/>
                <w:szCs w:val="24"/>
                <w:lang w:val="en-US" w:eastAsia="zh-CN"/>
              </w:rPr>
              <w:t>三乙胺</w:t>
            </w:r>
            <w:r>
              <w:rPr>
                <w:rFonts w:hAnsi="宋体"/>
                <w:color w:val="auto"/>
                <w:kern w:val="0"/>
                <w:sz w:val="24"/>
                <w:szCs w:val="24"/>
              </w:rPr>
              <w:t>物料平衡见</w:t>
            </w:r>
            <w:r>
              <w:rPr>
                <w:rFonts w:hAnsi="宋体"/>
                <w:color w:val="auto"/>
                <w:kern w:val="0"/>
                <w:sz w:val="24"/>
                <w:szCs w:val="24"/>
                <w:highlight w:val="none"/>
              </w:rPr>
              <w:t>表</w:t>
            </w:r>
            <w:r>
              <w:rPr>
                <w:rFonts w:hint="eastAsia"/>
                <w:color w:val="auto"/>
                <w:kern w:val="0"/>
                <w:sz w:val="24"/>
                <w:szCs w:val="24"/>
                <w:highlight w:val="none"/>
                <w:lang w:val="en-US" w:eastAsia="zh-CN"/>
              </w:rPr>
              <w:t>2-11</w:t>
            </w:r>
            <w:r>
              <w:rPr>
                <w:rFonts w:hint="eastAsia"/>
                <w:color w:val="auto"/>
                <w:kern w:val="0"/>
                <w:sz w:val="24"/>
                <w:szCs w:val="24"/>
                <w:highlight w:val="none"/>
              </w:rPr>
              <w:t>、</w:t>
            </w:r>
            <w:r>
              <w:rPr>
                <w:rFonts w:hAnsi="宋体"/>
                <w:color w:val="auto"/>
                <w:kern w:val="0"/>
                <w:sz w:val="24"/>
                <w:szCs w:val="24"/>
                <w:highlight w:val="none"/>
              </w:rPr>
              <w:t>图</w:t>
            </w:r>
            <w:r>
              <w:rPr>
                <w:rFonts w:hint="eastAsia"/>
                <w:color w:val="auto"/>
                <w:kern w:val="0"/>
                <w:sz w:val="24"/>
                <w:szCs w:val="24"/>
                <w:highlight w:val="none"/>
                <w:lang w:val="en-US" w:eastAsia="zh-CN"/>
              </w:rPr>
              <w:t>2</w:t>
            </w:r>
            <w:r>
              <w:rPr>
                <w:color w:val="auto"/>
                <w:kern w:val="0"/>
                <w:sz w:val="24"/>
                <w:szCs w:val="24"/>
                <w:highlight w:val="none"/>
              </w:rPr>
              <w:t>-2</w:t>
            </w:r>
            <w:r>
              <w:rPr>
                <w:rFonts w:hAnsi="宋体"/>
                <w:color w:val="auto"/>
                <w:kern w:val="0"/>
                <w:sz w:val="24"/>
                <w:szCs w:val="24"/>
                <w:highlight w:val="none"/>
              </w:rPr>
              <w:t>。</w:t>
            </w:r>
          </w:p>
          <w:p w14:paraId="331C4C06">
            <w:pPr>
              <w:spacing w:line="360" w:lineRule="auto"/>
              <w:jc w:val="center"/>
              <w:rPr>
                <w:rFonts w:hAnsi="宋体"/>
                <w:b/>
                <w:bCs/>
                <w:color w:val="auto"/>
                <w:kern w:val="0"/>
                <w:sz w:val="24"/>
                <w:szCs w:val="24"/>
                <w:highlight w:val="yellow"/>
              </w:rPr>
            </w:pPr>
            <w:r>
              <w:rPr>
                <w:rFonts w:hint="eastAsia" w:hAnsi="宋体"/>
                <w:b/>
                <w:bCs/>
                <w:color w:val="auto"/>
                <w:kern w:val="0"/>
                <w:sz w:val="24"/>
                <w:szCs w:val="24"/>
                <w:highlight w:val="none"/>
              </w:rPr>
              <w:t>表</w:t>
            </w:r>
            <w:r>
              <w:rPr>
                <w:rFonts w:hint="eastAsia" w:hAnsi="宋体"/>
                <w:b/>
                <w:bCs/>
                <w:color w:val="auto"/>
                <w:kern w:val="0"/>
                <w:sz w:val="24"/>
                <w:szCs w:val="24"/>
                <w:highlight w:val="none"/>
                <w:lang w:val="en-US" w:eastAsia="zh-CN"/>
              </w:rPr>
              <w:t>2-11</w:t>
            </w:r>
            <w:r>
              <w:rPr>
                <w:rFonts w:hint="eastAsia" w:hAnsi="宋体"/>
                <w:b/>
                <w:bCs/>
                <w:color w:val="auto"/>
                <w:kern w:val="0"/>
                <w:sz w:val="24"/>
                <w:szCs w:val="24"/>
                <w:highlight w:val="none"/>
              </w:rPr>
              <w:t xml:space="preserve">  </w:t>
            </w:r>
            <w:r>
              <w:rPr>
                <w:rFonts w:hint="eastAsia" w:hAnsi="宋体"/>
                <w:b/>
                <w:bCs/>
                <w:color w:val="auto"/>
                <w:kern w:val="0"/>
                <w:sz w:val="24"/>
                <w:szCs w:val="24"/>
                <w:highlight w:val="none"/>
                <w:lang w:val="en-US" w:eastAsia="zh-CN"/>
              </w:rPr>
              <w:t>三乙胺</w:t>
            </w:r>
            <w:r>
              <w:rPr>
                <w:rFonts w:hint="eastAsia" w:hAnsi="宋体"/>
                <w:b/>
                <w:bCs/>
                <w:color w:val="auto"/>
                <w:kern w:val="0"/>
                <w:sz w:val="24"/>
                <w:szCs w:val="24"/>
                <w:highlight w:val="none"/>
              </w:rPr>
              <w:t>物料平衡</w:t>
            </w:r>
            <w:r>
              <w:rPr>
                <w:rFonts w:hint="eastAsia" w:hAnsi="宋体"/>
                <w:b/>
                <w:bCs/>
                <w:color w:val="auto"/>
                <w:kern w:val="0"/>
                <w:sz w:val="24"/>
                <w:szCs w:val="24"/>
                <w:highlight w:val="none"/>
                <w:lang w:val="en-US" w:eastAsia="zh-CN"/>
              </w:rPr>
              <w:t>分析</w:t>
            </w:r>
            <w:r>
              <w:rPr>
                <w:rFonts w:hint="eastAsia" w:hAnsi="宋体"/>
                <w:b/>
                <w:bCs/>
                <w:color w:val="auto"/>
                <w:kern w:val="0"/>
                <w:sz w:val="24"/>
                <w:szCs w:val="24"/>
                <w:highlight w:val="none"/>
              </w:rPr>
              <w:t>表</w:t>
            </w:r>
          </w:p>
          <w:p w14:paraId="480E47CE">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486AE4AF">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2119CD2F">
            <w:pPr>
              <w:spacing w:line="360" w:lineRule="auto"/>
              <w:jc w:val="center"/>
              <w:rPr>
                <w:rFonts w:hint="default" w:eastAsia="宋体"/>
                <w:b/>
                <w:bCs/>
                <w:color w:val="auto"/>
                <w:sz w:val="24"/>
                <w:szCs w:val="24"/>
                <w:lang w:val="en-US" w:eastAsia="zh-CN"/>
              </w:rPr>
            </w:pPr>
            <w:r>
              <w:rPr>
                <w:rFonts w:hint="eastAsia"/>
                <w:b/>
                <w:bCs/>
                <w:color w:val="auto"/>
                <w:sz w:val="24"/>
                <w:szCs w:val="24"/>
                <w:lang w:val="en-US" w:eastAsia="zh-CN"/>
              </w:rPr>
              <w:t>图2-2  三乙胺物料平衡图</w:t>
            </w:r>
          </w:p>
          <w:p w14:paraId="1701E36B">
            <w:pPr>
              <w:snapToGrid w:val="0"/>
              <w:spacing w:line="360" w:lineRule="auto"/>
              <w:ind w:firstLine="482" w:firstLineChars="200"/>
              <w:rPr>
                <w:color w:val="auto"/>
                <w:sz w:val="24"/>
                <w:szCs w:val="24"/>
              </w:rPr>
            </w:pPr>
            <w:r>
              <w:rPr>
                <w:rFonts w:hint="eastAsia"/>
                <w:b/>
                <w:color w:val="auto"/>
                <w:sz w:val="24"/>
                <w:szCs w:val="24"/>
              </w:rPr>
              <w:t>（</w:t>
            </w:r>
            <w:r>
              <w:rPr>
                <w:rFonts w:hint="eastAsia"/>
                <w:b/>
                <w:color w:val="auto"/>
                <w:sz w:val="24"/>
                <w:szCs w:val="24"/>
                <w:lang w:val="en-US" w:eastAsia="zh-CN"/>
              </w:rPr>
              <w:t>8</w:t>
            </w:r>
            <w:r>
              <w:rPr>
                <w:rFonts w:hint="eastAsia"/>
                <w:b/>
                <w:color w:val="auto"/>
                <w:sz w:val="24"/>
                <w:szCs w:val="24"/>
              </w:rPr>
              <w:t>）</w:t>
            </w:r>
            <w:r>
              <w:rPr>
                <w:b/>
                <w:color w:val="auto"/>
                <w:sz w:val="24"/>
                <w:szCs w:val="24"/>
              </w:rPr>
              <w:t>项目总平面布置</w:t>
            </w:r>
          </w:p>
          <w:p w14:paraId="187841E6">
            <w:pPr>
              <w:spacing w:line="360" w:lineRule="auto"/>
              <w:ind w:firstLine="480"/>
              <w:rPr>
                <w:rFonts w:hint="eastAsia"/>
                <w:color w:val="auto"/>
                <w:sz w:val="24"/>
                <w:szCs w:val="24"/>
              </w:rPr>
            </w:pPr>
            <w:r>
              <w:rPr>
                <w:rFonts w:hint="eastAsia"/>
                <w:color w:val="auto"/>
                <w:sz w:val="24"/>
                <w:szCs w:val="24"/>
              </w:rPr>
              <w:t>本项目厂区平面布置图详见附图</w:t>
            </w:r>
            <w:r>
              <w:rPr>
                <w:rFonts w:hint="eastAsia"/>
                <w:color w:val="auto"/>
                <w:sz w:val="24"/>
                <w:szCs w:val="24"/>
                <w:lang w:val="en-US" w:eastAsia="zh-CN"/>
              </w:rPr>
              <w:t>7</w:t>
            </w:r>
            <w:r>
              <w:rPr>
                <w:rFonts w:hint="eastAsia"/>
                <w:color w:val="auto"/>
                <w:sz w:val="24"/>
                <w:szCs w:val="24"/>
              </w:rPr>
              <w:t>，</w:t>
            </w:r>
            <w:r>
              <w:rPr>
                <w:rFonts w:hint="eastAsia"/>
                <w:color w:val="auto"/>
                <w:sz w:val="24"/>
                <w:szCs w:val="24"/>
                <w:lang w:val="en-US" w:eastAsia="zh-CN"/>
              </w:rPr>
              <w:t>车间平面布局图</w:t>
            </w:r>
            <w:r>
              <w:rPr>
                <w:rFonts w:hint="eastAsia"/>
                <w:color w:val="auto"/>
                <w:sz w:val="24"/>
                <w:szCs w:val="24"/>
              </w:rPr>
              <w:t>详见附图</w:t>
            </w:r>
            <w:r>
              <w:rPr>
                <w:rFonts w:hint="eastAsia"/>
                <w:color w:val="auto"/>
                <w:sz w:val="24"/>
                <w:szCs w:val="24"/>
                <w:lang w:val="en-US" w:eastAsia="zh-CN"/>
              </w:rPr>
              <w:t>9</w:t>
            </w:r>
            <w:r>
              <w:rPr>
                <w:rFonts w:hint="eastAsia"/>
                <w:color w:val="auto"/>
                <w:sz w:val="24"/>
                <w:szCs w:val="24"/>
              </w:rPr>
              <w:t>~附图</w:t>
            </w:r>
            <w:r>
              <w:rPr>
                <w:rFonts w:hint="eastAsia"/>
                <w:color w:val="auto"/>
                <w:sz w:val="24"/>
                <w:szCs w:val="24"/>
                <w:lang w:val="en-US" w:eastAsia="zh-CN"/>
              </w:rPr>
              <w:t>11</w:t>
            </w:r>
            <w:r>
              <w:rPr>
                <w:rFonts w:hint="eastAsia"/>
                <w:color w:val="auto"/>
                <w:sz w:val="24"/>
                <w:szCs w:val="24"/>
              </w:rPr>
              <w:t>。</w:t>
            </w:r>
          </w:p>
          <w:p w14:paraId="2933A476">
            <w:pPr>
              <w:spacing w:line="360" w:lineRule="auto"/>
              <w:ind w:firstLine="480"/>
              <w:rPr>
                <w:rFonts w:hint="default"/>
                <w:color w:val="auto"/>
                <w:sz w:val="24"/>
                <w:szCs w:val="24"/>
                <w:lang w:val="en-US" w:eastAsia="zh-CN"/>
              </w:rPr>
            </w:pPr>
            <w:r>
              <w:rPr>
                <w:rFonts w:hint="eastAsia"/>
                <w:color w:val="auto"/>
                <w:sz w:val="24"/>
                <w:szCs w:val="24"/>
                <w:lang w:val="en-US" w:eastAsia="zh-CN"/>
              </w:rPr>
              <w:t>厂区北侧1#厂房主要布置铸造生产线、机加工设备、喷粉固化设备等，厂区西侧2#厂房主要作为原料仓库、消防软管卷盘、消防水带生产车间，厂区南侧3#厂房主要作为灭火器、消防配件生产车间，以及布置消防水带衬胶工序。厂区西南侧布置综合楼，作为办公及职工宿舍。</w:t>
            </w:r>
          </w:p>
          <w:p w14:paraId="4BE7D2B9">
            <w:pPr>
              <w:spacing w:line="360" w:lineRule="auto"/>
              <w:ind w:firstLine="480"/>
              <w:rPr>
                <w:rFonts w:hint="eastAsia"/>
                <w:color w:val="auto"/>
                <w:sz w:val="24"/>
                <w:szCs w:val="24"/>
                <w:lang w:val="en-US" w:eastAsia="zh-CN"/>
              </w:rPr>
            </w:pPr>
            <w:r>
              <w:rPr>
                <w:rFonts w:hint="eastAsia"/>
                <w:color w:val="auto"/>
                <w:sz w:val="24"/>
                <w:szCs w:val="24"/>
                <w:lang w:val="en-US" w:eastAsia="zh-CN"/>
              </w:rPr>
              <w:t>1#厂房占地面积6380㎡，主要布置1条粘土砂铸造生产线、1条树脂砂铸造生产线、1条熔模铸造生产线，并配套粘土砂、树脂砂再生设备，以及机加工区、喷粉固化区、配电房等。粘土砂和树脂砂铸造生产线主要位于车间北部，其中粘土砂铸造生产线主要包括熔化浇筑区（140㎡）、造型区（60㎡）、落砂及砂再生区（120㎡）；树脂砂铸造生产线主要包括熔化浇筑区（100㎡）、造型区（40㎡）、制芯区（80㎡）、落砂及砂再生区（200㎡）；车间内还设有树脂砂原料区（50㎡）、废钢铁存放区（70㎡）、抛丸清理区（120㎡）、机加工区（120㎡）以及喷粉固化线2条（180㎡）、成品区（500㎡）。车间南部主要设置熔模铸造生产线，设有蜡模造型区（200㎡）、制壳区（100㎡）、脱蜡区（30㎡）、型熔壳焙烧区（30㎡）、型壳暂存区（90㎡）、熔化浇注区（100㎡）、振壳清理及区浇冒口切割区（60㎡）、抛丸清理区及机加工区（200㎡）、退火区（15㎡）、成品区（110㎡）。</w:t>
            </w:r>
          </w:p>
          <w:p w14:paraId="32206C5B">
            <w:pPr>
              <w:spacing w:line="360" w:lineRule="auto"/>
              <w:ind w:firstLine="480"/>
              <w:rPr>
                <w:rFonts w:hint="eastAsia"/>
                <w:color w:val="auto"/>
                <w:sz w:val="24"/>
                <w:szCs w:val="24"/>
                <w:lang w:val="en-US" w:eastAsia="zh-CN"/>
              </w:rPr>
            </w:pPr>
            <w:r>
              <w:rPr>
                <w:rFonts w:hint="eastAsia"/>
                <w:color w:val="auto"/>
                <w:sz w:val="24"/>
                <w:szCs w:val="24"/>
                <w:lang w:val="en-US" w:eastAsia="zh-CN"/>
              </w:rPr>
              <w:t>2#厂房占地面积1280㎡，共三层，1层主要布置原料仓库和危险废物贮存间（125㎡）、一般固废贮存间（130㎡），2层主要布置消防软管生产线和消防水带内管挤出、捻线制造生产设备。其中消防软管加工区按生产流程顺序依次布设拌料区（10㎡）、造粒区（40㎡）、挤管成型区（160㎡）、绕线区（20㎡）、计米区（20㎡）、试压区（40㎡）；消防水带加工区设有挤管成型区（200㎡）、捻线区（20㎡）、圆织机区（160㎡）。3层主要布置消防栓箱组装区和消防栓箱成品区。</w:t>
            </w:r>
          </w:p>
          <w:p w14:paraId="6E796522">
            <w:pPr>
              <w:spacing w:line="360" w:lineRule="auto"/>
              <w:ind w:firstLine="480"/>
              <w:rPr>
                <w:rFonts w:hint="eastAsia"/>
                <w:color w:val="auto"/>
                <w:sz w:val="24"/>
                <w:szCs w:val="24"/>
                <w:lang w:val="en-US" w:eastAsia="zh-CN"/>
              </w:rPr>
            </w:pPr>
            <w:r>
              <w:rPr>
                <w:rFonts w:hint="eastAsia"/>
                <w:color w:val="auto"/>
                <w:sz w:val="24"/>
                <w:szCs w:val="24"/>
                <w:lang w:val="en-US" w:eastAsia="zh-CN"/>
              </w:rPr>
              <w:t>3#厂房占地面积5452㎡，主要布置红冲生产线、压铸生产线、灭火器生产线，以及消防水带衬胶、穿管、胶黏加工区并配1座锅炉房。红冲生产线主要位于车间北部，设有红冲原料区（100㎡）、红冲工件加工区（300㎡）、成品区（100㎡）；压铸件主要设有压铸原料区（180㎡）、压铸区（60㎡）、半成品区（180㎡）、机加工区（110㎡）、成品区（100㎡）；灭火器加工主要设有各类原料区（500㎡）、筒体机加工区（200㎡）、灌装区（150㎡）、组装区（100㎡）、检测区（20㎡）、半成品区（100㎡）、成品区（250㎡）；消防水带衬胶、穿管、粘加工区设有原料区（100㎡）、衬胶区（400㎡）、锅炉房（40㎡）。</w:t>
            </w:r>
          </w:p>
          <w:p w14:paraId="52E692B0">
            <w:pPr>
              <w:spacing w:line="360" w:lineRule="auto"/>
              <w:ind w:firstLine="480"/>
              <w:rPr>
                <w:rFonts w:hint="default" w:eastAsia="宋体"/>
                <w:color w:val="auto"/>
                <w:sz w:val="24"/>
                <w:szCs w:val="24"/>
                <w:lang w:val="en-US" w:eastAsia="zh-CN"/>
              </w:rPr>
            </w:pPr>
            <w:r>
              <w:rPr>
                <w:rFonts w:hint="eastAsia"/>
                <w:color w:val="auto"/>
                <w:sz w:val="24"/>
                <w:szCs w:val="24"/>
                <w:lang w:val="en-US" w:eastAsia="zh-CN"/>
              </w:rPr>
              <w:t>项目各厂房内各功能区</w:t>
            </w:r>
            <w:r>
              <w:rPr>
                <w:rFonts w:hint="eastAsia"/>
                <w:color w:val="auto"/>
                <w:sz w:val="24"/>
                <w:szCs w:val="24"/>
              </w:rPr>
              <w:t>按照工艺流程顺序布置，布置合理紧凑，物料流程短，大大提高了生产效率，总体布局基本合理。</w:t>
            </w:r>
          </w:p>
          <w:p w14:paraId="3AE3CA1B">
            <w:pPr>
              <w:spacing w:line="360" w:lineRule="auto"/>
              <w:ind w:firstLine="480"/>
              <w:rPr>
                <w:rFonts w:hint="eastAsia"/>
                <w:color w:val="auto"/>
                <w:sz w:val="24"/>
                <w:szCs w:val="24"/>
              </w:rPr>
            </w:pPr>
            <w:r>
              <w:rPr>
                <w:rFonts w:hint="eastAsia"/>
                <w:color w:val="auto"/>
                <w:sz w:val="24"/>
                <w:szCs w:val="24"/>
                <w:lang w:val="en-US" w:eastAsia="zh-CN"/>
              </w:rPr>
              <w:t>总体来说，项目</w:t>
            </w:r>
            <w:r>
              <w:rPr>
                <w:rFonts w:hint="eastAsia"/>
                <w:color w:val="auto"/>
                <w:sz w:val="24"/>
                <w:szCs w:val="24"/>
              </w:rPr>
              <w:t>总平面布置合理顺畅、厂区功能分区明确，生产区布置比较紧凑，车间总体布置有利于生产操作和管理。因此，从总体上考虑，</w:t>
            </w:r>
            <w:r>
              <w:rPr>
                <w:rFonts w:hint="eastAsia"/>
                <w:color w:val="auto"/>
                <w:sz w:val="24"/>
                <w:szCs w:val="24"/>
                <w:lang w:val="en-US" w:eastAsia="zh-CN"/>
              </w:rPr>
              <w:t>本项目</w:t>
            </w:r>
            <w:r>
              <w:rPr>
                <w:rFonts w:hint="eastAsia"/>
                <w:color w:val="auto"/>
                <w:sz w:val="24"/>
                <w:szCs w:val="24"/>
              </w:rPr>
              <w:t>的平面布局是基本合理的。</w:t>
            </w:r>
          </w:p>
          <w:p w14:paraId="17018102">
            <w:pPr>
              <w:spacing w:line="360" w:lineRule="auto"/>
              <w:ind w:firstLine="480"/>
              <w:rPr>
                <w:rFonts w:hint="eastAsia"/>
                <w:color w:val="auto"/>
                <w:sz w:val="24"/>
                <w:szCs w:val="24"/>
              </w:rPr>
            </w:pPr>
          </w:p>
          <w:p w14:paraId="6BAFC5F8">
            <w:pPr>
              <w:spacing w:line="360" w:lineRule="auto"/>
              <w:ind w:firstLine="480"/>
              <w:rPr>
                <w:rFonts w:hint="eastAsia"/>
                <w:color w:val="auto"/>
                <w:sz w:val="24"/>
                <w:szCs w:val="24"/>
              </w:rPr>
            </w:pPr>
          </w:p>
          <w:p w14:paraId="2D597B72">
            <w:pPr>
              <w:spacing w:line="360" w:lineRule="auto"/>
              <w:ind w:firstLine="480"/>
              <w:rPr>
                <w:rFonts w:hint="eastAsia"/>
                <w:color w:val="auto"/>
                <w:sz w:val="24"/>
                <w:szCs w:val="24"/>
                <w:lang w:val="en-US" w:eastAsia="zh-CN"/>
              </w:rPr>
            </w:pPr>
          </w:p>
          <w:p w14:paraId="104E184D">
            <w:pPr>
              <w:spacing w:line="360" w:lineRule="auto"/>
              <w:ind w:firstLine="480"/>
              <w:rPr>
                <w:rFonts w:hint="eastAsia"/>
                <w:color w:val="auto"/>
                <w:sz w:val="24"/>
                <w:szCs w:val="24"/>
                <w:lang w:val="en-US" w:eastAsia="zh-CN"/>
              </w:rPr>
            </w:pPr>
          </w:p>
          <w:p w14:paraId="5BDB94A8">
            <w:pPr>
              <w:spacing w:line="360" w:lineRule="auto"/>
              <w:ind w:firstLine="480"/>
              <w:rPr>
                <w:rFonts w:hint="eastAsia"/>
                <w:color w:val="auto"/>
                <w:sz w:val="24"/>
                <w:szCs w:val="24"/>
                <w:lang w:val="en-US" w:eastAsia="zh-CN"/>
              </w:rPr>
            </w:pPr>
          </w:p>
          <w:p w14:paraId="3079F64C">
            <w:pPr>
              <w:spacing w:line="360" w:lineRule="auto"/>
              <w:ind w:firstLine="480"/>
              <w:rPr>
                <w:rFonts w:hint="eastAsia"/>
                <w:color w:val="auto"/>
                <w:sz w:val="24"/>
                <w:szCs w:val="24"/>
                <w:lang w:val="en-US" w:eastAsia="zh-CN"/>
              </w:rPr>
            </w:pPr>
          </w:p>
          <w:p w14:paraId="47CE0AB7">
            <w:pPr>
              <w:spacing w:line="360" w:lineRule="auto"/>
              <w:ind w:firstLine="480"/>
              <w:rPr>
                <w:rFonts w:hint="eastAsia"/>
                <w:color w:val="auto"/>
                <w:sz w:val="24"/>
                <w:szCs w:val="24"/>
                <w:lang w:val="en-US" w:eastAsia="zh-CN"/>
              </w:rPr>
            </w:pPr>
          </w:p>
          <w:p w14:paraId="0D5A7ED9">
            <w:pPr>
              <w:spacing w:line="360" w:lineRule="auto"/>
              <w:ind w:firstLine="480"/>
              <w:rPr>
                <w:rFonts w:hint="eastAsia"/>
                <w:color w:val="auto"/>
                <w:sz w:val="24"/>
                <w:szCs w:val="24"/>
                <w:lang w:val="en-US" w:eastAsia="zh-CN"/>
              </w:rPr>
            </w:pPr>
          </w:p>
          <w:p w14:paraId="705A910E">
            <w:pPr>
              <w:spacing w:line="360" w:lineRule="auto"/>
              <w:ind w:firstLine="480"/>
              <w:rPr>
                <w:rFonts w:hint="eastAsia"/>
                <w:color w:val="auto"/>
                <w:sz w:val="24"/>
                <w:szCs w:val="24"/>
                <w:lang w:val="en-US" w:eastAsia="zh-CN"/>
              </w:rPr>
            </w:pPr>
          </w:p>
          <w:p w14:paraId="15B864CC">
            <w:pPr>
              <w:spacing w:line="360" w:lineRule="auto"/>
              <w:ind w:firstLine="480"/>
              <w:rPr>
                <w:rFonts w:hint="eastAsia"/>
                <w:color w:val="auto"/>
                <w:sz w:val="24"/>
                <w:szCs w:val="24"/>
                <w:lang w:val="en-US" w:eastAsia="zh-CN"/>
              </w:rPr>
            </w:pPr>
          </w:p>
          <w:p w14:paraId="14E653D9">
            <w:pPr>
              <w:spacing w:line="360" w:lineRule="auto"/>
              <w:ind w:firstLine="480"/>
              <w:rPr>
                <w:rFonts w:hint="eastAsia"/>
                <w:color w:val="auto"/>
                <w:sz w:val="24"/>
                <w:szCs w:val="24"/>
                <w:lang w:val="en-US" w:eastAsia="zh-CN"/>
              </w:rPr>
            </w:pPr>
          </w:p>
          <w:p w14:paraId="6A810FA1">
            <w:pPr>
              <w:spacing w:line="360" w:lineRule="auto"/>
              <w:ind w:firstLine="480"/>
              <w:rPr>
                <w:rFonts w:hint="eastAsia"/>
                <w:color w:val="auto"/>
                <w:sz w:val="24"/>
                <w:szCs w:val="24"/>
                <w:lang w:val="en-US" w:eastAsia="zh-CN"/>
              </w:rPr>
            </w:pPr>
          </w:p>
          <w:p w14:paraId="49CD1127">
            <w:pPr>
              <w:spacing w:line="360" w:lineRule="auto"/>
              <w:ind w:firstLine="480"/>
              <w:rPr>
                <w:rFonts w:hint="eastAsia"/>
                <w:color w:val="auto"/>
                <w:sz w:val="24"/>
                <w:szCs w:val="24"/>
                <w:lang w:val="en-US" w:eastAsia="zh-CN"/>
              </w:rPr>
            </w:pPr>
          </w:p>
          <w:p w14:paraId="45249F31">
            <w:pPr>
              <w:spacing w:line="360" w:lineRule="auto"/>
              <w:ind w:firstLine="480"/>
              <w:rPr>
                <w:rFonts w:hint="eastAsia"/>
                <w:color w:val="auto"/>
                <w:sz w:val="24"/>
                <w:szCs w:val="24"/>
                <w:lang w:val="en-US" w:eastAsia="zh-CN"/>
              </w:rPr>
            </w:pPr>
          </w:p>
          <w:p w14:paraId="4F96749F">
            <w:pPr>
              <w:spacing w:line="360" w:lineRule="auto"/>
              <w:ind w:firstLine="480"/>
              <w:rPr>
                <w:rFonts w:hint="eastAsia"/>
                <w:color w:val="auto"/>
                <w:sz w:val="24"/>
                <w:szCs w:val="24"/>
                <w:lang w:val="en-US" w:eastAsia="zh-CN"/>
              </w:rPr>
            </w:pPr>
          </w:p>
          <w:p w14:paraId="10264ED5">
            <w:pPr>
              <w:spacing w:line="360" w:lineRule="auto"/>
              <w:ind w:firstLine="480"/>
              <w:rPr>
                <w:rFonts w:hint="eastAsia"/>
                <w:color w:val="auto"/>
                <w:sz w:val="24"/>
                <w:szCs w:val="24"/>
                <w:lang w:val="en-US" w:eastAsia="zh-CN"/>
              </w:rPr>
            </w:pPr>
          </w:p>
          <w:p w14:paraId="6723300A">
            <w:pPr>
              <w:spacing w:line="360" w:lineRule="auto"/>
              <w:ind w:firstLine="480"/>
              <w:rPr>
                <w:rFonts w:hint="eastAsia"/>
                <w:color w:val="auto"/>
                <w:sz w:val="24"/>
                <w:szCs w:val="24"/>
                <w:lang w:val="en-US" w:eastAsia="zh-CN"/>
              </w:rPr>
            </w:pPr>
          </w:p>
          <w:p w14:paraId="3FB36945">
            <w:pPr>
              <w:spacing w:line="360" w:lineRule="auto"/>
              <w:ind w:firstLine="480"/>
              <w:rPr>
                <w:rFonts w:hint="eastAsia"/>
                <w:color w:val="auto"/>
                <w:sz w:val="24"/>
                <w:szCs w:val="24"/>
                <w:lang w:val="en-US" w:eastAsia="zh-CN"/>
              </w:rPr>
            </w:pPr>
          </w:p>
          <w:p w14:paraId="6E1CC2CE">
            <w:pPr>
              <w:spacing w:line="360" w:lineRule="auto"/>
              <w:ind w:firstLine="480"/>
              <w:rPr>
                <w:rFonts w:hint="eastAsia"/>
                <w:color w:val="auto"/>
                <w:sz w:val="24"/>
                <w:szCs w:val="24"/>
                <w:lang w:val="en-US" w:eastAsia="zh-CN"/>
              </w:rPr>
            </w:pPr>
          </w:p>
          <w:p w14:paraId="0F6BD6A4">
            <w:pPr>
              <w:spacing w:line="360" w:lineRule="auto"/>
              <w:ind w:firstLine="480"/>
              <w:rPr>
                <w:rFonts w:hint="eastAsia"/>
                <w:color w:val="auto"/>
                <w:sz w:val="24"/>
                <w:szCs w:val="24"/>
                <w:lang w:val="en-US" w:eastAsia="zh-CN"/>
              </w:rPr>
            </w:pPr>
          </w:p>
          <w:p w14:paraId="063D44A8">
            <w:pPr>
              <w:spacing w:line="360" w:lineRule="auto"/>
              <w:ind w:firstLine="480"/>
              <w:rPr>
                <w:rFonts w:hint="eastAsia"/>
                <w:color w:val="auto"/>
                <w:sz w:val="24"/>
                <w:szCs w:val="24"/>
                <w:lang w:val="en-US" w:eastAsia="zh-CN"/>
              </w:rPr>
            </w:pPr>
          </w:p>
          <w:p w14:paraId="3828237E">
            <w:pPr>
              <w:spacing w:line="360" w:lineRule="auto"/>
              <w:ind w:firstLine="480"/>
              <w:rPr>
                <w:rFonts w:hint="eastAsia"/>
                <w:color w:val="auto"/>
                <w:sz w:val="24"/>
                <w:szCs w:val="24"/>
              </w:rPr>
            </w:pPr>
          </w:p>
          <w:p w14:paraId="3534EC28">
            <w:pPr>
              <w:spacing w:line="360" w:lineRule="auto"/>
              <w:ind w:firstLine="480"/>
              <w:rPr>
                <w:rFonts w:hint="eastAsia"/>
                <w:color w:val="auto"/>
                <w:sz w:val="24"/>
                <w:szCs w:val="24"/>
              </w:rPr>
            </w:pPr>
          </w:p>
        </w:tc>
      </w:tr>
      <w:tr w14:paraId="47EBF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vAlign w:val="center"/>
          </w:tcPr>
          <w:p w14:paraId="41D1BF77">
            <w:pPr>
              <w:pStyle w:val="24"/>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工艺流程和产排污环节</w:t>
            </w:r>
          </w:p>
        </w:tc>
        <w:tc>
          <w:tcPr>
            <w:tcW w:w="4726" w:type="pct"/>
          </w:tcPr>
          <w:p w14:paraId="235F3D42">
            <w:pPr>
              <w:pStyle w:val="18"/>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0" w:line="360" w:lineRule="auto"/>
              <w:ind w:firstLine="480" w:firstLineChars="200"/>
              <w:jc w:val="both"/>
              <w:textAlignment w:val="auto"/>
              <w:rPr>
                <w:rFonts w:hint="eastAsia"/>
                <w:b w:val="0"/>
                <w:bCs w:val="0"/>
                <w:color w:val="auto"/>
                <w:sz w:val="24"/>
                <w:szCs w:val="24"/>
              </w:rPr>
            </w:pPr>
            <w:r>
              <w:rPr>
                <w:rFonts w:hint="eastAsia"/>
                <w:b w:val="0"/>
                <w:bCs w:val="0"/>
                <w:color w:val="auto"/>
                <w:sz w:val="24"/>
                <w:szCs w:val="24"/>
              </w:rPr>
              <w:t>本项目产品主要为精密铸件（包含精密铸钢件</w:t>
            </w:r>
            <w:r>
              <w:rPr>
                <w:rFonts w:hint="eastAsia"/>
                <w:b w:val="0"/>
                <w:bCs w:val="0"/>
                <w:color w:val="auto"/>
                <w:sz w:val="24"/>
                <w:szCs w:val="24"/>
                <w:lang w:eastAsia="zh-CN"/>
              </w:rPr>
              <w:t>、</w:t>
            </w:r>
            <w:r>
              <w:rPr>
                <w:rFonts w:hint="eastAsia"/>
                <w:b w:val="0"/>
                <w:bCs w:val="0"/>
                <w:color w:val="auto"/>
                <w:sz w:val="24"/>
                <w:szCs w:val="24"/>
              </w:rPr>
              <w:t>精密铸铁件）、消防产品（包含消防栓箱，阀门</w:t>
            </w:r>
            <w:r>
              <w:rPr>
                <w:rFonts w:hint="eastAsia"/>
                <w:b w:val="0"/>
                <w:bCs w:val="0"/>
                <w:color w:val="auto"/>
                <w:sz w:val="24"/>
                <w:szCs w:val="24"/>
                <w:lang w:val="en-US" w:eastAsia="zh-CN"/>
              </w:rPr>
              <w:t>配件</w:t>
            </w:r>
            <w:r>
              <w:rPr>
                <w:rFonts w:hint="eastAsia"/>
                <w:b w:val="0"/>
                <w:bCs w:val="0"/>
                <w:color w:val="auto"/>
                <w:sz w:val="24"/>
                <w:szCs w:val="24"/>
              </w:rPr>
              <w:t>、喷头</w:t>
            </w:r>
            <w:r>
              <w:rPr>
                <w:rFonts w:hint="eastAsia"/>
                <w:b w:val="0"/>
                <w:bCs w:val="0"/>
                <w:color w:val="auto"/>
                <w:sz w:val="24"/>
                <w:szCs w:val="24"/>
                <w:lang w:val="en-US" w:eastAsia="zh-CN"/>
              </w:rPr>
              <w:t>配件</w:t>
            </w:r>
            <w:r>
              <w:rPr>
                <w:rFonts w:hint="eastAsia"/>
                <w:b w:val="0"/>
                <w:bCs w:val="0"/>
                <w:color w:val="auto"/>
                <w:sz w:val="24"/>
                <w:szCs w:val="24"/>
              </w:rPr>
              <w:t>等）。精密铸件主要采用粘土砂铸造工艺、树脂自硬砂铸造工艺和熔模铸造工艺等；消防产品涉及机加工、喷粉、红冲、压铸、拌料、挤出等工艺</w:t>
            </w:r>
            <w:r>
              <w:rPr>
                <w:rFonts w:hint="eastAsia"/>
                <w:b w:val="0"/>
                <w:bCs w:val="0"/>
                <w:color w:val="auto"/>
                <w:sz w:val="24"/>
                <w:szCs w:val="24"/>
                <w:lang w:eastAsia="zh-CN"/>
              </w:rPr>
              <w:t>；</w:t>
            </w:r>
            <w:r>
              <w:rPr>
                <w:rFonts w:hint="eastAsia"/>
                <w:b w:val="0"/>
                <w:bCs w:val="0"/>
                <w:color w:val="auto"/>
                <w:sz w:val="24"/>
                <w:szCs w:val="24"/>
                <w:lang w:val="en-US" w:eastAsia="zh-CN"/>
              </w:rPr>
              <w:t>灭火器涉及切割、焊接、灌装、组装等工艺，其中喷粉及固化工序依托1#厂房设备</w:t>
            </w:r>
            <w:r>
              <w:rPr>
                <w:rFonts w:hint="eastAsia"/>
                <w:b w:val="0"/>
                <w:bCs w:val="0"/>
                <w:color w:val="auto"/>
                <w:sz w:val="24"/>
                <w:szCs w:val="24"/>
              </w:rPr>
              <w:t>。</w:t>
            </w:r>
          </w:p>
          <w:p w14:paraId="762F9096">
            <w:pPr>
              <w:pStyle w:val="18"/>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line="360" w:lineRule="auto"/>
              <w:jc w:val="center"/>
              <w:textAlignment w:val="auto"/>
              <w:rPr>
                <w:rFonts w:hint="eastAsia"/>
                <w:b/>
                <w:bCs/>
                <w:color w:val="auto"/>
                <w:sz w:val="24"/>
                <w:szCs w:val="24"/>
              </w:rPr>
            </w:pPr>
            <w:r>
              <w:rPr>
                <w:rFonts w:hint="eastAsia" w:ascii="黑体" w:eastAsia="黑体"/>
                <w:color w:val="auto"/>
                <w:sz w:val="24"/>
                <w:szCs w:val="24"/>
              </w:rPr>
              <w:t>表</w:t>
            </w:r>
            <w:r>
              <w:rPr>
                <w:rFonts w:ascii="Times New Roman" w:eastAsia="Times New Roman"/>
                <w:color w:val="auto"/>
                <w:sz w:val="24"/>
                <w:szCs w:val="24"/>
              </w:rPr>
              <w:t>2-</w:t>
            </w:r>
            <w:r>
              <w:rPr>
                <w:rFonts w:hint="eastAsia" w:ascii="Times New Roman" w:eastAsia="宋体"/>
                <w:color w:val="auto"/>
                <w:sz w:val="24"/>
                <w:szCs w:val="24"/>
                <w:lang w:val="en-US" w:eastAsia="zh-CN"/>
              </w:rPr>
              <w:t>1</w:t>
            </w:r>
            <w:r>
              <w:rPr>
                <w:rFonts w:hint="eastAsia"/>
                <w:color w:val="auto"/>
                <w:sz w:val="24"/>
                <w:szCs w:val="24"/>
                <w:lang w:val="en-US" w:eastAsia="zh-CN"/>
              </w:rPr>
              <w:t>2</w:t>
            </w:r>
            <w:r>
              <w:rPr>
                <w:rFonts w:ascii="Times New Roman" w:eastAsia="Times New Roman"/>
                <w:color w:val="auto"/>
                <w:spacing w:val="8"/>
                <w:sz w:val="24"/>
                <w:szCs w:val="24"/>
              </w:rPr>
              <w:t xml:space="preserve"> </w:t>
            </w:r>
            <w:r>
              <w:rPr>
                <w:rFonts w:hint="eastAsia" w:ascii="Times New Roman" w:eastAsia="宋体"/>
                <w:color w:val="auto"/>
                <w:spacing w:val="8"/>
                <w:sz w:val="24"/>
                <w:szCs w:val="24"/>
                <w:lang w:val="en-US" w:eastAsia="zh-CN"/>
              </w:rPr>
              <w:t xml:space="preserve"> </w:t>
            </w:r>
            <w:r>
              <w:rPr>
                <w:rFonts w:hint="eastAsia" w:ascii="黑体" w:eastAsia="黑体"/>
                <w:color w:val="auto"/>
                <w:sz w:val="24"/>
                <w:szCs w:val="24"/>
              </w:rPr>
              <w:t>各产品主要生产工艺一览表</w:t>
            </w:r>
          </w:p>
          <w:tbl>
            <w:tblPr>
              <w:tblStyle w:val="29"/>
              <w:tblW w:w="86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3176"/>
              <w:gridCol w:w="4400"/>
            </w:tblGrid>
            <w:tr w14:paraId="1ABF0B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211" w:type="dxa"/>
                  <w:gridSpan w:val="2"/>
                  <w:tcBorders>
                    <w:tl2br w:val="nil"/>
                    <w:tr2bl w:val="nil"/>
                  </w:tcBorders>
                  <w:vAlign w:val="center"/>
                </w:tcPr>
                <w:p w14:paraId="33797CA2">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主要产品名称</w:t>
                  </w:r>
                </w:p>
              </w:tc>
              <w:tc>
                <w:tcPr>
                  <w:tcW w:w="4400" w:type="dxa"/>
                  <w:tcBorders>
                    <w:tl2br w:val="nil"/>
                    <w:tr2bl w:val="nil"/>
                  </w:tcBorders>
                  <w:vAlign w:val="center"/>
                </w:tcPr>
                <w:p w14:paraId="2421040C">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涉及工艺</w:t>
                  </w:r>
                </w:p>
              </w:tc>
            </w:tr>
            <w:tr w14:paraId="716DC2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5" w:type="dxa"/>
                  <w:tcBorders>
                    <w:tl2br w:val="nil"/>
                    <w:tr2bl w:val="nil"/>
                  </w:tcBorders>
                  <w:vAlign w:val="center"/>
                </w:tcPr>
                <w:p w14:paraId="17280D1F">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精密铸件</w:t>
                  </w:r>
                </w:p>
              </w:tc>
              <w:tc>
                <w:tcPr>
                  <w:tcW w:w="3176" w:type="dxa"/>
                  <w:tcBorders>
                    <w:tl2br w:val="nil"/>
                    <w:tr2bl w:val="nil"/>
                  </w:tcBorders>
                  <w:vAlign w:val="center"/>
                </w:tcPr>
                <w:p w14:paraId="345C5F2F">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精密铸件</w:t>
                  </w:r>
                </w:p>
              </w:tc>
              <w:tc>
                <w:tcPr>
                  <w:tcW w:w="4400" w:type="dxa"/>
                  <w:tcBorders>
                    <w:tl2br w:val="nil"/>
                    <w:tr2bl w:val="nil"/>
                  </w:tcBorders>
                  <w:vAlign w:val="center"/>
                </w:tcPr>
                <w:p w14:paraId="3965CA55">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熔模铸造</w:t>
                  </w:r>
                  <w:r>
                    <w:rPr>
                      <w:rFonts w:hint="eastAsia" w:cs="Times New Roman"/>
                      <w:color w:val="auto"/>
                      <w:sz w:val="21"/>
                      <w:szCs w:val="21"/>
                      <w:lang w:eastAsia="zh-CN"/>
                    </w:rPr>
                    <w:t>、</w:t>
                  </w:r>
                  <w:r>
                    <w:rPr>
                      <w:rFonts w:hint="default" w:ascii="Times New Roman" w:hAnsi="Times New Roman" w:cs="Times New Roman"/>
                      <w:color w:val="auto"/>
                      <w:sz w:val="21"/>
                      <w:szCs w:val="21"/>
                    </w:rPr>
                    <w:t>粘土砂铸造、树脂自硬砂铸造</w:t>
                  </w:r>
                  <w:r>
                    <w:rPr>
                      <w:rFonts w:hint="eastAsia" w:cs="Times New Roman"/>
                      <w:color w:val="auto"/>
                      <w:sz w:val="21"/>
                      <w:szCs w:val="21"/>
                      <w:lang w:eastAsia="zh-CN"/>
                    </w:rPr>
                    <w:t>、</w:t>
                  </w:r>
                  <w:r>
                    <w:rPr>
                      <w:rFonts w:hint="eastAsia" w:cs="Times New Roman"/>
                      <w:color w:val="auto"/>
                      <w:sz w:val="21"/>
                      <w:szCs w:val="21"/>
                      <w:lang w:val="en-US" w:eastAsia="zh-CN"/>
                    </w:rPr>
                    <w:t>机加工、退火、喷粉等</w:t>
                  </w:r>
                </w:p>
              </w:tc>
            </w:tr>
            <w:tr w14:paraId="2E0AE5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5" w:type="dxa"/>
                  <w:vMerge w:val="restart"/>
                  <w:tcBorders>
                    <w:tl2br w:val="nil"/>
                    <w:tr2bl w:val="nil"/>
                  </w:tcBorders>
                  <w:vAlign w:val="center"/>
                </w:tcPr>
                <w:p w14:paraId="2C25B267">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消防产品</w:t>
                  </w:r>
                </w:p>
              </w:tc>
              <w:tc>
                <w:tcPr>
                  <w:tcW w:w="3176" w:type="dxa"/>
                  <w:tcBorders>
                    <w:tl2br w:val="nil"/>
                    <w:tr2bl w:val="nil"/>
                  </w:tcBorders>
                  <w:vAlign w:val="center"/>
                </w:tcPr>
                <w:p w14:paraId="2A229CDB">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消防栓箱（含消防水带、消防软管卷盘、水枪头、报警阀门）</w:t>
                  </w:r>
                </w:p>
              </w:tc>
              <w:tc>
                <w:tcPr>
                  <w:tcW w:w="4400" w:type="dxa"/>
                  <w:tcBorders>
                    <w:tl2br w:val="nil"/>
                    <w:tr2bl w:val="nil"/>
                  </w:tcBorders>
                  <w:vAlign w:val="center"/>
                </w:tcPr>
                <w:p w14:paraId="6CEC117E">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拌料、挤出、绕线、过胶、捻丝、</w:t>
                  </w:r>
                  <w:r>
                    <w:rPr>
                      <w:rFonts w:hint="eastAsia" w:cs="Times New Roman"/>
                      <w:color w:val="auto"/>
                      <w:sz w:val="21"/>
                      <w:szCs w:val="21"/>
                      <w:lang w:val="en-US" w:eastAsia="zh-CN"/>
                    </w:rPr>
                    <w:t>组装等</w:t>
                  </w:r>
                </w:p>
              </w:tc>
            </w:tr>
            <w:tr w14:paraId="78C60C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5" w:type="dxa"/>
                  <w:vMerge w:val="continue"/>
                  <w:tcBorders>
                    <w:tl2br w:val="nil"/>
                    <w:tr2bl w:val="nil"/>
                  </w:tcBorders>
                  <w:vAlign w:val="center"/>
                </w:tcPr>
                <w:p w14:paraId="6165BF6F">
                  <w:pPr>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cs="Times New Roman"/>
                      <w:color w:val="auto"/>
                      <w:sz w:val="21"/>
                      <w:szCs w:val="21"/>
                    </w:rPr>
                  </w:pPr>
                </w:p>
              </w:tc>
              <w:tc>
                <w:tcPr>
                  <w:tcW w:w="3176" w:type="dxa"/>
                  <w:tcBorders>
                    <w:tl2br w:val="nil"/>
                    <w:tr2bl w:val="nil"/>
                  </w:tcBorders>
                  <w:vAlign w:val="center"/>
                </w:tcPr>
                <w:p w14:paraId="3FAF8C4E">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阀门</w:t>
                  </w:r>
                  <w:r>
                    <w:rPr>
                      <w:rFonts w:hint="eastAsia" w:cs="Times New Roman"/>
                      <w:color w:val="auto"/>
                      <w:sz w:val="21"/>
                      <w:szCs w:val="21"/>
                      <w:lang w:val="en-US" w:eastAsia="zh-CN"/>
                    </w:rPr>
                    <w:t>配件</w:t>
                  </w:r>
                  <w:r>
                    <w:rPr>
                      <w:rFonts w:hint="default" w:ascii="Times New Roman" w:hAnsi="Times New Roman" w:eastAsia="宋体" w:cs="Times New Roman"/>
                      <w:color w:val="auto"/>
                      <w:sz w:val="21"/>
                      <w:szCs w:val="21"/>
                    </w:rPr>
                    <w:t>、喷头</w:t>
                  </w:r>
                  <w:r>
                    <w:rPr>
                      <w:rFonts w:hint="eastAsia" w:cs="Times New Roman"/>
                      <w:color w:val="auto"/>
                      <w:sz w:val="21"/>
                      <w:szCs w:val="21"/>
                      <w:lang w:val="en-US" w:eastAsia="zh-CN"/>
                    </w:rPr>
                    <w:t>配件</w:t>
                  </w:r>
                  <w:r>
                    <w:rPr>
                      <w:rFonts w:hint="default" w:ascii="Times New Roman" w:hAnsi="Times New Roman" w:eastAsia="宋体" w:cs="Times New Roman"/>
                      <w:color w:val="auto"/>
                      <w:sz w:val="21"/>
                      <w:szCs w:val="21"/>
                    </w:rPr>
                    <w:t>等</w:t>
                  </w:r>
                </w:p>
              </w:tc>
              <w:tc>
                <w:tcPr>
                  <w:tcW w:w="4400" w:type="dxa"/>
                  <w:tcBorders>
                    <w:tl2br w:val="nil"/>
                    <w:tr2bl w:val="nil"/>
                  </w:tcBorders>
                  <w:vAlign w:val="center"/>
                </w:tcPr>
                <w:p w14:paraId="1EA9453C">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红冲工序、压铸工序</w:t>
                  </w:r>
                </w:p>
              </w:tc>
            </w:tr>
            <w:tr w14:paraId="3FDC24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5" w:type="dxa"/>
                  <w:vMerge w:val="continue"/>
                  <w:tcBorders>
                    <w:tl2br w:val="nil"/>
                    <w:tr2bl w:val="nil"/>
                  </w:tcBorders>
                  <w:vAlign w:val="center"/>
                </w:tcPr>
                <w:p w14:paraId="7BDA10FF">
                  <w:pPr>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cs="Times New Roman"/>
                      <w:color w:val="auto"/>
                      <w:sz w:val="21"/>
                      <w:szCs w:val="21"/>
                    </w:rPr>
                  </w:pPr>
                </w:p>
              </w:tc>
              <w:tc>
                <w:tcPr>
                  <w:tcW w:w="3176" w:type="dxa"/>
                  <w:tcBorders>
                    <w:tl2br w:val="nil"/>
                    <w:tr2bl w:val="nil"/>
                  </w:tcBorders>
                  <w:vAlign w:val="center"/>
                </w:tcPr>
                <w:p w14:paraId="676C412F">
                  <w:pPr>
                    <w:pStyle w:val="57"/>
                    <w:keepNext w:val="0"/>
                    <w:keepLines w:val="0"/>
                    <w:pageBreakBefore w:val="0"/>
                    <w:widowControl w:val="0"/>
                    <w:kinsoku/>
                    <w:wordWrap/>
                    <w:overflowPunct/>
                    <w:topLinePunct w:val="0"/>
                    <w:bidi w:val="0"/>
                    <w:snapToGrid/>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灭火器</w:t>
                  </w:r>
                </w:p>
              </w:tc>
              <w:tc>
                <w:tcPr>
                  <w:tcW w:w="4400" w:type="dxa"/>
                  <w:tcBorders>
                    <w:tl2br w:val="nil"/>
                    <w:tr2bl w:val="nil"/>
                  </w:tcBorders>
                  <w:vAlign w:val="center"/>
                </w:tcPr>
                <w:p w14:paraId="19BC964D">
                  <w:pPr>
                    <w:pStyle w:val="57"/>
                    <w:keepNext w:val="0"/>
                    <w:keepLines w:val="0"/>
                    <w:pageBreakBefore w:val="0"/>
                    <w:widowControl w:val="0"/>
                    <w:kinsoku/>
                    <w:wordWrap/>
                    <w:overflowPunct/>
                    <w:topLinePunct w:val="0"/>
                    <w:bidi w:val="0"/>
                    <w:snapToGrid/>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切割、焊接、喷粉固化、灭火剂灌装、装配等</w:t>
                  </w:r>
                </w:p>
              </w:tc>
            </w:tr>
            <w:tr w14:paraId="36E7D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11" w:type="dxa"/>
                  <w:gridSpan w:val="3"/>
                  <w:tcBorders>
                    <w:tl2br w:val="nil"/>
                    <w:tr2bl w:val="nil"/>
                  </w:tcBorders>
                  <w:vAlign w:val="center"/>
                </w:tcPr>
                <w:p w14:paraId="6CBA5BB7">
                  <w:pPr>
                    <w:pStyle w:val="57"/>
                    <w:keepNext w:val="0"/>
                    <w:keepLines w:val="0"/>
                    <w:pageBreakBefore w:val="0"/>
                    <w:widowControl w:val="0"/>
                    <w:kinsoku/>
                    <w:wordWrap/>
                    <w:overflowPunct/>
                    <w:topLinePunct w:val="0"/>
                    <w:bidi w:val="0"/>
                    <w:snapToGrid/>
                    <w:ind w:left="0" w:right="0"/>
                    <w:jc w:val="left"/>
                    <w:textAlignment w:val="auto"/>
                    <w:rPr>
                      <w:rFonts w:hint="eastAsia" w:ascii="Times New Roman" w:hAnsi="Times New Roman" w:eastAsia="宋体" w:cs="Times New Roman"/>
                      <w:color w:val="auto"/>
                      <w:sz w:val="21"/>
                      <w:szCs w:val="21"/>
                      <w:lang w:val="en-US" w:eastAsia="zh-CN"/>
                    </w:rPr>
                  </w:pPr>
                  <w:r>
                    <w:rPr>
                      <w:color w:val="auto"/>
                      <w:sz w:val="21"/>
                    </w:rPr>
                    <w:t>注：本项目生产的消防水带、消防软管卷盘</w:t>
                  </w:r>
                  <w:r>
                    <w:rPr>
                      <w:rFonts w:hint="eastAsia"/>
                      <w:color w:val="auto"/>
                      <w:sz w:val="21"/>
                      <w:lang w:eastAsia="zh-CN"/>
                    </w:rPr>
                    <w:t>，</w:t>
                  </w:r>
                  <w:r>
                    <w:rPr>
                      <w:rFonts w:hint="eastAsia"/>
                      <w:color w:val="auto"/>
                      <w:sz w:val="21"/>
                      <w:lang w:val="en-US" w:eastAsia="zh-CN"/>
                    </w:rPr>
                    <w:t>以及精密铸件中的3815t/a的</w:t>
                  </w:r>
                  <w:r>
                    <w:rPr>
                      <w:color w:val="auto"/>
                      <w:sz w:val="21"/>
                    </w:rPr>
                    <w:t>水枪头</w:t>
                  </w:r>
                  <w:r>
                    <w:rPr>
                      <w:rFonts w:hint="eastAsia"/>
                      <w:color w:val="auto"/>
                      <w:sz w:val="21"/>
                      <w:lang w:eastAsia="zh-CN"/>
                    </w:rPr>
                    <w:t>（</w:t>
                  </w:r>
                  <w:r>
                    <w:rPr>
                      <w:rFonts w:hint="eastAsia"/>
                      <w:color w:val="auto"/>
                      <w:sz w:val="21"/>
                      <w:lang w:val="en-US" w:eastAsia="zh-CN"/>
                    </w:rPr>
                    <w:t>315t/a</w:t>
                  </w:r>
                  <w:r>
                    <w:rPr>
                      <w:rFonts w:hint="eastAsia"/>
                      <w:color w:val="auto"/>
                      <w:sz w:val="21"/>
                      <w:lang w:eastAsia="zh-CN"/>
                    </w:rPr>
                    <w:t>）</w:t>
                  </w:r>
                  <w:r>
                    <w:rPr>
                      <w:color w:val="auto"/>
                      <w:sz w:val="21"/>
                    </w:rPr>
                    <w:t>、报警阀门</w:t>
                  </w:r>
                  <w:r>
                    <w:rPr>
                      <w:rFonts w:hint="eastAsia"/>
                      <w:color w:val="auto"/>
                      <w:sz w:val="21"/>
                      <w:lang w:eastAsia="zh-CN"/>
                    </w:rPr>
                    <w:t>（</w:t>
                  </w:r>
                  <w:r>
                    <w:rPr>
                      <w:rFonts w:hint="eastAsia"/>
                      <w:color w:val="auto"/>
                      <w:sz w:val="21"/>
                      <w:lang w:val="en-US" w:eastAsia="zh-CN"/>
                    </w:rPr>
                    <w:t>3500t/a</w:t>
                  </w:r>
                  <w:r>
                    <w:rPr>
                      <w:rFonts w:hint="eastAsia"/>
                      <w:color w:val="auto"/>
                      <w:sz w:val="21"/>
                      <w:lang w:eastAsia="zh-CN"/>
                    </w:rPr>
                    <w:t>）</w:t>
                  </w:r>
                  <w:r>
                    <w:rPr>
                      <w:color w:val="auto"/>
                      <w:sz w:val="21"/>
                    </w:rPr>
                    <w:t>等属于消防栓箱的配件，不单独</w:t>
                  </w:r>
                  <w:r>
                    <w:rPr>
                      <w:rFonts w:hint="eastAsia"/>
                      <w:color w:val="auto"/>
                      <w:sz w:val="21"/>
                      <w:lang w:val="en-US" w:eastAsia="zh-CN"/>
                    </w:rPr>
                    <w:t>外售。</w:t>
                  </w:r>
                </w:p>
              </w:tc>
            </w:tr>
          </w:tbl>
          <w:p w14:paraId="3417B02F">
            <w:pPr>
              <w:widowControl/>
              <w:spacing w:beforeLines="50" w:line="360" w:lineRule="auto"/>
              <w:jc w:val="center"/>
              <w:rPr>
                <w:bCs/>
                <w:color w:val="auto"/>
                <w:sz w:val="24"/>
                <w:szCs w:val="24"/>
              </w:rPr>
            </w:pPr>
            <w:r>
              <w:rPr>
                <w:rFonts w:hint="eastAsia"/>
                <w:b/>
                <w:bCs/>
                <w:color w:val="auto"/>
                <w:kern w:val="0"/>
                <w:sz w:val="24"/>
                <w:szCs w:val="24"/>
                <w:lang w:val="en-US" w:eastAsia="zh-CN"/>
              </w:rPr>
              <w:t>涉密删除！</w:t>
            </w:r>
          </w:p>
        </w:tc>
      </w:tr>
      <w:tr w14:paraId="2FFA0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 w:type="pct"/>
            <w:vAlign w:val="center"/>
          </w:tcPr>
          <w:p w14:paraId="2D0A2E62">
            <w:pPr>
              <w:pStyle w:val="24"/>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bCs/>
                <w:color w:val="auto"/>
                <w:kern w:val="2"/>
                <w:sz w:val="24"/>
                <w:szCs w:val="24"/>
              </w:rPr>
              <w:t>与项目有关的原有环境污染问题</w:t>
            </w:r>
          </w:p>
        </w:tc>
        <w:tc>
          <w:tcPr>
            <w:tcW w:w="4726" w:type="pct"/>
          </w:tcPr>
          <w:p w14:paraId="688696F3">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1、现有工程概况</w:t>
            </w:r>
          </w:p>
          <w:p w14:paraId="0E70BFB1">
            <w:pPr>
              <w:tabs>
                <w:tab w:val="left" w:pos="720"/>
              </w:tabs>
              <w:spacing w:line="360" w:lineRule="auto"/>
              <w:ind w:firstLine="480" w:firstLineChars="200"/>
              <w:rPr>
                <w:rFonts w:hint="default" w:ascii="Times New Roman" w:hAnsi="Times New Roman"/>
                <w:bCs/>
                <w:color w:val="auto"/>
                <w:sz w:val="24"/>
                <w:szCs w:val="24"/>
                <w:lang w:val="en-US" w:eastAsia="zh-CN"/>
              </w:rPr>
            </w:pPr>
            <w:bookmarkStart w:id="14" w:name="_Toc13322"/>
            <w:r>
              <w:rPr>
                <w:rFonts w:hint="eastAsia"/>
                <w:bCs/>
                <w:color w:val="auto"/>
                <w:sz w:val="24"/>
                <w:szCs w:val="24"/>
                <w:lang w:val="en-US" w:eastAsia="zh-CN"/>
              </w:rPr>
              <w:t>原项目环境影响报告表于</w:t>
            </w:r>
            <w:r>
              <w:rPr>
                <w:rFonts w:hint="eastAsia"/>
                <w:color w:val="auto"/>
                <w:sz w:val="24"/>
                <w:szCs w:val="24"/>
                <w:lang w:eastAsia="zh-CN"/>
              </w:rPr>
              <w:t>202</w:t>
            </w:r>
            <w:r>
              <w:rPr>
                <w:rFonts w:hint="eastAsia"/>
                <w:color w:val="auto"/>
                <w:sz w:val="24"/>
                <w:szCs w:val="24"/>
                <w:lang w:val="en-US" w:eastAsia="zh-CN"/>
              </w:rPr>
              <w:t>3</w:t>
            </w:r>
            <w:r>
              <w:rPr>
                <w:rFonts w:hint="eastAsia"/>
                <w:color w:val="auto"/>
                <w:sz w:val="24"/>
                <w:szCs w:val="24"/>
                <w:lang w:eastAsia="zh-CN"/>
              </w:rPr>
              <w:t>年</w:t>
            </w:r>
            <w:r>
              <w:rPr>
                <w:rFonts w:hint="eastAsia"/>
                <w:color w:val="auto"/>
                <w:sz w:val="24"/>
                <w:szCs w:val="24"/>
                <w:lang w:val="en-US" w:eastAsia="zh-CN"/>
              </w:rPr>
              <w:t>5</w:t>
            </w:r>
            <w:r>
              <w:rPr>
                <w:rFonts w:hint="eastAsia"/>
                <w:color w:val="auto"/>
                <w:sz w:val="24"/>
                <w:szCs w:val="24"/>
                <w:lang w:eastAsia="zh-CN"/>
              </w:rPr>
              <w:t>月</w:t>
            </w:r>
            <w:r>
              <w:rPr>
                <w:rFonts w:hint="eastAsia"/>
                <w:color w:val="auto"/>
                <w:sz w:val="24"/>
                <w:szCs w:val="24"/>
                <w:lang w:val="en-US" w:eastAsia="zh-CN"/>
              </w:rPr>
              <w:t>25</w:t>
            </w:r>
            <w:r>
              <w:rPr>
                <w:rFonts w:hint="eastAsia"/>
                <w:color w:val="auto"/>
                <w:sz w:val="24"/>
                <w:szCs w:val="24"/>
                <w:lang w:eastAsia="zh-CN"/>
              </w:rPr>
              <w:t>日</w:t>
            </w:r>
            <w:r>
              <w:rPr>
                <w:rFonts w:hint="eastAsia"/>
                <w:color w:val="auto"/>
                <w:sz w:val="24"/>
                <w:szCs w:val="24"/>
                <w:lang w:val="en-US" w:eastAsia="zh-CN"/>
              </w:rPr>
              <w:t>通过三明市大田生态环境局审批</w:t>
            </w:r>
            <w:r>
              <w:rPr>
                <w:rFonts w:hint="eastAsia"/>
                <w:color w:val="auto"/>
                <w:sz w:val="24"/>
                <w:szCs w:val="24"/>
                <w:lang w:eastAsia="zh-CN"/>
              </w:rPr>
              <w:t>（审批文号：明环评田〔202</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lang w:val="en-US" w:eastAsia="zh-CN"/>
              </w:rPr>
              <w:t>13</w:t>
            </w:r>
            <w:r>
              <w:rPr>
                <w:rFonts w:hint="eastAsia"/>
                <w:color w:val="auto"/>
                <w:sz w:val="24"/>
                <w:szCs w:val="24"/>
                <w:lang w:eastAsia="zh-CN"/>
              </w:rPr>
              <w:t>号）。</w:t>
            </w:r>
          </w:p>
          <w:p w14:paraId="7EC2E279">
            <w:pPr>
              <w:tabs>
                <w:tab w:val="left" w:pos="720"/>
              </w:tabs>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原项目于2023年6月开工建设，目前1#厂房主体结构已建成，车间地</w:t>
            </w:r>
            <w:r>
              <w:rPr>
                <w:rFonts w:hint="eastAsia"/>
                <w:color w:val="auto"/>
                <w:sz w:val="24"/>
                <w:szCs w:val="24"/>
                <w:lang w:val="en-US" w:eastAsia="zh-CN"/>
              </w:rPr>
              <w:t>面</w:t>
            </w:r>
            <w:r>
              <w:rPr>
                <w:rFonts w:hint="eastAsia"/>
                <w:bCs/>
                <w:color w:val="auto"/>
                <w:sz w:val="24"/>
                <w:szCs w:val="24"/>
                <w:lang w:val="en-US" w:eastAsia="zh-CN"/>
              </w:rPr>
              <w:t>已硬化，3#厂房主体结构已建成，车间地面还未硬化。1#车间熔模铸造生产线已安装部分设备（见表2-14），暂未投入运营，厂区内部分地面已水泥硬化，部分区域地表裸露。2#厂房暂未施工建设，目前处于停工状态。</w:t>
            </w:r>
          </w:p>
          <w:p w14:paraId="5C65BF6D">
            <w:pPr>
              <w:tabs>
                <w:tab w:val="left" w:pos="720"/>
              </w:tabs>
              <w:spacing w:line="360" w:lineRule="auto"/>
              <w:jc w:val="center"/>
              <w:rPr>
                <w:rFonts w:hint="default"/>
                <w:b/>
                <w:bCs w:val="0"/>
                <w:color w:val="auto"/>
                <w:sz w:val="24"/>
                <w:szCs w:val="24"/>
                <w:lang w:val="en-US" w:eastAsia="zh-CN"/>
              </w:rPr>
            </w:pPr>
            <w:r>
              <w:rPr>
                <w:rFonts w:hint="eastAsia"/>
                <w:b/>
                <w:bCs w:val="0"/>
                <w:color w:val="auto"/>
                <w:sz w:val="24"/>
                <w:szCs w:val="24"/>
                <w:lang w:val="en-US" w:eastAsia="zh-CN"/>
              </w:rPr>
              <w:t>表2-15  熔模铸造生产线已安装设备一览表</w:t>
            </w:r>
          </w:p>
          <w:p w14:paraId="160F6097">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157CE327">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316A055C">
            <w:pPr>
              <w:tabs>
                <w:tab w:val="left" w:pos="720"/>
              </w:tabs>
              <w:spacing w:line="360" w:lineRule="auto"/>
              <w:jc w:val="center"/>
              <w:rPr>
                <w:rFonts w:hint="eastAsia"/>
                <w:b/>
                <w:bCs w:val="0"/>
                <w:color w:val="auto"/>
                <w:sz w:val="24"/>
                <w:szCs w:val="24"/>
                <w:lang w:val="en-US" w:eastAsia="zh-CN"/>
              </w:rPr>
            </w:pPr>
            <w:r>
              <w:rPr>
                <w:rFonts w:hint="eastAsia"/>
                <w:b/>
                <w:bCs w:val="0"/>
                <w:color w:val="auto"/>
                <w:sz w:val="24"/>
                <w:szCs w:val="24"/>
                <w:lang w:val="en-US" w:eastAsia="zh-CN"/>
              </w:rPr>
              <w:t>图2-12  厂区现状</w:t>
            </w:r>
          </w:p>
          <w:p w14:paraId="28B15DC6">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eastAsia="黑体"/>
                <w:color w:val="auto"/>
                <w:sz w:val="24"/>
                <w:szCs w:val="24"/>
                <w:lang w:val="en-US" w:eastAsia="zh-CN"/>
              </w:rPr>
            </w:pPr>
            <w:r>
              <w:rPr>
                <w:rFonts w:hint="eastAsia"/>
                <w:color w:val="auto"/>
                <w:sz w:val="24"/>
                <w:szCs w:val="24"/>
                <w:lang w:val="en-US" w:eastAsia="zh-CN"/>
              </w:rPr>
              <w:t>2</w:t>
            </w:r>
            <w:r>
              <w:rPr>
                <w:rFonts w:hint="eastAsia"/>
                <w:color w:val="auto"/>
                <w:sz w:val="24"/>
                <w:szCs w:val="24"/>
                <w:lang w:val="en-US"/>
              </w:rPr>
              <w:t>、</w:t>
            </w:r>
            <w:r>
              <w:rPr>
                <w:rFonts w:hint="eastAsia"/>
                <w:color w:val="auto"/>
                <w:sz w:val="24"/>
                <w:szCs w:val="24"/>
                <w:lang w:val="en-US" w:eastAsia="zh-CN"/>
              </w:rPr>
              <w:t>原项目环评及批复污染物排放情况</w:t>
            </w:r>
          </w:p>
          <w:p w14:paraId="3D7EAE40">
            <w:pPr>
              <w:tabs>
                <w:tab w:val="left" w:pos="720"/>
              </w:tabs>
              <w:spacing w:line="360" w:lineRule="auto"/>
              <w:ind w:firstLine="480" w:firstLineChars="200"/>
              <w:rPr>
                <w:rFonts w:hint="default" w:ascii="Times New Roman" w:hAnsi="Times New Roman"/>
                <w:bCs/>
                <w:color w:val="auto"/>
                <w:sz w:val="24"/>
                <w:szCs w:val="24"/>
                <w:lang w:val="en-US" w:eastAsia="zh-CN"/>
              </w:rPr>
            </w:pPr>
            <w:r>
              <w:rPr>
                <w:rFonts w:hint="eastAsia"/>
                <w:bCs/>
                <w:color w:val="auto"/>
                <w:sz w:val="24"/>
                <w:szCs w:val="24"/>
                <w:lang w:val="en-US" w:eastAsia="zh-CN"/>
              </w:rPr>
              <w:t>（1）废水</w:t>
            </w:r>
          </w:p>
          <w:p w14:paraId="1EA8A48B">
            <w:pPr>
              <w:tabs>
                <w:tab w:val="left" w:pos="720"/>
              </w:tabs>
              <w:spacing w:line="360" w:lineRule="auto"/>
              <w:ind w:firstLine="480" w:firstLineChars="200"/>
              <w:rPr>
                <w:rFonts w:hint="eastAsia" w:ascii="Times New Roman" w:hAnsi="Times New Roman"/>
                <w:bCs/>
                <w:color w:val="auto"/>
                <w:sz w:val="24"/>
                <w:szCs w:val="24"/>
                <w:lang w:val="en-US" w:eastAsia="zh-CN"/>
              </w:rPr>
            </w:pPr>
            <w:r>
              <w:rPr>
                <w:rFonts w:hint="eastAsia" w:ascii="Times New Roman" w:hAnsi="Times New Roman"/>
                <w:bCs/>
                <w:color w:val="auto"/>
                <w:sz w:val="24"/>
                <w:szCs w:val="24"/>
                <w:lang w:val="en-US" w:eastAsia="zh-CN"/>
              </w:rPr>
              <w:t>中频炉冷却用水、石蜡件冷却用水、压铸机冷却用水、造粒机冷却用水、挤出冷却用水、锅炉用水、试压用水循环使用不外排；粘土砂混砂用水、石墨乳制备用水最终蒸发损耗；碱液喷淋塔喷淋废水和酸性废水经拟建的污水处理站处理达标后回用于化学抛光水洗工序不外排；职工生活污水经化粪池处理达标后最终纳入园区污水处理厂统一处理</w:t>
            </w:r>
            <w:r>
              <w:rPr>
                <w:rFonts w:hint="eastAsia"/>
                <w:bCs/>
                <w:color w:val="auto"/>
                <w:sz w:val="24"/>
                <w:szCs w:val="24"/>
                <w:lang w:val="en-US" w:eastAsia="zh-CN"/>
              </w:rPr>
              <w:t>。</w:t>
            </w:r>
          </w:p>
          <w:p w14:paraId="7AD63025">
            <w:pPr>
              <w:tabs>
                <w:tab w:val="left" w:pos="720"/>
              </w:tabs>
              <w:spacing w:line="360" w:lineRule="auto"/>
              <w:jc w:val="center"/>
              <w:rPr>
                <w:rFonts w:hint="default" w:ascii="Times New Roman" w:hAnsi="Times New Roman"/>
                <w:b/>
                <w:bCs w:val="0"/>
                <w:color w:val="auto"/>
                <w:sz w:val="24"/>
                <w:szCs w:val="24"/>
                <w:lang w:val="en-US" w:eastAsia="zh-CN"/>
              </w:rPr>
            </w:pPr>
            <w:r>
              <w:rPr>
                <w:rFonts w:hint="eastAsia"/>
                <w:b/>
                <w:bCs w:val="0"/>
                <w:color w:val="auto"/>
                <w:sz w:val="24"/>
                <w:szCs w:val="24"/>
                <w:lang w:val="en-US" w:eastAsia="zh-CN"/>
              </w:rPr>
              <w:t>表2-16  原项目环评核算的生活污水污染物排放量</w:t>
            </w:r>
          </w:p>
          <w:p w14:paraId="5182CEBC">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6FCC7058">
            <w:pPr>
              <w:keepNext w:val="0"/>
              <w:keepLines w:val="0"/>
              <w:pageBreakBefore w:val="0"/>
              <w:widowControl w:val="0"/>
              <w:tabs>
                <w:tab w:val="left" w:pos="720"/>
              </w:tabs>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bCs/>
                <w:color w:val="auto"/>
                <w:sz w:val="24"/>
                <w:szCs w:val="24"/>
                <w:lang w:val="en-US" w:eastAsia="zh-CN"/>
              </w:rPr>
            </w:pPr>
            <w:r>
              <w:rPr>
                <w:rFonts w:hint="eastAsia"/>
                <w:bCs/>
                <w:color w:val="auto"/>
                <w:sz w:val="24"/>
                <w:szCs w:val="24"/>
                <w:lang w:val="en-US" w:eastAsia="zh-CN"/>
              </w:rPr>
              <w:t>（2）废气</w:t>
            </w:r>
          </w:p>
          <w:p w14:paraId="0659AE9F">
            <w:pPr>
              <w:tabs>
                <w:tab w:val="left" w:pos="720"/>
              </w:tabs>
              <w:spacing w:line="360" w:lineRule="auto"/>
              <w:ind w:firstLine="480" w:firstLineChars="200"/>
              <w:rPr>
                <w:rFonts w:hint="default" w:ascii="Times New Roman" w:hAnsi="Times New Roman"/>
                <w:bCs/>
                <w:color w:val="auto"/>
                <w:sz w:val="24"/>
                <w:szCs w:val="24"/>
                <w:lang w:val="en-US" w:eastAsia="zh-CN"/>
              </w:rPr>
            </w:pPr>
            <w:r>
              <w:rPr>
                <w:rFonts w:hint="eastAsia"/>
                <w:bCs/>
                <w:color w:val="auto"/>
                <w:sz w:val="24"/>
                <w:szCs w:val="24"/>
                <w:lang w:val="en-US" w:eastAsia="zh-CN"/>
              </w:rPr>
              <w:t>根据原项目环评报告，</w:t>
            </w:r>
            <w:r>
              <w:rPr>
                <w:rFonts w:hint="eastAsia" w:ascii="Times New Roman" w:hAnsi="Times New Roman"/>
                <w:bCs/>
                <w:color w:val="auto"/>
                <w:sz w:val="24"/>
                <w:szCs w:val="24"/>
                <w:lang w:val="en-US" w:eastAsia="zh-CN"/>
              </w:rPr>
              <w:t>精密铸件生产工艺涉及的废气主要为铸造废气（含熔化、造型浇注、焙烧、制芯、脱壳、落砂、砂处理再生和清理打磨等工序废气）等；消防产品生产工艺涉及的废气主要包括化学抛光废气、喷粉废气、红冲工序废气（加热炉燃料废气、抛丸废气）、压铸废气（包含熔化、脱模、打磨等工序废气）、投料拌料粉尘废气、造粒废气、挤出废气、锅炉燃料废气等</w:t>
            </w:r>
            <w:r>
              <w:rPr>
                <w:rFonts w:hint="eastAsia"/>
                <w:bCs/>
                <w:color w:val="auto"/>
                <w:sz w:val="24"/>
                <w:szCs w:val="24"/>
                <w:lang w:val="en-US" w:eastAsia="zh-CN"/>
              </w:rPr>
              <w:t>。原环评报告核算的废气污染排放量见表2-17。</w:t>
            </w:r>
          </w:p>
          <w:p w14:paraId="19BE7E19">
            <w:pPr>
              <w:tabs>
                <w:tab w:val="left" w:pos="720"/>
              </w:tabs>
              <w:spacing w:line="360" w:lineRule="auto"/>
              <w:jc w:val="center"/>
              <w:rPr>
                <w:rFonts w:hint="default" w:ascii="Times New Roman" w:hAnsi="Times New Roman"/>
                <w:b/>
                <w:bCs w:val="0"/>
                <w:color w:val="auto"/>
                <w:sz w:val="24"/>
                <w:szCs w:val="24"/>
                <w:lang w:val="en-US" w:eastAsia="zh-CN"/>
              </w:rPr>
            </w:pPr>
            <w:r>
              <w:rPr>
                <w:rFonts w:hint="eastAsia"/>
                <w:b/>
                <w:bCs w:val="0"/>
                <w:color w:val="auto"/>
                <w:sz w:val="24"/>
                <w:szCs w:val="24"/>
                <w:lang w:val="en-US" w:eastAsia="zh-CN"/>
              </w:rPr>
              <w:t>表2-17  原项目环评核算的废气污染物排放量</w:t>
            </w:r>
          </w:p>
          <w:p w14:paraId="5BFB62B8">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1A716F6F">
            <w:pPr>
              <w:keepNext w:val="0"/>
              <w:keepLines w:val="0"/>
              <w:pageBreakBefore w:val="0"/>
              <w:widowControl w:val="0"/>
              <w:tabs>
                <w:tab w:val="left" w:pos="720"/>
              </w:tabs>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bCs/>
                <w:color w:val="auto"/>
                <w:sz w:val="24"/>
                <w:szCs w:val="24"/>
                <w:lang w:val="en-US" w:eastAsia="zh-CN"/>
              </w:rPr>
            </w:pPr>
            <w:r>
              <w:rPr>
                <w:rFonts w:hint="eastAsia"/>
                <w:bCs/>
                <w:color w:val="auto"/>
                <w:sz w:val="24"/>
                <w:szCs w:val="24"/>
                <w:lang w:val="en-US" w:eastAsia="zh-CN"/>
              </w:rPr>
              <w:t>（3）固体废物</w:t>
            </w:r>
          </w:p>
          <w:p w14:paraId="2D4C34EE">
            <w:pPr>
              <w:tabs>
                <w:tab w:val="left" w:pos="720"/>
              </w:tabs>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根据原项目环评报告，固体废物产生及处置情况见表2-18。</w:t>
            </w:r>
          </w:p>
          <w:p w14:paraId="41952B3A">
            <w:pPr>
              <w:tabs>
                <w:tab w:val="left" w:pos="720"/>
              </w:tabs>
              <w:spacing w:line="360" w:lineRule="auto"/>
              <w:jc w:val="center"/>
              <w:rPr>
                <w:rFonts w:hint="default" w:ascii="Times New Roman" w:hAnsi="Times New Roman"/>
                <w:b/>
                <w:bCs w:val="0"/>
                <w:color w:val="auto"/>
                <w:sz w:val="24"/>
                <w:szCs w:val="24"/>
                <w:lang w:val="en-US" w:eastAsia="zh-CN"/>
              </w:rPr>
            </w:pPr>
            <w:r>
              <w:rPr>
                <w:rFonts w:hint="eastAsia"/>
                <w:b/>
                <w:bCs w:val="0"/>
                <w:color w:val="auto"/>
                <w:sz w:val="24"/>
                <w:szCs w:val="24"/>
                <w:lang w:val="en-US" w:eastAsia="zh-CN"/>
              </w:rPr>
              <w:t>表2-18  原项目环评固体废物产生及处置去向</w:t>
            </w:r>
          </w:p>
          <w:p w14:paraId="53EE606E">
            <w:pPr>
              <w:widowControl/>
              <w:spacing w:beforeLines="50" w:line="360" w:lineRule="auto"/>
              <w:jc w:val="center"/>
              <w:rPr>
                <w:rFonts w:hint="eastAsia"/>
                <w:b/>
                <w:bCs/>
                <w:color w:val="auto"/>
                <w:kern w:val="0"/>
                <w:sz w:val="24"/>
                <w:szCs w:val="24"/>
                <w:lang w:val="en-US" w:eastAsia="zh-CN"/>
              </w:rPr>
            </w:pPr>
            <w:r>
              <w:rPr>
                <w:rFonts w:hint="eastAsia"/>
                <w:b/>
                <w:bCs/>
                <w:color w:val="auto"/>
                <w:kern w:val="0"/>
                <w:sz w:val="24"/>
                <w:szCs w:val="24"/>
                <w:lang w:val="en-US" w:eastAsia="zh-CN"/>
              </w:rPr>
              <w:t>涉密删除！</w:t>
            </w:r>
          </w:p>
          <w:p w14:paraId="5902335A">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sz w:val="24"/>
                <w:szCs w:val="24"/>
              </w:rPr>
            </w:pPr>
            <w:r>
              <w:rPr>
                <w:rFonts w:hint="eastAsia"/>
                <w:color w:val="auto"/>
                <w:sz w:val="24"/>
                <w:szCs w:val="24"/>
                <w:lang w:val="en-US" w:eastAsia="zh-CN"/>
              </w:rPr>
              <w:t>3</w:t>
            </w:r>
            <w:r>
              <w:rPr>
                <w:rFonts w:hint="eastAsia"/>
                <w:color w:val="auto"/>
                <w:sz w:val="24"/>
                <w:szCs w:val="24"/>
                <w:lang w:val="en-US"/>
              </w:rPr>
              <w:t>、</w:t>
            </w:r>
            <w:r>
              <w:rPr>
                <w:rFonts w:hint="eastAsia"/>
                <w:color w:val="auto"/>
                <w:sz w:val="24"/>
                <w:szCs w:val="24"/>
              </w:rPr>
              <w:t>环保投诉、污染纠纷及处罚情况</w:t>
            </w:r>
            <w:bookmarkEnd w:id="14"/>
          </w:p>
          <w:p w14:paraId="0BBE81AA">
            <w:pPr>
              <w:tabs>
                <w:tab w:val="left" w:pos="720"/>
              </w:tabs>
              <w:spacing w:line="360" w:lineRule="auto"/>
              <w:ind w:firstLine="480" w:firstLineChars="200"/>
              <w:rPr>
                <w:rFonts w:ascii="Times New Roman" w:hAnsi="Times New Roman"/>
                <w:bCs/>
                <w:color w:val="auto"/>
                <w:sz w:val="24"/>
                <w:szCs w:val="24"/>
              </w:rPr>
            </w:pPr>
            <w:r>
              <w:rPr>
                <w:rFonts w:ascii="Times New Roman" w:hAnsi="Times New Roman"/>
                <w:bCs/>
                <w:color w:val="auto"/>
                <w:sz w:val="24"/>
                <w:szCs w:val="24"/>
              </w:rPr>
              <w:t>根据环评现状调查及走访情况，</w:t>
            </w:r>
            <w:r>
              <w:rPr>
                <w:rFonts w:hint="eastAsia"/>
                <w:color w:val="auto"/>
                <w:sz w:val="24"/>
                <w:szCs w:val="24"/>
                <w:lang w:eastAsia="zh-CN"/>
              </w:rPr>
              <w:t>福建省福胜智能制造有限公司</w:t>
            </w:r>
            <w:r>
              <w:rPr>
                <w:rFonts w:hint="eastAsia"/>
                <w:bCs/>
                <w:color w:val="auto"/>
                <w:sz w:val="24"/>
                <w:szCs w:val="24"/>
                <w:lang w:val="en-US" w:eastAsia="zh-CN"/>
              </w:rPr>
              <w:t>施工过程</w:t>
            </w:r>
            <w:r>
              <w:rPr>
                <w:rFonts w:ascii="Times New Roman" w:hAnsi="Times New Roman"/>
                <w:bCs/>
                <w:color w:val="auto"/>
                <w:sz w:val="24"/>
                <w:szCs w:val="24"/>
              </w:rPr>
              <w:t>无环保投诉、环境污染纠纷</w:t>
            </w:r>
            <w:r>
              <w:rPr>
                <w:rFonts w:hint="eastAsia"/>
                <w:bCs/>
                <w:color w:val="auto"/>
                <w:sz w:val="24"/>
                <w:szCs w:val="24"/>
                <w:lang w:eastAsia="zh-CN"/>
              </w:rPr>
              <w:t>、</w:t>
            </w:r>
            <w:r>
              <w:rPr>
                <w:rFonts w:hint="eastAsia"/>
                <w:bCs/>
                <w:color w:val="auto"/>
                <w:sz w:val="24"/>
                <w:szCs w:val="24"/>
                <w:lang w:val="en-US" w:eastAsia="zh-CN"/>
              </w:rPr>
              <w:t>环保行政处罚等</w:t>
            </w:r>
            <w:r>
              <w:rPr>
                <w:rFonts w:ascii="Times New Roman" w:hAnsi="Times New Roman"/>
                <w:bCs/>
                <w:color w:val="auto"/>
                <w:sz w:val="24"/>
                <w:szCs w:val="24"/>
              </w:rPr>
              <w:t>问题。</w:t>
            </w:r>
          </w:p>
          <w:p w14:paraId="4AE570CF">
            <w:pPr>
              <w:tabs>
                <w:tab w:val="left" w:pos="720"/>
              </w:tabs>
              <w:spacing w:line="360" w:lineRule="auto"/>
              <w:ind w:firstLine="480" w:firstLineChars="200"/>
              <w:rPr>
                <w:rFonts w:hint="default" w:ascii="Times New Roman" w:hAnsi="Times New Roman" w:eastAsia="宋体"/>
                <w:bCs/>
                <w:color w:val="auto"/>
                <w:sz w:val="24"/>
                <w:szCs w:val="24"/>
                <w:lang w:val="en-US" w:eastAsia="zh-CN"/>
              </w:rPr>
            </w:pPr>
            <w:r>
              <w:rPr>
                <w:rFonts w:hint="eastAsia"/>
                <w:bCs/>
                <w:color w:val="auto"/>
                <w:sz w:val="24"/>
                <w:szCs w:val="24"/>
                <w:lang w:val="en-US" w:eastAsia="zh-CN"/>
              </w:rPr>
              <w:t>施工现场存在的环保问题及整改措施如下：</w:t>
            </w:r>
          </w:p>
          <w:p w14:paraId="08BB807C">
            <w:pPr>
              <w:spacing w:line="360" w:lineRule="auto"/>
              <w:jc w:val="center"/>
              <w:rPr>
                <w:rFonts w:hAnsi="黑体" w:eastAsia="黑体"/>
                <w:color w:val="auto"/>
                <w:sz w:val="24"/>
                <w:szCs w:val="24"/>
              </w:rPr>
            </w:pPr>
            <w:r>
              <w:rPr>
                <w:rFonts w:hint="eastAsia" w:hAnsi="黑体" w:eastAsia="黑体"/>
                <w:color w:val="auto"/>
                <w:sz w:val="24"/>
                <w:szCs w:val="24"/>
              </w:rPr>
              <w:t>表</w:t>
            </w:r>
            <w:r>
              <w:rPr>
                <w:rFonts w:hint="eastAsia" w:hAnsi="黑体" w:eastAsia="黑体"/>
                <w:color w:val="auto"/>
                <w:sz w:val="24"/>
                <w:szCs w:val="24"/>
                <w:lang w:val="en-US" w:eastAsia="zh-CN"/>
              </w:rPr>
              <w:t>2-19</w:t>
            </w:r>
            <w:r>
              <w:rPr>
                <w:rFonts w:hint="eastAsia" w:hAnsi="黑体" w:eastAsia="黑体"/>
                <w:color w:val="auto"/>
                <w:sz w:val="24"/>
                <w:szCs w:val="24"/>
              </w:rPr>
              <w:t xml:space="preserve">  现有项目环保问题及整改措施一览表</w:t>
            </w:r>
          </w:p>
          <w:tbl>
            <w:tblPr>
              <w:tblStyle w:val="29"/>
              <w:tblW w:w="504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790"/>
              <w:gridCol w:w="4049"/>
            </w:tblGrid>
            <w:tr w14:paraId="23220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tl2br w:val="nil"/>
                    <w:tr2bl w:val="nil"/>
                  </w:tcBorders>
                  <w:noWrap w:val="0"/>
                  <w:vAlign w:val="center"/>
                </w:tcPr>
                <w:p w14:paraId="578A3521">
                  <w:pPr>
                    <w:jc w:val="center"/>
                    <w:rPr>
                      <w:b/>
                      <w:color w:val="auto"/>
                      <w:sz w:val="21"/>
                      <w:szCs w:val="21"/>
                    </w:rPr>
                  </w:pPr>
                  <w:r>
                    <w:rPr>
                      <w:b/>
                      <w:color w:val="auto"/>
                      <w:sz w:val="21"/>
                      <w:szCs w:val="21"/>
                    </w:rPr>
                    <w:t>序号</w:t>
                  </w:r>
                </w:p>
              </w:tc>
              <w:tc>
                <w:tcPr>
                  <w:tcW w:w="2193" w:type="pct"/>
                  <w:tcBorders>
                    <w:tl2br w:val="nil"/>
                    <w:tr2bl w:val="nil"/>
                  </w:tcBorders>
                  <w:noWrap w:val="0"/>
                  <w:vAlign w:val="center"/>
                </w:tcPr>
                <w:p w14:paraId="44E2162B">
                  <w:pPr>
                    <w:jc w:val="center"/>
                    <w:rPr>
                      <w:b/>
                      <w:color w:val="auto"/>
                      <w:sz w:val="21"/>
                      <w:szCs w:val="21"/>
                    </w:rPr>
                  </w:pPr>
                  <w:r>
                    <w:rPr>
                      <w:b/>
                      <w:color w:val="auto"/>
                      <w:sz w:val="21"/>
                      <w:szCs w:val="21"/>
                    </w:rPr>
                    <w:t>现有工程环境问题</w:t>
                  </w:r>
                </w:p>
              </w:tc>
              <w:tc>
                <w:tcPr>
                  <w:tcW w:w="2343" w:type="pct"/>
                  <w:tcBorders>
                    <w:tl2br w:val="nil"/>
                    <w:tr2bl w:val="nil"/>
                  </w:tcBorders>
                  <w:noWrap w:val="0"/>
                  <w:vAlign w:val="center"/>
                </w:tcPr>
                <w:p w14:paraId="3ADCA01C">
                  <w:pPr>
                    <w:jc w:val="center"/>
                    <w:rPr>
                      <w:b/>
                      <w:color w:val="auto"/>
                      <w:sz w:val="21"/>
                      <w:szCs w:val="21"/>
                    </w:rPr>
                  </w:pPr>
                  <w:r>
                    <w:rPr>
                      <w:b/>
                      <w:color w:val="auto"/>
                      <w:sz w:val="21"/>
                      <w:szCs w:val="21"/>
                    </w:rPr>
                    <w:t>整改要求及建议</w:t>
                  </w:r>
                </w:p>
              </w:tc>
            </w:tr>
            <w:tr w14:paraId="3AB34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tl2br w:val="nil"/>
                    <w:tr2bl w:val="nil"/>
                  </w:tcBorders>
                  <w:noWrap w:val="0"/>
                  <w:vAlign w:val="center"/>
                </w:tcPr>
                <w:p w14:paraId="04D4DD4F">
                  <w:pPr>
                    <w:jc w:val="center"/>
                    <w:rPr>
                      <w:rFonts w:hint="eastAsia" w:eastAsia="宋体"/>
                      <w:color w:val="auto"/>
                      <w:sz w:val="21"/>
                      <w:szCs w:val="21"/>
                      <w:lang w:eastAsia="zh-CN"/>
                    </w:rPr>
                  </w:pPr>
                  <w:r>
                    <w:rPr>
                      <w:rFonts w:hint="eastAsia"/>
                      <w:color w:val="auto"/>
                      <w:sz w:val="21"/>
                      <w:szCs w:val="21"/>
                      <w:lang w:val="en-US" w:eastAsia="zh-CN"/>
                    </w:rPr>
                    <w:t>1</w:t>
                  </w:r>
                </w:p>
              </w:tc>
              <w:tc>
                <w:tcPr>
                  <w:tcW w:w="2193" w:type="pct"/>
                  <w:tcBorders>
                    <w:tl2br w:val="nil"/>
                    <w:tr2bl w:val="nil"/>
                  </w:tcBorders>
                  <w:noWrap w:val="0"/>
                  <w:vAlign w:val="center"/>
                </w:tcPr>
                <w:p w14:paraId="20048A7B">
                  <w:pPr>
                    <w:jc w:val="center"/>
                    <w:rPr>
                      <w:rFonts w:hint="default" w:eastAsia="宋体"/>
                      <w:color w:val="auto"/>
                      <w:sz w:val="21"/>
                      <w:szCs w:val="21"/>
                      <w:lang w:val="en-US" w:eastAsia="zh-CN"/>
                    </w:rPr>
                  </w:pPr>
                  <w:r>
                    <w:rPr>
                      <w:rFonts w:hint="eastAsia"/>
                      <w:color w:val="auto"/>
                      <w:sz w:val="21"/>
                      <w:szCs w:val="21"/>
                      <w:lang w:val="en-US" w:eastAsia="zh-CN"/>
                    </w:rPr>
                    <w:t>现有厂区存在施工建筑垃圾未及时清运，未采取遮盖措施。</w:t>
                  </w:r>
                </w:p>
              </w:tc>
              <w:tc>
                <w:tcPr>
                  <w:tcW w:w="2343" w:type="pct"/>
                  <w:tcBorders>
                    <w:tl2br w:val="nil"/>
                    <w:tr2bl w:val="nil"/>
                  </w:tcBorders>
                  <w:noWrap w:val="0"/>
                  <w:vAlign w:val="center"/>
                </w:tcPr>
                <w:p w14:paraId="0C0D79D4">
                  <w:pPr>
                    <w:jc w:val="center"/>
                    <w:rPr>
                      <w:rFonts w:hint="default" w:eastAsia="宋体"/>
                      <w:color w:val="auto"/>
                      <w:sz w:val="21"/>
                      <w:szCs w:val="21"/>
                      <w:lang w:val="en-US" w:eastAsia="zh-CN"/>
                    </w:rPr>
                  </w:pPr>
                  <w:r>
                    <w:rPr>
                      <w:rFonts w:hint="eastAsia"/>
                      <w:color w:val="auto"/>
                      <w:sz w:val="21"/>
                      <w:szCs w:val="21"/>
                      <w:lang w:val="en-US" w:eastAsia="zh-CN"/>
                    </w:rPr>
                    <w:t>立即清运施工建筑垃圾。</w:t>
                  </w:r>
                </w:p>
              </w:tc>
            </w:tr>
            <w:tr w14:paraId="24A21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pct"/>
                  <w:tcBorders>
                    <w:tl2br w:val="nil"/>
                    <w:tr2bl w:val="nil"/>
                  </w:tcBorders>
                  <w:noWrap w:val="0"/>
                  <w:vAlign w:val="center"/>
                </w:tcPr>
                <w:p w14:paraId="4F95932D">
                  <w:pPr>
                    <w:jc w:val="center"/>
                    <w:rPr>
                      <w:rFonts w:hint="default"/>
                      <w:color w:val="auto"/>
                      <w:sz w:val="21"/>
                      <w:szCs w:val="21"/>
                      <w:lang w:val="en-US" w:eastAsia="zh-CN"/>
                    </w:rPr>
                  </w:pPr>
                  <w:r>
                    <w:rPr>
                      <w:rFonts w:hint="eastAsia"/>
                      <w:color w:val="auto"/>
                      <w:sz w:val="21"/>
                      <w:szCs w:val="21"/>
                      <w:lang w:val="en-US" w:eastAsia="zh-CN"/>
                    </w:rPr>
                    <w:t>2</w:t>
                  </w:r>
                </w:p>
              </w:tc>
              <w:tc>
                <w:tcPr>
                  <w:tcW w:w="2193" w:type="pct"/>
                  <w:tcBorders>
                    <w:tl2br w:val="nil"/>
                    <w:tr2bl w:val="nil"/>
                  </w:tcBorders>
                  <w:noWrap w:val="0"/>
                  <w:vAlign w:val="center"/>
                </w:tcPr>
                <w:p w14:paraId="0AEFDCC7">
                  <w:pPr>
                    <w:jc w:val="center"/>
                    <w:rPr>
                      <w:rFonts w:hint="default"/>
                      <w:color w:val="auto"/>
                      <w:sz w:val="21"/>
                      <w:szCs w:val="21"/>
                      <w:lang w:val="en-US" w:eastAsia="zh-CN"/>
                    </w:rPr>
                  </w:pPr>
                  <w:r>
                    <w:rPr>
                      <w:rFonts w:hint="eastAsia"/>
                      <w:color w:val="auto"/>
                      <w:sz w:val="21"/>
                      <w:szCs w:val="21"/>
                      <w:lang w:val="en-US" w:eastAsia="zh-CN"/>
                    </w:rPr>
                    <w:t>1#、3#厂房四周规划的绿化地带地表裸露，未种植绿化植物，易产生水土流失和扬尘污染问题。</w:t>
                  </w:r>
                </w:p>
              </w:tc>
              <w:tc>
                <w:tcPr>
                  <w:tcW w:w="2343" w:type="pct"/>
                  <w:tcBorders>
                    <w:tl2br w:val="nil"/>
                    <w:tr2bl w:val="nil"/>
                  </w:tcBorders>
                  <w:noWrap w:val="0"/>
                  <w:vAlign w:val="center"/>
                </w:tcPr>
                <w:p w14:paraId="74F7A842">
                  <w:pPr>
                    <w:jc w:val="center"/>
                    <w:rPr>
                      <w:rFonts w:hint="eastAsia"/>
                      <w:color w:val="auto"/>
                      <w:sz w:val="21"/>
                      <w:szCs w:val="21"/>
                      <w:lang w:val="en-US" w:eastAsia="zh-CN"/>
                    </w:rPr>
                  </w:pPr>
                  <w:r>
                    <w:rPr>
                      <w:rFonts w:hint="eastAsia"/>
                      <w:color w:val="auto"/>
                      <w:sz w:val="21"/>
                      <w:szCs w:val="21"/>
                      <w:lang w:val="en-US" w:eastAsia="zh-CN"/>
                    </w:rPr>
                    <w:t>对裸露地表采取种植绿化植物措施，并加强植物养护，保证成活率。</w:t>
                  </w:r>
                </w:p>
              </w:tc>
            </w:tr>
          </w:tbl>
          <w:p w14:paraId="7B9901FD">
            <w:pPr>
              <w:rPr>
                <w:color w:val="auto"/>
              </w:rPr>
            </w:pPr>
          </w:p>
        </w:tc>
      </w:tr>
    </w:tbl>
    <w:p w14:paraId="4B6EFAAD">
      <w:pPr>
        <w:pStyle w:val="24"/>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黑体" w:hAnsi="黑体" w:eastAsia="黑体"/>
          <w:snapToGrid w:val="0"/>
          <w:color w:val="auto"/>
          <w:sz w:val="24"/>
          <w:szCs w:val="24"/>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6AE1E9B0">
      <w:pPr>
        <w:pStyle w:val="24"/>
        <w:jc w:val="center"/>
        <w:outlineLvl w:val="0"/>
        <w:rPr>
          <w:rFonts w:hint="eastAsia" w:ascii="黑体" w:hAnsi="黑体" w:eastAsia="黑体"/>
          <w:snapToGrid w:val="0"/>
          <w:color w:val="auto"/>
          <w:sz w:val="24"/>
          <w:szCs w:val="24"/>
        </w:rPr>
      </w:pPr>
      <w:bookmarkStart w:id="15" w:name="_Toc20197"/>
      <w:bookmarkStart w:id="16" w:name="_Toc22598"/>
      <w:bookmarkStart w:id="17" w:name="_Toc4795"/>
      <w:r>
        <w:rPr>
          <w:rFonts w:hint="eastAsia" w:ascii="黑体" w:hAnsi="黑体" w:eastAsia="黑体"/>
          <w:snapToGrid w:val="0"/>
          <w:color w:val="auto"/>
          <w:sz w:val="24"/>
          <w:szCs w:val="24"/>
        </w:rPr>
        <w:t>三、区域环境质量现状、环境保护目标及评价标准</w:t>
      </w:r>
      <w:bookmarkEnd w:id="15"/>
      <w:bookmarkEnd w:id="16"/>
      <w:bookmarkEnd w:id="17"/>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1"/>
        <w:gridCol w:w="8650"/>
      </w:tblGrid>
      <w:tr w14:paraId="1B068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411" w:type="dxa"/>
            <w:vAlign w:val="center"/>
          </w:tcPr>
          <w:p w14:paraId="77CEE5AB">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区域</w:t>
            </w:r>
          </w:p>
          <w:p w14:paraId="574DBE24">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5C845001">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质量</w:t>
            </w:r>
          </w:p>
          <w:p w14:paraId="5AFE29E7">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现状</w:t>
            </w:r>
          </w:p>
        </w:tc>
        <w:tc>
          <w:tcPr>
            <w:tcW w:w="8650" w:type="dxa"/>
            <w:vAlign w:val="center"/>
          </w:tcPr>
          <w:p w14:paraId="639A6034">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1、</w:t>
            </w:r>
            <w:r>
              <w:rPr>
                <w:color w:val="auto"/>
                <w:sz w:val="24"/>
                <w:szCs w:val="24"/>
              </w:rPr>
              <w:t>大气环境质量现状</w:t>
            </w:r>
          </w:p>
          <w:p w14:paraId="34698A33">
            <w:pPr>
              <w:widowControl/>
              <w:spacing w:line="360" w:lineRule="auto"/>
              <w:ind w:firstLine="480" w:firstLineChars="200"/>
              <w:jc w:val="left"/>
              <w:rPr>
                <w:rFonts w:eastAsiaTheme="minorEastAsia"/>
                <w:color w:val="auto"/>
                <w:kern w:val="0"/>
                <w:sz w:val="24"/>
                <w:szCs w:val="24"/>
              </w:rPr>
            </w:pPr>
            <w:r>
              <w:rPr>
                <w:rFonts w:hAnsiTheme="minorEastAsia" w:eastAsiaTheme="minorEastAsia"/>
                <w:color w:val="auto"/>
                <w:kern w:val="0"/>
                <w:sz w:val="24"/>
                <w:szCs w:val="24"/>
              </w:rPr>
              <w:t>（</w:t>
            </w:r>
            <w:r>
              <w:rPr>
                <w:rFonts w:eastAsiaTheme="minorEastAsia"/>
                <w:color w:val="auto"/>
                <w:kern w:val="0"/>
                <w:sz w:val="24"/>
                <w:szCs w:val="24"/>
              </w:rPr>
              <w:t>1</w:t>
            </w:r>
            <w:r>
              <w:rPr>
                <w:rFonts w:hAnsiTheme="minorEastAsia" w:eastAsiaTheme="minorEastAsia"/>
                <w:color w:val="auto"/>
                <w:kern w:val="0"/>
                <w:sz w:val="24"/>
                <w:szCs w:val="24"/>
              </w:rPr>
              <w:t>）环境空气功能区划</w:t>
            </w:r>
          </w:p>
          <w:p w14:paraId="4FE7A22A">
            <w:pPr>
              <w:widowControl/>
              <w:spacing w:line="360" w:lineRule="auto"/>
              <w:ind w:firstLine="480" w:firstLineChars="200"/>
              <w:jc w:val="left"/>
              <w:rPr>
                <w:rFonts w:hint="eastAsia" w:hAnsiTheme="minorEastAsia" w:eastAsiaTheme="minorEastAsia"/>
                <w:color w:val="auto"/>
                <w:kern w:val="0"/>
                <w:sz w:val="24"/>
                <w:szCs w:val="24"/>
              </w:rPr>
            </w:pPr>
            <w:r>
              <w:rPr>
                <w:rFonts w:hAnsi="宋体"/>
                <w:color w:val="auto"/>
                <w:sz w:val="24"/>
                <w:szCs w:val="24"/>
              </w:rPr>
              <w:t>本项目所在区域为二类功能区，执行《环境空气质量标准》</w:t>
            </w:r>
            <w:r>
              <w:rPr>
                <w:color w:val="auto"/>
                <w:sz w:val="24"/>
                <w:szCs w:val="24"/>
              </w:rPr>
              <w:t>(GB3095-2012)</w:t>
            </w:r>
            <w:r>
              <w:rPr>
                <w:rFonts w:hAnsi="宋体"/>
                <w:color w:val="auto"/>
                <w:sz w:val="24"/>
                <w:szCs w:val="24"/>
              </w:rPr>
              <w:t>中的二级标准；特征污染因子非甲烷总烃执行《大气污染物综合排放标准详解》中限值</w:t>
            </w:r>
            <w:r>
              <w:rPr>
                <w:rFonts w:hint="eastAsia" w:hAnsi="宋体"/>
                <w:color w:val="auto"/>
                <w:sz w:val="24"/>
                <w:szCs w:val="24"/>
                <w:lang w:eastAsia="zh-CN"/>
              </w:rPr>
              <w:t>，</w:t>
            </w:r>
            <w:r>
              <w:rPr>
                <w:rFonts w:hint="eastAsia" w:hAnsi="宋体"/>
                <w:color w:val="auto"/>
                <w:sz w:val="24"/>
                <w:szCs w:val="24"/>
                <w:lang w:val="en-US" w:eastAsia="zh-CN"/>
              </w:rPr>
              <w:t>甲醛环境空气质量评价标准执行《环境影响评价技术导则 大气环境》（HJ2.2-2018）附录D，具体限值详见表3-1</w:t>
            </w:r>
            <w:r>
              <w:rPr>
                <w:rFonts w:hAnsiTheme="minorEastAsia" w:eastAsiaTheme="minorEastAsia"/>
                <w:color w:val="auto"/>
                <w:kern w:val="0"/>
                <w:sz w:val="24"/>
                <w:szCs w:val="24"/>
              </w:rPr>
              <w:t>。</w:t>
            </w:r>
          </w:p>
          <w:p w14:paraId="044504B8">
            <w:pPr>
              <w:keepNext w:val="0"/>
              <w:keepLines w:val="0"/>
              <w:pageBreakBefore w:val="0"/>
              <w:widowControl w:val="0"/>
              <w:numPr>
                <w:ilvl w:val="4"/>
                <w:numId w:val="0"/>
              </w:numPr>
              <w:tabs>
                <w:tab w:val="left" w:pos="1369"/>
              </w:tabs>
              <w:kinsoku/>
              <w:wordWrap/>
              <w:overflowPunct/>
              <w:topLinePunct w:val="0"/>
              <w:autoSpaceDE/>
              <w:autoSpaceDN/>
              <w:bidi w:val="0"/>
              <w:adjustRightInd/>
              <w:snapToGrid/>
              <w:spacing w:line="360" w:lineRule="auto"/>
              <w:jc w:val="center"/>
              <w:textAlignment w:val="auto"/>
              <w:rPr>
                <w:b/>
                <w:color w:val="auto"/>
                <w:sz w:val="24"/>
                <w:szCs w:val="24"/>
              </w:rPr>
            </w:pPr>
            <w:r>
              <w:rPr>
                <w:rFonts w:hAnsi="宋体"/>
                <w:b/>
                <w:color w:val="auto"/>
                <w:sz w:val="24"/>
                <w:szCs w:val="24"/>
              </w:rPr>
              <w:t>表</w:t>
            </w:r>
            <w:r>
              <w:rPr>
                <w:rFonts w:hint="eastAsia" w:hAnsi="宋体"/>
                <w:b/>
                <w:color w:val="auto"/>
                <w:sz w:val="24"/>
                <w:szCs w:val="24"/>
              </w:rPr>
              <w:t xml:space="preserve">3-1  </w:t>
            </w:r>
            <w:r>
              <w:rPr>
                <w:rFonts w:hAnsi="宋体"/>
                <w:b/>
                <w:color w:val="auto"/>
                <w:sz w:val="24"/>
                <w:szCs w:val="24"/>
              </w:rPr>
              <w:t>环境空气污染物项目浓度限值</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998"/>
              <w:gridCol w:w="1770"/>
              <w:gridCol w:w="2326"/>
            </w:tblGrid>
            <w:tr w14:paraId="180AB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7" w:type="pct"/>
                  <w:vMerge w:val="restart"/>
                  <w:vAlign w:val="center"/>
                </w:tcPr>
                <w:p w14:paraId="66D2CA0D">
                  <w:pPr>
                    <w:snapToGrid w:val="0"/>
                    <w:jc w:val="center"/>
                    <w:rPr>
                      <w:b/>
                      <w:bCs/>
                      <w:color w:val="auto"/>
                      <w:sz w:val="21"/>
                      <w:szCs w:val="21"/>
                    </w:rPr>
                  </w:pPr>
                  <w:r>
                    <w:rPr>
                      <w:rFonts w:hAnsi="宋体"/>
                      <w:b/>
                      <w:bCs/>
                      <w:color w:val="auto"/>
                      <w:sz w:val="21"/>
                      <w:szCs w:val="21"/>
                    </w:rPr>
                    <w:t>污染物名称</w:t>
                  </w:r>
                </w:p>
              </w:tc>
              <w:tc>
                <w:tcPr>
                  <w:tcW w:w="2233" w:type="pct"/>
                  <w:gridSpan w:val="2"/>
                  <w:vAlign w:val="center"/>
                </w:tcPr>
                <w:p w14:paraId="3F9E524E">
                  <w:pPr>
                    <w:snapToGrid w:val="0"/>
                    <w:jc w:val="center"/>
                    <w:rPr>
                      <w:b/>
                      <w:bCs/>
                      <w:color w:val="auto"/>
                      <w:sz w:val="21"/>
                      <w:szCs w:val="21"/>
                    </w:rPr>
                  </w:pPr>
                  <w:r>
                    <w:rPr>
                      <w:rFonts w:hAnsi="宋体"/>
                      <w:b/>
                      <w:bCs/>
                      <w:color w:val="auto"/>
                      <w:sz w:val="21"/>
                      <w:szCs w:val="21"/>
                    </w:rPr>
                    <w:t>标准值</w:t>
                  </w:r>
                </w:p>
              </w:tc>
              <w:tc>
                <w:tcPr>
                  <w:tcW w:w="1378" w:type="pct"/>
                  <w:vMerge w:val="restart"/>
                  <w:vAlign w:val="center"/>
                </w:tcPr>
                <w:p w14:paraId="37C83E4C">
                  <w:pPr>
                    <w:snapToGrid w:val="0"/>
                    <w:jc w:val="center"/>
                    <w:rPr>
                      <w:b/>
                      <w:bCs/>
                      <w:color w:val="auto"/>
                      <w:sz w:val="21"/>
                      <w:szCs w:val="21"/>
                    </w:rPr>
                  </w:pPr>
                  <w:r>
                    <w:rPr>
                      <w:rFonts w:hAnsi="宋体"/>
                      <w:b/>
                      <w:bCs/>
                      <w:color w:val="auto"/>
                      <w:sz w:val="21"/>
                      <w:szCs w:val="21"/>
                    </w:rPr>
                    <w:t>备注</w:t>
                  </w:r>
                </w:p>
              </w:tc>
            </w:tr>
            <w:tr w14:paraId="167DA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7" w:type="pct"/>
                  <w:vMerge w:val="continue"/>
                  <w:vAlign w:val="center"/>
                </w:tcPr>
                <w:p w14:paraId="6E861521">
                  <w:pPr>
                    <w:snapToGrid w:val="0"/>
                    <w:jc w:val="center"/>
                    <w:rPr>
                      <w:b/>
                      <w:bCs/>
                      <w:color w:val="auto"/>
                      <w:sz w:val="21"/>
                      <w:szCs w:val="21"/>
                    </w:rPr>
                  </w:pPr>
                </w:p>
              </w:tc>
              <w:tc>
                <w:tcPr>
                  <w:tcW w:w="1184" w:type="pct"/>
                  <w:vAlign w:val="center"/>
                </w:tcPr>
                <w:p w14:paraId="28E58D46">
                  <w:pPr>
                    <w:snapToGrid w:val="0"/>
                    <w:jc w:val="center"/>
                    <w:rPr>
                      <w:b/>
                      <w:bCs/>
                      <w:color w:val="auto"/>
                      <w:sz w:val="21"/>
                      <w:szCs w:val="21"/>
                    </w:rPr>
                  </w:pPr>
                  <w:r>
                    <w:rPr>
                      <w:rFonts w:hAnsi="宋体"/>
                      <w:b/>
                      <w:bCs/>
                      <w:color w:val="auto"/>
                      <w:sz w:val="21"/>
                      <w:szCs w:val="21"/>
                    </w:rPr>
                    <w:t>取值时间</w:t>
                  </w:r>
                </w:p>
              </w:tc>
              <w:tc>
                <w:tcPr>
                  <w:tcW w:w="1049" w:type="pct"/>
                  <w:vAlign w:val="center"/>
                </w:tcPr>
                <w:p w14:paraId="09697AB1">
                  <w:pPr>
                    <w:snapToGrid w:val="0"/>
                    <w:jc w:val="center"/>
                    <w:rPr>
                      <w:b/>
                      <w:bCs/>
                      <w:color w:val="auto"/>
                      <w:sz w:val="21"/>
                      <w:szCs w:val="21"/>
                    </w:rPr>
                  </w:pPr>
                  <w:r>
                    <w:rPr>
                      <w:rFonts w:hAnsi="宋体"/>
                      <w:b/>
                      <w:bCs/>
                      <w:color w:val="auto"/>
                      <w:sz w:val="21"/>
                      <w:szCs w:val="21"/>
                    </w:rPr>
                    <w:t>二级标准</w:t>
                  </w:r>
                </w:p>
              </w:tc>
              <w:tc>
                <w:tcPr>
                  <w:tcW w:w="1378" w:type="pct"/>
                  <w:vMerge w:val="continue"/>
                  <w:vAlign w:val="center"/>
                </w:tcPr>
                <w:p w14:paraId="2E949DFC">
                  <w:pPr>
                    <w:snapToGrid w:val="0"/>
                    <w:jc w:val="center"/>
                    <w:rPr>
                      <w:b/>
                      <w:bCs/>
                      <w:color w:val="auto"/>
                      <w:sz w:val="21"/>
                      <w:szCs w:val="21"/>
                    </w:rPr>
                  </w:pPr>
                </w:p>
              </w:tc>
            </w:tr>
            <w:tr w14:paraId="5F450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restart"/>
                  <w:vAlign w:val="center"/>
                </w:tcPr>
                <w:p w14:paraId="6CF7BA8C">
                  <w:pPr>
                    <w:snapToGrid w:val="0"/>
                    <w:jc w:val="center"/>
                    <w:rPr>
                      <w:color w:val="auto"/>
                      <w:sz w:val="21"/>
                      <w:szCs w:val="21"/>
                    </w:rPr>
                  </w:pPr>
                  <w:r>
                    <w:rPr>
                      <w:rFonts w:hAnsi="宋体"/>
                      <w:color w:val="auto"/>
                      <w:sz w:val="21"/>
                      <w:szCs w:val="21"/>
                    </w:rPr>
                    <w:t>二氧化硫（</w:t>
                  </w:r>
                  <w:r>
                    <w:rPr>
                      <w:color w:val="auto"/>
                      <w:sz w:val="21"/>
                      <w:szCs w:val="21"/>
                    </w:rPr>
                    <w:t>SO</w:t>
                  </w:r>
                  <w:r>
                    <w:rPr>
                      <w:color w:val="auto"/>
                      <w:sz w:val="21"/>
                      <w:szCs w:val="21"/>
                      <w:vertAlign w:val="subscript"/>
                    </w:rPr>
                    <w:t>2</w:t>
                  </w:r>
                  <w:r>
                    <w:rPr>
                      <w:rFonts w:hAnsi="宋体"/>
                      <w:color w:val="auto"/>
                      <w:sz w:val="21"/>
                      <w:szCs w:val="21"/>
                    </w:rPr>
                    <w:t>）</w:t>
                  </w:r>
                </w:p>
              </w:tc>
              <w:tc>
                <w:tcPr>
                  <w:tcW w:w="1184" w:type="pct"/>
                  <w:vAlign w:val="center"/>
                </w:tcPr>
                <w:p w14:paraId="76BC8FC2">
                  <w:pPr>
                    <w:snapToGrid w:val="0"/>
                    <w:jc w:val="center"/>
                    <w:rPr>
                      <w:color w:val="auto"/>
                      <w:sz w:val="21"/>
                      <w:szCs w:val="21"/>
                    </w:rPr>
                  </w:pPr>
                  <w:r>
                    <w:rPr>
                      <w:rFonts w:hAnsi="宋体"/>
                      <w:color w:val="auto"/>
                      <w:sz w:val="21"/>
                      <w:szCs w:val="21"/>
                    </w:rPr>
                    <w:t>年平均</w:t>
                  </w:r>
                </w:p>
              </w:tc>
              <w:tc>
                <w:tcPr>
                  <w:tcW w:w="1049" w:type="pct"/>
                  <w:vAlign w:val="center"/>
                </w:tcPr>
                <w:p w14:paraId="3AE3EBE7">
                  <w:pPr>
                    <w:jc w:val="center"/>
                    <w:rPr>
                      <w:color w:val="auto"/>
                      <w:sz w:val="21"/>
                      <w:szCs w:val="21"/>
                    </w:rPr>
                  </w:pPr>
                  <w:r>
                    <w:rPr>
                      <w:color w:val="auto"/>
                      <w:sz w:val="21"/>
                      <w:szCs w:val="21"/>
                    </w:rPr>
                    <w:t>60μg/m</w:t>
                  </w:r>
                  <w:r>
                    <w:rPr>
                      <w:color w:val="auto"/>
                      <w:sz w:val="21"/>
                      <w:szCs w:val="21"/>
                      <w:vertAlign w:val="superscript"/>
                    </w:rPr>
                    <w:t>3</w:t>
                  </w:r>
                </w:p>
              </w:tc>
              <w:tc>
                <w:tcPr>
                  <w:tcW w:w="1378" w:type="pct"/>
                  <w:vMerge w:val="restart"/>
                  <w:vAlign w:val="center"/>
                </w:tcPr>
                <w:p w14:paraId="54DDE272">
                  <w:pPr>
                    <w:snapToGrid w:val="0"/>
                    <w:jc w:val="center"/>
                    <w:rPr>
                      <w:color w:val="auto"/>
                      <w:sz w:val="21"/>
                      <w:szCs w:val="21"/>
                    </w:rPr>
                  </w:pPr>
                  <w:r>
                    <w:rPr>
                      <w:rFonts w:hAnsi="宋体"/>
                      <w:color w:val="auto"/>
                      <w:sz w:val="21"/>
                      <w:szCs w:val="21"/>
                    </w:rPr>
                    <w:t>《环境空气质量标准》（</w:t>
                  </w:r>
                  <w:r>
                    <w:rPr>
                      <w:color w:val="auto"/>
                      <w:sz w:val="21"/>
                      <w:szCs w:val="21"/>
                    </w:rPr>
                    <w:t>GB3095-2012</w:t>
                  </w:r>
                  <w:r>
                    <w:rPr>
                      <w:rFonts w:hAnsi="宋体"/>
                      <w:color w:val="auto"/>
                      <w:sz w:val="21"/>
                      <w:szCs w:val="21"/>
                    </w:rPr>
                    <w:t>）</w:t>
                  </w:r>
                </w:p>
              </w:tc>
            </w:tr>
            <w:tr w14:paraId="5F69B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7735EC22">
                  <w:pPr>
                    <w:snapToGrid w:val="0"/>
                    <w:jc w:val="center"/>
                    <w:rPr>
                      <w:color w:val="auto"/>
                      <w:sz w:val="21"/>
                      <w:szCs w:val="21"/>
                    </w:rPr>
                  </w:pPr>
                </w:p>
              </w:tc>
              <w:tc>
                <w:tcPr>
                  <w:tcW w:w="1184" w:type="pct"/>
                  <w:vAlign w:val="center"/>
                </w:tcPr>
                <w:p w14:paraId="6AB0DD05">
                  <w:pPr>
                    <w:snapToGrid w:val="0"/>
                    <w:jc w:val="center"/>
                    <w:rPr>
                      <w:color w:val="auto"/>
                      <w:sz w:val="21"/>
                      <w:szCs w:val="21"/>
                    </w:rPr>
                  </w:pPr>
                  <w:r>
                    <w:rPr>
                      <w:color w:val="auto"/>
                      <w:sz w:val="21"/>
                      <w:szCs w:val="21"/>
                    </w:rPr>
                    <w:t>24</w:t>
                  </w:r>
                  <w:r>
                    <w:rPr>
                      <w:rFonts w:hAnsi="宋体"/>
                      <w:color w:val="auto"/>
                      <w:sz w:val="21"/>
                      <w:szCs w:val="21"/>
                    </w:rPr>
                    <w:t>小时平均</w:t>
                  </w:r>
                </w:p>
              </w:tc>
              <w:tc>
                <w:tcPr>
                  <w:tcW w:w="1049" w:type="pct"/>
                  <w:vAlign w:val="center"/>
                </w:tcPr>
                <w:p w14:paraId="1E1BEEA5">
                  <w:pPr>
                    <w:jc w:val="center"/>
                    <w:rPr>
                      <w:color w:val="auto"/>
                      <w:sz w:val="21"/>
                      <w:szCs w:val="21"/>
                    </w:rPr>
                  </w:pPr>
                  <w:r>
                    <w:rPr>
                      <w:color w:val="auto"/>
                      <w:sz w:val="21"/>
                      <w:szCs w:val="21"/>
                    </w:rPr>
                    <w:t>150μg/m</w:t>
                  </w:r>
                  <w:r>
                    <w:rPr>
                      <w:color w:val="auto"/>
                      <w:sz w:val="21"/>
                      <w:szCs w:val="21"/>
                      <w:vertAlign w:val="superscript"/>
                    </w:rPr>
                    <w:t>3</w:t>
                  </w:r>
                </w:p>
              </w:tc>
              <w:tc>
                <w:tcPr>
                  <w:tcW w:w="1378" w:type="pct"/>
                  <w:vMerge w:val="continue"/>
                  <w:vAlign w:val="center"/>
                </w:tcPr>
                <w:p w14:paraId="309F0403">
                  <w:pPr>
                    <w:snapToGrid w:val="0"/>
                    <w:jc w:val="center"/>
                    <w:rPr>
                      <w:color w:val="auto"/>
                      <w:sz w:val="21"/>
                      <w:szCs w:val="21"/>
                    </w:rPr>
                  </w:pPr>
                </w:p>
              </w:tc>
            </w:tr>
            <w:tr w14:paraId="0140F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75F60952">
                  <w:pPr>
                    <w:snapToGrid w:val="0"/>
                    <w:jc w:val="center"/>
                    <w:rPr>
                      <w:color w:val="auto"/>
                      <w:sz w:val="21"/>
                      <w:szCs w:val="21"/>
                    </w:rPr>
                  </w:pPr>
                </w:p>
              </w:tc>
              <w:tc>
                <w:tcPr>
                  <w:tcW w:w="1184" w:type="pct"/>
                  <w:vAlign w:val="center"/>
                </w:tcPr>
                <w:p w14:paraId="7AD08CE4">
                  <w:pPr>
                    <w:snapToGrid w:val="0"/>
                    <w:jc w:val="center"/>
                    <w:rPr>
                      <w:color w:val="auto"/>
                      <w:sz w:val="21"/>
                      <w:szCs w:val="21"/>
                    </w:rPr>
                  </w:pPr>
                  <w:r>
                    <w:rPr>
                      <w:color w:val="auto"/>
                      <w:sz w:val="21"/>
                      <w:szCs w:val="21"/>
                    </w:rPr>
                    <w:t>1</w:t>
                  </w:r>
                  <w:r>
                    <w:rPr>
                      <w:rFonts w:hAnsi="宋体"/>
                      <w:color w:val="auto"/>
                      <w:sz w:val="21"/>
                      <w:szCs w:val="21"/>
                    </w:rPr>
                    <w:t>小时平均</w:t>
                  </w:r>
                </w:p>
              </w:tc>
              <w:tc>
                <w:tcPr>
                  <w:tcW w:w="1049" w:type="pct"/>
                  <w:vAlign w:val="center"/>
                </w:tcPr>
                <w:p w14:paraId="2DB9FBA5">
                  <w:pPr>
                    <w:jc w:val="center"/>
                    <w:rPr>
                      <w:color w:val="auto"/>
                      <w:sz w:val="21"/>
                      <w:szCs w:val="21"/>
                    </w:rPr>
                  </w:pPr>
                  <w:r>
                    <w:rPr>
                      <w:color w:val="auto"/>
                      <w:sz w:val="21"/>
                      <w:szCs w:val="21"/>
                    </w:rPr>
                    <w:t>500μg/m</w:t>
                  </w:r>
                  <w:r>
                    <w:rPr>
                      <w:color w:val="auto"/>
                      <w:sz w:val="21"/>
                      <w:szCs w:val="21"/>
                      <w:vertAlign w:val="superscript"/>
                    </w:rPr>
                    <w:t>3</w:t>
                  </w:r>
                </w:p>
              </w:tc>
              <w:tc>
                <w:tcPr>
                  <w:tcW w:w="1378" w:type="pct"/>
                  <w:vMerge w:val="continue"/>
                  <w:vAlign w:val="center"/>
                </w:tcPr>
                <w:p w14:paraId="52F7A34F">
                  <w:pPr>
                    <w:snapToGrid w:val="0"/>
                    <w:jc w:val="center"/>
                    <w:rPr>
                      <w:color w:val="auto"/>
                      <w:sz w:val="21"/>
                      <w:szCs w:val="21"/>
                    </w:rPr>
                  </w:pPr>
                </w:p>
              </w:tc>
            </w:tr>
            <w:tr w14:paraId="575CC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restart"/>
                  <w:vAlign w:val="center"/>
                </w:tcPr>
                <w:p w14:paraId="34DC69D4">
                  <w:pPr>
                    <w:snapToGrid w:val="0"/>
                    <w:jc w:val="center"/>
                    <w:rPr>
                      <w:color w:val="auto"/>
                      <w:sz w:val="21"/>
                      <w:szCs w:val="21"/>
                    </w:rPr>
                  </w:pPr>
                  <w:r>
                    <w:rPr>
                      <w:rFonts w:hAnsi="宋体"/>
                      <w:color w:val="auto"/>
                      <w:sz w:val="21"/>
                      <w:szCs w:val="21"/>
                    </w:rPr>
                    <w:t>二氧化氮（</w:t>
                  </w:r>
                  <w:r>
                    <w:rPr>
                      <w:color w:val="auto"/>
                      <w:sz w:val="21"/>
                      <w:szCs w:val="21"/>
                    </w:rPr>
                    <w:t>NO</w:t>
                  </w:r>
                  <w:r>
                    <w:rPr>
                      <w:color w:val="auto"/>
                      <w:sz w:val="21"/>
                      <w:szCs w:val="21"/>
                      <w:vertAlign w:val="subscript"/>
                    </w:rPr>
                    <w:t>2</w:t>
                  </w:r>
                  <w:r>
                    <w:rPr>
                      <w:rFonts w:hAnsi="宋体"/>
                      <w:color w:val="auto"/>
                      <w:sz w:val="21"/>
                      <w:szCs w:val="21"/>
                    </w:rPr>
                    <w:t>）</w:t>
                  </w:r>
                </w:p>
              </w:tc>
              <w:tc>
                <w:tcPr>
                  <w:tcW w:w="1184" w:type="pct"/>
                  <w:vAlign w:val="center"/>
                </w:tcPr>
                <w:p w14:paraId="06D4B459">
                  <w:pPr>
                    <w:snapToGrid w:val="0"/>
                    <w:jc w:val="center"/>
                    <w:rPr>
                      <w:color w:val="auto"/>
                      <w:sz w:val="21"/>
                      <w:szCs w:val="21"/>
                    </w:rPr>
                  </w:pPr>
                  <w:r>
                    <w:rPr>
                      <w:rFonts w:hAnsi="宋体"/>
                      <w:color w:val="auto"/>
                      <w:sz w:val="21"/>
                      <w:szCs w:val="21"/>
                    </w:rPr>
                    <w:t>年平均</w:t>
                  </w:r>
                </w:p>
              </w:tc>
              <w:tc>
                <w:tcPr>
                  <w:tcW w:w="1049" w:type="pct"/>
                  <w:vAlign w:val="center"/>
                </w:tcPr>
                <w:p w14:paraId="29178081">
                  <w:pPr>
                    <w:jc w:val="center"/>
                    <w:rPr>
                      <w:color w:val="auto"/>
                      <w:sz w:val="21"/>
                      <w:szCs w:val="21"/>
                    </w:rPr>
                  </w:pPr>
                  <w:r>
                    <w:rPr>
                      <w:color w:val="auto"/>
                      <w:sz w:val="21"/>
                      <w:szCs w:val="21"/>
                    </w:rPr>
                    <w:t>40μg/m</w:t>
                  </w:r>
                  <w:r>
                    <w:rPr>
                      <w:color w:val="auto"/>
                      <w:sz w:val="21"/>
                      <w:szCs w:val="21"/>
                      <w:vertAlign w:val="superscript"/>
                    </w:rPr>
                    <w:t>3</w:t>
                  </w:r>
                </w:p>
              </w:tc>
              <w:tc>
                <w:tcPr>
                  <w:tcW w:w="1378" w:type="pct"/>
                  <w:vMerge w:val="continue"/>
                  <w:vAlign w:val="center"/>
                </w:tcPr>
                <w:p w14:paraId="05A99F9C">
                  <w:pPr>
                    <w:snapToGrid w:val="0"/>
                    <w:jc w:val="center"/>
                    <w:rPr>
                      <w:color w:val="auto"/>
                      <w:sz w:val="21"/>
                      <w:szCs w:val="21"/>
                    </w:rPr>
                  </w:pPr>
                </w:p>
              </w:tc>
            </w:tr>
            <w:tr w14:paraId="285FF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1DE9433C">
                  <w:pPr>
                    <w:snapToGrid w:val="0"/>
                    <w:jc w:val="center"/>
                    <w:rPr>
                      <w:color w:val="auto"/>
                      <w:sz w:val="21"/>
                      <w:szCs w:val="21"/>
                    </w:rPr>
                  </w:pPr>
                </w:p>
              </w:tc>
              <w:tc>
                <w:tcPr>
                  <w:tcW w:w="1184" w:type="pct"/>
                  <w:vAlign w:val="center"/>
                </w:tcPr>
                <w:p w14:paraId="18C52439">
                  <w:pPr>
                    <w:snapToGrid w:val="0"/>
                    <w:jc w:val="center"/>
                    <w:rPr>
                      <w:color w:val="auto"/>
                      <w:sz w:val="21"/>
                      <w:szCs w:val="21"/>
                    </w:rPr>
                  </w:pPr>
                  <w:r>
                    <w:rPr>
                      <w:color w:val="auto"/>
                      <w:sz w:val="21"/>
                      <w:szCs w:val="21"/>
                    </w:rPr>
                    <w:t>24</w:t>
                  </w:r>
                  <w:r>
                    <w:rPr>
                      <w:rFonts w:hAnsi="宋体"/>
                      <w:color w:val="auto"/>
                      <w:sz w:val="21"/>
                      <w:szCs w:val="21"/>
                    </w:rPr>
                    <w:t>小时平均</w:t>
                  </w:r>
                </w:p>
              </w:tc>
              <w:tc>
                <w:tcPr>
                  <w:tcW w:w="1049" w:type="pct"/>
                  <w:vAlign w:val="center"/>
                </w:tcPr>
                <w:p w14:paraId="5E0B66DD">
                  <w:pPr>
                    <w:jc w:val="center"/>
                    <w:rPr>
                      <w:color w:val="auto"/>
                      <w:sz w:val="21"/>
                      <w:szCs w:val="21"/>
                    </w:rPr>
                  </w:pPr>
                  <w:r>
                    <w:rPr>
                      <w:color w:val="auto"/>
                      <w:sz w:val="21"/>
                      <w:szCs w:val="21"/>
                    </w:rPr>
                    <w:t>80μg/m</w:t>
                  </w:r>
                  <w:r>
                    <w:rPr>
                      <w:color w:val="auto"/>
                      <w:sz w:val="21"/>
                      <w:szCs w:val="21"/>
                      <w:vertAlign w:val="superscript"/>
                    </w:rPr>
                    <w:t>3</w:t>
                  </w:r>
                </w:p>
              </w:tc>
              <w:tc>
                <w:tcPr>
                  <w:tcW w:w="1378" w:type="pct"/>
                  <w:vMerge w:val="continue"/>
                  <w:vAlign w:val="center"/>
                </w:tcPr>
                <w:p w14:paraId="7676030D">
                  <w:pPr>
                    <w:snapToGrid w:val="0"/>
                    <w:jc w:val="center"/>
                    <w:rPr>
                      <w:color w:val="auto"/>
                      <w:sz w:val="21"/>
                      <w:szCs w:val="21"/>
                    </w:rPr>
                  </w:pPr>
                </w:p>
              </w:tc>
            </w:tr>
            <w:tr w14:paraId="2141B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039E0690">
                  <w:pPr>
                    <w:snapToGrid w:val="0"/>
                    <w:jc w:val="center"/>
                    <w:rPr>
                      <w:color w:val="auto"/>
                      <w:sz w:val="21"/>
                      <w:szCs w:val="21"/>
                    </w:rPr>
                  </w:pPr>
                </w:p>
              </w:tc>
              <w:tc>
                <w:tcPr>
                  <w:tcW w:w="1184" w:type="pct"/>
                  <w:vAlign w:val="center"/>
                </w:tcPr>
                <w:p w14:paraId="606E61C8">
                  <w:pPr>
                    <w:snapToGrid w:val="0"/>
                    <w:jc w:val="center"/>
                    <w:rPr>
                      <w:color w:val="auto"/>
                      <w:sz w:val="21"/>
                      <w:szCs w:val="21"/>
                    </w:rPr>
                  </w:pPr>
                  <w:r>
                    <w:rPr>
                      <w:color w:val="auto"/>
                      <w:sz w:val="21"/>
                      <w:szCs w:val="21"/>
                    </w:rPr>
                    <w:t>1</w:t>
                  </w:r>
                  <w:r>
                    <w:rPr>
                      <w:rFonts w:hAnsi="宋体"/>
                      <w:color w:val="auto"/>
                      <w:sz w:val="21"/>
                      <w:szCs w:val="21"/>
                    </w:rPr>
                    <w:t>小时平均</w:t>
                  </w:r>
                </w:p>
              </w:tc>
              <w:tc>
                <w:tcPr>
                  <w:tcW w:w="1049" w:type="pct"/>
                  <w:vAlign w:val="center"/>
                </w:tcPr>
                <w:p w14:paraId="05AA1A97">
                  <w:pPr>
                    <w:jc w:val="center"/>
                    <w:rPr>
                      <w:color w:val="auto"/>
                      <w:sz w:val="21"/>
                      <w:szCs w:val="21"/>
                    </w:rPr>
                  </w:pPr>
                  <w:r>
                    <w:rPr>
                      <w:color w:val="auto"/>
                      <w:sz w:val="21"/>
                      <w:szCs w:val="21"/>
                    </w:rPr>
                    <w:t>200μg/m</w:t>
                  </w:r>
                  <w:r>
                    <w:rPr>
                      <w:color w:val="auto"/>
                      <w:sz w:val="21"/>
                      <w:szCs w:val="21"/>
                      <w:vertAlign w:val="superscript"/>
                    </w:rPr>
                    <w:t>3</w:t>
                  </w:r>
                </w:p>
              </w:tc>
              <w:tc>
                <w:tcPr>
                  <w:tcW w:w="1378" w:type="pct"/>
                  <w:vMerge w:val="continue"/>
                  <w:vAlign w:val="center"/>
                </w:tcPr>
                <w:p w14:paraId="69CAB9AB">
                  <w:pPr>
                    <w:snapToGrid w:val="0"/>
                    <w:jc w:val="center"/>
                    <w:rPr>
                      <w:color w:val="auto"/>
                      <w:sz w:val="21"/>
                      <w:szCs w:val="21"/>
                    </w:rPr>
                  </w:pPr>
                </w:p>
              </w:tc>
            </w:tr>
            <w:tr w14:paraId="35820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restart"/>
                  <w:vAlign w:val="center"/>
                </w:tcPr>
                <w:p w14:paraId="70661F16">
                  <w:pPr>
                    <w:snapToGrid w:val="0"/>
                    <w:jc w:val="center"/>
                    <w:rPr>
                      <w:color w:val="auto"/>
                      <w:sz w:val="21"/>
                      <w:szCs w:val="21"/>
                    </w:rPr>
                  </w:pPr>
                  <w:r>
                    <w:rPr>
                      <w:rFonts w:hAnsi="宋体"/>
                      <w:color w:val="auto"/>
                      <w:sz w:val="21"/>
                      <w:szCs w:val="21"/>
                    </w:rPr>
                    <w:t>一氧化碳（</w:t>
                  </w:r>
                  <w:r>
                    <w:rPr>
                      <w:color w:val="auto"/>
                      <w:sz w:val="21"/>
                      <w:szCs w:val="21"/>
                    </w:rPr>
                    <w:t>CO</w:t>
                  </w:r>
                  <w:r>
                    <w:rPr>
                      <w:rFonts w:hAnsi="宋体"/>
                      <w:color w:val="auto"/>
                      <w:sz w:val="21"/>
                      <w:szCs w:val="21"/>
                    </w:rPr>
                    <w:t>）</w:t>
                  </w:r>
                </w:p>
              </w:tc>
              <w:tc>
                <w:tcPr>
                  <w:tcW w:w="1184" w:type="pct"/>
                  <w:vAlign w:val="center"/>
                </w:tcPr>
                <w:p w14:paraId="18C390FF">
                  <w:pPr>
                    <w:snapToGrid w:val="0"/>
                    <w:jc w:val="center"/>
                    <w:rPr>
                      <w:color w:val="auto"/>
                      <w:sz w:val="21"/>
                      <w:szCs w:val="21"/>
                    </w:rPr>
                  </w:pPr>
                  <w:r>
                    <w:rPr>
                      <w:color w:val="auto"/>
                      <w:sz w:val="21"/>
                      <w:szCs w:val="21"/>
                    </w:rPr>
                    <w:t>24</w:t>
                  </w:r>
                  <w:r>
                    <w:rPr>
                      <w:rFonts w:hAnsi="宋体"/>
                      <w:color w:val="auto"/>
                      <w:sz w:val="21"/>
                      <w:szCs w:val="21"/>
                    </w:rPr>
                    <w:t>小时平均</w:t>
                  </w:r>
                </w:p>
              </w:tc>
              <w:tc>
                <w:tcPr>
                  <w:tcW w:w="1049" w:type="pct"/>
                  <w:vAlign w:val="center"/>
                </w:tcPr>
                <w:p w14:paraId="219E3FCF">
                  <w:pPr>
                    <w:jc w:val="center"/>
                    <w:rPr>
                      <w:color w:val="auto"/>
                      <w:sz w:val="21"/>
                      <w:szCs w:val="21"/>
                    </w:rPr>
                  </w:pPr>
                  <w:r>
                    <w:rPr>
                      <w:color w:val="auto"/>
                      <w:sz w:val="21"/>
                      <w:szCs w:val="21"/>
                    </w:rPr>
                    <w:t>4mg/m</w:t>
                  </w:r>
                  <w:r>
                    <w:rPr>
                      <w:color w:val="auto"/>
                      <w:sz w:val="21"/>
                      <w:szCs w:val="21"/>
                      <w:vertAlign w:val="superscript"/>
                    </w:rPr>
                    <w:t>3</w:t>
                  </w:r>
                </w:p>
              </w:tc>
              <w:tc>
                <w:tcPr>
                  <w:tcW w:w="1378" w:type="pct"/>
                  <w:vMerge w:val="continue"/>
                  <w:vAlign w:val="center"/>
                </w:tcPr>
                <w:p w14:paraId="4F02B261">
                  <w:pPr>
                    <w:snapToGrid w:val="0"/>
                    <w:jc w:val="center"/>
                    <w:rPr>
                      <w:color w:val="auto"/>
                      <w:sz w:val="21"/>
                      <w:szCs w:val="21"/>
                    </w:rPr>
                  </w:pPr>
                </w:p>
              </w:tc>
            </w:tr>
            <w:tr w14:paraId="6C013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5839D593">
                  <w:pPr>
                    <w:snapToGrid w:val="0"/>
                    <w:jc w:val="center"/>
                    <w:rPr>
                      <w:color w:val="auto"/>
                      <w:sz w:val="21"/>
                      <w:szCs w:val="21"/>
                    </w:rPr>
                  </w:pPr>
                </w:p>
              </w:tc>
              <w:tc>
                <w:tcPr>
                  <w:tcW w:w="1184" w:type="pct"/>
                  <w:vAlign w:val="center"/>
                </w:tcPr>
                <w:p w14:paraId="3DC35B6B">
                  <w:pPr>
                    <w:snapToGrid w:val="0"/>
                    <w:jc w:val="center"/>
                    <w:rPr>
                      <w:color w:val="auto"/>
                      <w:sz w:val="21"/>
                      <w:szCs w:val="21"/>
                    </w:rPr>
                  </w:pPr>
                  <w:r>
                    <w:rPr>
                      <w:color w:val="auto"/>
                      <w:sz w:val="21"/>
                      <w:szCs w:val="21"/>
                    </w:rPr>
                    <w:t>1</w:t>
                  </w:r>
                  <w:r>
                    <w:rPr>
                      <w:rFonts w:hAnsi="宋体"/>
                      <w:color w:val="auto"/>
                      <w:sz w:val="21"/>
                      <w:szCs w:val="21"/>
                    </w:rPr>
                    <w:t>小时平均</w:t>
                  </w:r>
                </w:p>
              </w:tc>
              <w:tc>
                <w:tcPr>
                  <w:tcW w:w="1049" w:type="pct"/>
                  <w:vAlign w:val="center"/>
                </w:tcPr>
                <w:p w14:paraId="0A96EABF">
                  <w:pPr>
                    <w:jc w:val="center"/>
                    <w:rPr>
                      <w:color w:val="auto"/>
                      <w:sz w:val="21"/>
                      <w:szCs w:val="21"/>
                    </w:rPr>
                  </w:pPr>
                  <w:r>
                    <w:rPr>
                      <w:color w:val="auto"/>
                      <w:sz w:val="21"/>
                      <w:szCs w:val="21"/>
                    </w:rPr>
                    <w:t>10mg/m</w:t>
                  </w:r>
                  <w:r>
                    <w:rPr>
                      <w:color w:val="auto"/>
                      <w:sz w:val="21"/>
                      <w:szCs w:val="21"/>
                      <w:vertAlign w:val="superscript"/>
                    </w:rPr>
                    <w:t>3</w:t>
                  </w:r>
                </w:p>
              </w:tc>
              <w:tc>
                <w:tcPr>
                  <w:tcW w:w="1378" w:type="pct"/>
                  <w:vMerge w:val="continue"/>
                  <w:vAlign w:val="center"/>
                </w:tcPr>
                <w:p w14:paraId="5AB850D1">
                  <w:pPr>
                    <w:snapToGrid w:val="0"/>
                    <w:spacing w:line="420" w:lineRule="atLeast"/>
                    <w:ind w:firstLine="420" w:firstLineChars="200"/>
                    <w:jc w:val="center"/>
                    <w:rPr>
                      <w:color w:val="auto"/>
                      <w:sz w:val="21"/>
                      <w:szCs w:val="21"/>
                    </w:rPr>
                  </w:pPr>
                </w:p>
              </w:tc>
            </w:tr>
            <w:tr w14:paraId="0C83A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restart"/>
                  <w:vAlign w:val="center"/>
                </w:tcPr>
                <w:p w14:paraId="063F014D">
                  <w:pPr>
                    <w:snapToGrid w:val="0"/>
                    <w:jc w:val="center"/>
                    <w:rPr>
                      <w:color w:val="auto"/>
                      <w:sz w:val="21"/>
                      <w:szCs w:val="21"/>
                    </w:rPr>
                  </w:pPr>
                  <w:r>
                    <w:rPr>
                      <w:rFonts w:hAnsi="宋体"/>
                      <w:color w:val="auto"/>
                      <w:sz w:val="21"/>
                      <w:szCs w:val="21"/>
                    </w:rPr>
                    <w:t>臭氧（</w:t>
                  </w:r>
                  <w:r>
                    <w:rPr>
                      <w:color w:val="auto"/>
                      <w:sz w:val="21"/>
                      <w:szCs w:val="21"/>
                    </w:rPr>
                    <w:t>O</w:t>
                  </w:r>
                  <w:r>
                    <w:rPr>
                      <w:color w:val="auto"/>
                      <w:sz w:val="21"/>
                      <w:szCs w:val="21"/>
                      <w:vertAlign w:val="subscript"/>
                    </w:rPr>
                    <w:t>3</w:t>
                  </w:r>
                  <w:r>
                    <w:rPr>
                      <w:rFonts w:hAnsi="宋体"/>
                      <w:color w:val="auto"/>
                      <w:sz w:val="21"/>
                      <w:szCs w:val="21"/>
                    </w:rPr>
                    <w:t>）</w:t>
                  </w:r>
                </w:p>
              </w:tc>
              <w:tc>
                <w:tcPr>
                  <w:tcW w:w="1184" w:type="pct"/>
                  <w:vAlign w:val="center"/>
                </w:tcPr>
                <w:p w14:paraId="3A21A10B">
                  <w:pPr>
                    <w:snapToGrid w:val="0"/>
                    <w:jc w:val="center"/>
                    <w:rPr>
                      <w:color w:val="auto"/>
                      <w:sz w:val="21"/>
                      <w:szCs w:val="21"/>
                    </w:rPr>
                  </w:pPr>
                  <w:r>
                    <w:rPr>
                      <w:rFonts w:hAnsi="宋体"/>
                      <w:color w:val="auto"/>
                      <w:sz w:val="21"/>
                      <w:szCs w:val="21"/>
                    </w:rPr>
                    <w:t>日最大</w:t>
                  </w:r>
                  <w:r>
                    <w:rPr>
                      <w:color w:val="auto"/>
                      <w:sz w:val="21"/>
                      <w:szCs w:val="21"/>
                    </w:rPr>
                    <w:t>8</w:t>
                  </w:r>
                  <w:r>
                    <w:rPr>
                      <w:rFonts w:hAnsi="宋体"/>
                      <w:color w:val="auto"/>
                      <w:sz w:val="21"/>
                      <w:szCs w:val="21"/>
                    </w:rPr>
                    <w:t>小时平均</w:t>
                  </w:r>
                </w:p>
              </w:tc>
              <w:tc>
                <w:tcPr>
                  <w:tcW w:w="1049" w:type="pct"/>
                  <w:vAlign w:val="center"/>
                </w:tcPr>
                <w:p w14:paraId="372BF412">
                  <w:pPr>
                    <w:jc w:val="center"/>
                    <w:rPr>
                      <w:color w:val="auto"/>
                      <w:sz w:val="21"/>
                      <w:szCs w:val="21"/>
                    </w:rPr>
                  </w:pPr>
                  <w:r>
                    <w:rPr>
                      <w:color w:val="auto"/>
                      <w:sz w:val="21"/>
                      <w:szCs w:val="21"/>
                    </w:rPr>
                    <w:t>160μg/m</w:t>
                  </w:r>
                  <w:r>
                    <w:rPr>
                      <w:color w:val="auto"/>
                      <w:sz w:val="21"/>
                      <w:szCs w:val="21"/>
                      <w:vertAlign w:val="superscript"/>
                    </w:rPr>
                    <w:t>3</w:t>
                  </w:r>
                </w:p>
              </w:tc>
              <w:tc>
                <w:tcPr>
                  <w:tcW w:w="1378" w:type="pct"/>
                  <w:vMerge w:val="continue"/>
                  <w:vAlign w:val="center"/>
                </w:tcPr>
                <w:p w14:paraId="2C3F1E8C">
                  <w:pPr>
                    <w:snapToGrid w:val="0"/>
                    <w:jc w:val="center"/>
                    <w:rPr>
                      <w:color w:val="auto"/>
                      <w:sz w:val="21"/>
                      <w:szCs w:val="21"/>
                    </w:rPr>
                  </w:pPr>
                </w:p>
              </w:tc>
            </w:tr>
            <w:tr w14:paraId="566AC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3211B40F">
                  <w:pPr>
                    <w:snapToGrid w:val="0"/>
                    <w:jc w:val="center"/>
                    <w:rPr>
                      <w:color w:val="auto"/>
                      <w:sz w:val="21"/>
                      <w:szCs w:val="21"/>
                    </w:rPr>
                  </w:pPr>
                </w:p>
              </w:tc>
              <w:tc>
                <w:tcPr>
                  <w:tcW w:w="1184" w:type="pct"/>
                  <w:vAlign w:val="center"/>
                </w:tcPr>
                <w:p w14:paraId="6C35653C">
                  <w:pPr>
                    <w:snapToGrid w:val="0"/>
                    <w:jc w:val="center"/>
                    <w:rPr>
                      <w:color w:val="auto"/>
                      <w:sz w:val="21"/>
                      <w:szCs w:val="21"/>
                    </w:rPr>
                  </w:pPr>
                  <w:r>
                    <w:rPr>
                      <w:color w:val="auto"/>
                      <w:sz w:val="21"/>
                      <w:szCs w:val="21"/>
                    </w:rPr>
                    <w:t>1</w:t>
                  </w:r>
                  <w:r>
                    <w:rPr>
                      <w:rFonts w:hAnsi="宋体"/>
                      <w:color w:val="auto"/>
                      <w:sz w:val="21"/>
                      <w:szCs w:val="21"/>
                    </w:rPr>
                    <w:t>小时平均</w:t>
                  </w:r>
                </w:p>
              </w:tc>
              <w:tc>
                <w:tcPr>
                  <w:tcW w:w="1049" w:type="pct"/>
                  <w:vAlign w:val="center"/>
                </w:tcPr>
                <w:p w14:paraId="57799B11">
                  <w:pPr>
                    <w:jc w:val="center"/>
                    <w:rPr>
                      <w:color w:val="auto"/>
                      <w:sz w:val="21"/>
                      <w:szCs w:val="21"/>
                    </w:rPr>
                  </w:pPr>
                  <w:r>
                    <w:rPr>
                      <w:color w:val="auto"/>
                      <w:sz w:val="21"/>
                      <w:szCs w:val="21"/>
                    </w:rPr>
                    <w:t>200μg/m</w:t>
                  </w:r>
                  <w:r>
                    <w:rPr>
                      <w:color w:val="auto"/>
                      <w:sz w:val="21"/>
                      <w:szCs w:val="21"/>
                      <w:vertAlign w:val="superscript"/>
                    </w:rPr>
                    <w:t>3</w:t>
                  </w:r>
                </w:p>
              </w:tc>
              <w:tc>
                <w:tcPr>
                  <w:tcW w:w="1378" w:type="pct"/>
                  <w:vMerge w:val="continue"/>
                  <w:vAlign w:val="center"/>
                </w:tcPr>
                <w:p w14:paraId="6F3EC725">
                  <w:pPr>
                    <w:snapToGrid w:val="0"/>
                    <w:jc w:val="center"/>
                    <w:rPr>
                      <w:color w:val="auto"/>
                      <w:sz w:val="21"/>
                      <w:szCs w:val="21"/>
                    </w:rPr>
                  </w:pPr>
                </w:p>
              </w:tc>
            </w:tr>
            <w:tr w14:paraId="10B7A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restart"/>
                  <w:vAlign w:val="center"/>
                </w:tcPr>
                <w:p w14:paraId="5A40BA8E">
                  <w:pPr>
                    <w:snapToGrid w:val="0"/>
                    <w:jc w:val="center"/>
                    <w:rPr>
                      <w:color w:val="auto"/>
                      <w:sz w:val="21"/>
                      <w:szCs w:val="21"/>
                    </w:rPr>
                  </w:pPr>
                  <w:r>
                    <w:rPr>
                      <w:rFonts w:hAnsi="宋体"/>
                      <w:color w:val="auto"/>
                      <w:sz w:val="21"/>
                      <w:szCs w:val="21"/>
                    </w:rPr>
                    <w:t>颗粒物（粒径小于等于</w:t>
                  </w:r>
                  <w:r>
                    <w:rPr>
                      <w:color w:val="auto"/>
                      <w:sz w:val="21"/>
                      <w:szCs w:val="21"/>
                    </w:rPr>
                    <w:t>10μm</w:t>
                  </w:r>
                  <w:r>
                    <w:rPr>
                      <w:rFonts w:hAnsi="宋体"/>
                      <w:color w:val="auto"/>
                      <w:sz w:val="21"/>
                      <w:szCs w:val="21"/>
                    </w:rPr>
                    <w:t>）</w:t>
                  </w:r>
                </w:p>
              </w:tc>
              <w:tc>
                <w:tcPr>
                  <w:tcW w:w="1184" w:type="pct"/>
                  <w:vAlign w:val="center"/>
                </w:tcPr>
                <w:p w14:paraId="0041B5C0">
                  <w:pPr>
                    <w:snapToGrid w:val="0"/>
                    <w:jc w:val="center"/>
                    <w:rPr>
                      <w:color w:val="auto"/>
                      <w:sz w:val="21"/>
                      <w:szCs w:val="21"/>
                    </w:rPr>
                  </w:pPr>
                  <w:r>
                    <w:rPr>
                      <w:rFonts w:hAnsi="宋体"/>
                      <w:color w:val="auto"/>
                      <w:sz w:val="21"/>
                      <w:szCs w:val="21"/>
                    </w:rPr>
                    <w:t>年平均</w:t>
                  </w:r>
                </w:p>
              </w:tc>
              <w:tc>
                <w:tcPr>
                  <w:tcW w:w="1049" w:type="pct"/>
                  <w:vAlign w:val="center"/>
                </w:tcPr>
                <w:p w14:paraId="73E64A42">
                  <w:pPr>
                    <w:jc w:val="center"/>
                    <w:rPr>
                      <w:color w:val="auto"/>
                      <w:sz w:val="21"/>
                      <w:szCs w:val="21"/>
                    </w:rPr>
                  </w:pPr>
                  <w:r>
                    <w:rPr>
                      <w:color w:val="auto"/>
                      <w:sz w:val="21"/>
                      <w:szCs w:val="21"/>
                    </w:rPr>
                    <w:t>70μg/m</w:t>
                  </w:r>
                  <w:r>
                    <w:rPr>
                      <w:color w:val="auto"/>
                      <w:sz w:val="21"/>
                      <w:szCs w:val="21"/>
                      <w:vertAlign w:val="superscript"/>
                    </w:rPr>
                    <w:t>3</w:t>
                  </w:r>
                </w:p>
              </w:tc>
              <w:tc>
                <w:tcPr>
                  <w:tcW w:w="1378" w:type="pct"/>
                  <w:vMerge w:val="continue"/>
                  <w:vAlign w:val="center"/>
                </w:tcPr>
                <w:p w14:paraId="64BBB911">
                  <w:pPr>
                    <w:snapToGrid w:val="0"/>
                    <w:jc w:val="center"/>
                    <w:rPr>
                      <w:color w:val="auto"/>
                      <w:sz w:val="21"/>
                      <w:szCs w:val="21"/>
                    </w:rPr>
                  </w:pPr>
                </w:p>
              </w:tc>
            </w:tr>
            <w:tr w14:paraId="48E0D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70EAA14B">
                  <w:pPr>
                    <w:snapToGrid w:val="0"/>
                    <w:jc w:val="center"/>
                    <w:rPr>
                      <w:color w:val="auto"/>
                      <w:sz w:val="21"/>
                      <w:szCs w:val="21"/>
                    </w:rPr>
                  </w:pPr>
                </w:p>
              </w:tc>
              <w:tc>
                <w:tcPr>
                  <w:tcW w:w="1184" w:type="pct"/>
                  <w:vAlign w:val="center"/>
                </w:tcPr>
                <w:p w14:paraId="743AA205">
                  <w:pPr>
                    <w:snapToGrid w:val="0"/>
                    <w:jc w:val="center"/>
                    <w:rPr>
                      <w:color w:val="auto"/>
                      <w:sz w:val="21"/>
                      <w:szCs w:val="21"/>
                    </w:rPr>
                  </w:pPr>
                  <w:r>
                    <w:rPr>
                      <w:color w:val="auto"/>
                      <w:sz w:val="21"/>
                      <w:szCs w:val="21"/>
                    </w:rPr>
                    <w:t>24</w:t>
                  </w:r>
                  <w:r>
                    <w:rPr>
                      <w:rFonts w:hAnsi="宋体"/>
                      <w:color w:val="auto"/>
                      <w:sz w:val="21"/>
                      <w:szCs w:val="21"/>
                    </w:rPr>
                    <w:t>小时平均</w:t>
                  </w:r>
                </w:p>
              </w:tc>
              <w:tc>
                <w:tcPr>
                  <w:tcW w:w="1049" w:type="pct"/>
                  <w:vAlign w:val="center"/>
                </w:tcPr>
                <w:p w14:paraId="086689B0">
                  <w:pPr>
                    <w:jc w:val="center"/>
                    <w:rPr>
                      <w:color w:val="auto"/>
                      <w:sz w:val="21"/>
                      <w:szCs w:val="21"/>
                    </w:rPr>
                  </w:pPr>
                  <w:r>
                    <w:rPr>
                      <w:color w:val="auto"/>
                      <w:sz w:val="21"/>
                      <w:szCs w:val="21"/>
                    </w:rPr>
                    <w:t>150μg/m</w:t>
                  </w:r>
                  <w:r>
                    <w:rPr>
                      <w:color w:val="auto"/>
                      <w:sz w:val="21"/>
                      <w:szCs w:val="21"/>
                      <w:vertAlign w:val="superscript"/>
                    </w:rPr>
                    <w:t>3</w:t>
                  </w:r>
                </w:p>
              </w:tc>
              <w:tc>
                <w:tcPr>
                  <w:tcW w:w="1378" w:type="pct"/>
                  <w:vMerge w:val="continue"/>
                  <w:vAlign w:val="center"/>
                </w:tcPr>
                <w:p w14:paraId="60BCDFC1">
                  <w:pPr>
                    <w:snapToGrid w:val="0"/>
                    <w:jc w:val="center"/>
                    <w:rPr>
                      <w:color w:val="auto"/>
                      <w:sz w:val="21"/>
                      <w:szCs w:val="21"/>
                    </w:rPr>
                  </w:pPr>
                </w:p>
              </w:tc>
            </w:tr>
            <w:tr w14:paraId="6FAAA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restart"/>
                  <w:vAlign w:val="center"/>
                </w:tcPr>
                <w:p w14:paraId="75EB4362">
                  <w:pPr>
                    <w:snapToGrid w:val="0"/>
                    <w:jc w:val="center"/>
                    <w:rPr>
                      <w:color w:val="auto"/>
                      <w:sz w:val="21"/>
                      <w:szCs w:val="21"/>
                    </w:rPr>
                  </w:pPr>
                  <w:r>
                    <w:rPr>
                      <w:rFonts w:hAnsi="宋体"/>
                      <w:color w:val="auto"/>
                      <w:sz w:val="21"/>
                      <w:szCs w:val="21"/>
                    </w:rPr>
                    <w:t>颗粒物（粒径小于等于</w:t>
                  </w:r>
                  <w:r>
                    <w:rPr>
                      <w:color w:val="auto"/>
                      <w:sz w:val="21"/>
                      <w:szCs w:val="21"/>
                    </w:rPr>
                    <w:t>2.5μm</w:t>
                  </w:r>
                  <w:r>
                    <w:rPr>
                      <w:rFonts w:hAnsi="宋体"/>
                      <w:color w:val="auto"/>
                      <w:sz w:val="21"/>
                      <w:szCs w:val="21"/>
                    </w:rPr>
                    <w:t>）</w:t>
                  </w:r>
                </w:p>
              </w:tc>
              <w:tc>
                <w:tcPr>
                  <w:tcW w:w="1184" w:type="pct"/>
                  <w:vAlign w:val="center"/>
                </w:tcPr>
                <w:p w14:paraId="5D84F98A">
                  <w:pPr>
                    <w:snapToGrid w:val="0"/>
                    <w:jc w:val="center"/>
                    <w:rPr>
                      <w:color w:val="auto"/>
                      <w:sz w:val="21"/>
                      <w:szCs w:val="21"/>
                    </w:rPr>
                  </w:pPr>
                  <w:r>
                    <w:rPr>
                      <w:rFonts w:hAnsi="宋体"/>
                      <w:color w:val="auto"/>
                      <w:sz w:val="21"/>
                      <w:szCs w:val="21"/>
                    </w:rPr>
                    <w:t>年平均</w:t>
                  </w:r>
                </w:p>
              </w:tc>
              <w:tc>
                <w:tcPr>
                  <w:tcW w:w="1049" w:type="pct"/>
                  <w:vAlign w:val="center"/>
                </w:tcPr>
                <w:p w14:paraId="5166158C">
                  <w:pPr>
                    <w:jc w:val="center"/>
                    <w:rPr>
                      <w:color w:val="auto"/>
                      <w:sz w:val="21"/>
                      <w:szCs w:val="21"/>
                    </w:rPr>
                  </w:pPr>
                  <w:r>
                    <w:rPr>
                      <w:color w:val="auto"/>
                      <w:sz w:val="21"/>
                      <w:szCs w:val="21"/>
                    </w:rPr>
                    <w:t>35μg/m</w:t>
                  </w:r>
                  <w:r>
                    <w:rPr>
                      <w:color w:val="auto"/>
                      <w:sz w:val="21"/>
                      <w:szCs w:val="21"/>
                      <w:vertAlign w:val="superscript"/>
                    </w:rPr>
                    <w:t>3</w:t>
                  </w:r>
                </w:p>
              </w:tc>
              <w:tc>
                <w:tcPr>
                  <w:tcW w:w="1378" w:type="pct"/>
                  <w:vMerge w:val="continue"/>
                  <w:vAlign w:val="center"/>
                </w:tcPr>
                <w:p w14:paraId="545583B6">
                  <w:pPr>
                    <w:snapToGrid w:val="0"/>
                    <w:jc w:val="center"/>
                    <w:rPr>
                      <w:color w:val="auto"/>
                      <w:sz w:val="21"/>
                      <w:szCs w:val="21"/>
                    </w:rPr>
                  </w:pPr>
                </w:p>
              </w:tc>
            </w:tr>
            <w:tr w14:paraId="0D66C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01CF76FA">
                  <w:pPr>
                    <w:snapToGrid w:val="0"/>
                    <w:jc w:val="center"/>
                    <w:rPr>
                      <w:color w:val="auto"/>
                      <w:sz w:val="21"/>
                      <w:szCs w:val="21"/>
                    </w:rPr>
                  </w:pPr>
                </w:p>
              </w:tc>
              <w:tc>
                <w:tcPr>
                  <w:tcW w:w="1184" w:type="pct"/>
                  <w:vAlign w:val="center"/>
                </w:tcPr>
                <w:p w14:paraId="0F13F604">
                  <w:pPr>
                    <w:snapToGrid w:val="0"/>
                    <w:jc w:val="center"/>
                    <w:rPr>
                      <w:color w:val="auto"/>
                      <w:sz w:val="21"/>
                      <w:szCs w:val="21"/>
                    </w:rPr>
                  </w:pPr>
                  <w:r>
                    <w:rPr>
                      <w:color w:val="auto"/>
                      <w:sz w:val="21"/>
                      <w:szCs w:val="21"/>
                    </w:rPr>
                    <w:t>24</w:t>
                  </w:r>
                  <w:r>
                    <w:rPr>
                      <w:rFonts w:hAnsi="宋体"/>
                      <w:color w:val="auto"/>
                      <w:sz w:val="21"/>
                      <w:szCs w:val="21"/>
                    </w:rPr>
                    <w:t>小时平均</w:t>
                  </w:r>
                </w:p>
              </w:tc>
              <w:tc>
                <w:tcPr>
                  <w:tcW w:w="1049" w:type="pct"/>
                  <w:vAlign w:val="center"/>
                </w:tcPr>
                <w:p w14:paraId="0BD1BCD8">
                  <w:pPr>
                    <w:jc w:val="center"/>
                    <w:rPr>
                      <w:color w:val="auto"/>
                      <w:sz w:val="21"/>
                      <w:szCs w:val="21"/>
                    </w:rPr>
                  </w:pPr>
                  <w:r>
                    <w:rPr>
                      <w:color w:val="auto"/>
                      <w:sz w:val="21"/>
                      <w:szCs w:val="21"/>
                    </w:rPr>
                    <w:t>75μg/m</w:t>
                  </w:r>
                  <w:r>
                    <w:rPr>
                      <w:color w:val="auto"/>
                      <w:sz w:val="21"/>
                      <w:szCs w:val="21"/>
                      <w:vertAlign w:val="superscript"/>
                    </w:rPr>
                    <w:t>3</w:t>
                  </w:r>
                </w:p>
              </w:tc>
              <w:tc>
                <w:tcPr>
                  <w:tcW w:w="1378" w:type="pct"/>
                  <w:vMerge w:val="continue"/>
                  <w:vAlign w:val="center"/>
                </w:tcPr>
                <w:p w14:paraId="0846563B">
                  <w:pPr>
                    <w:snapToGrid w:val="0"/>
                    <w:jc w:val="center"/>
                    <w:rPr>
                      <w:color w:val="auto"/>
                      <w:sz w:val="21"/>
                      <w:szCs w:val="21"/>
                    </w:rPr>
                  </w:pPr>
                </w:p>
              </w:tc>
            </w:tr>
            <w:tr w14:paraId="48678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restart"/>
                  <w:vAlign w:val="center"/>
                </w:tcPr>
                <w:p w14:paraId="3BA95F25">
                  <w:pPr>
                    <w:snapToGrid w:val="0"/>
                    <w:jc w:val="center"/>
                    <w:rPr>
                      <w:color w:val="auto"/>
                      <w:sz w:val="21"/>
                      <w:szCs w:val="21"/>
                    </w:rPr>
                  </w:pPr>
                  <w:r>
                    <w:rPr>
                      <w:rFonts w:hAnsi="宋体"/>
                      <w:color w:val="auto"/>
                      <w:sz w:val="21"/>
                      <w:szCs w:val="21"/>
                    </w:rPr>
                    <w:t>总悬浮颗粒物（</w:t>
                  </w:r>
                  <w:r>
                    <w:rPr>
                      <w:color w:val="auto"/>
                      <w:sz w:val="21"/>
                      <w:szCs w:val="21"/>
                    </w:rPr>
                    <w:t>TSP</w:t>
                  </w:r>
                  <w:r>
                    <w:rPr>
                      <w:rFonts w:hAnsi="宋体"/>
                      <w:color w:val="auto"/>
                      <w:sz w:val="21"/>
                      <w:szCs w:val="21"/>
                    </w:rPr>
                    <w:t>）</w:t>
                  </w:r>
                </w:p>
              </w:tc>
              <w:tc>
                <w:tcPr>
                  <w:tcW w:w="1184" w:type="pct"/>
                  <w:vAlign w:val="center"/>
                </w:tcPr>
                <w:p w14:paraId="6BB3DC70">
                  <w:pPr>
                    <w:snapToGrid w:val="0"/>
                    <w:jc w:val="center"/>
                    <w:rPr>
                      <w:color w:val="auto"/>
                      <w:sz w:val="21"/>
                      <w:szCs w:val="21"/>
                    </w:rPr>
                  </w:pPr>
                  <w:r>
                    <w:rPr>
                      <w:color w:val="auto"/>
                      <w:sz w:val="21"/>
                      <w:szCs w:val="21"/>
                    </w:rPr>
                    <w:t>24</w:t>
                  </w:r>
                  <w:r>
                    <w:rPr>
                      <w:rFonts w:hAnsi="宋体"/>
                      <w:color w:val="auto"/>
                      <w:sz w:val="21"/>
                      <w:szCs w:val="21"/>
                    </w:rPr>
                    <w:t>小时平均</w:t>
                  </w:r>
                </w:p>
              </w:tc>
              <w:tc>
                <w:tcPr>
                  <w:tcW w:w="1049" w:type="pct"/>
                  <w:vAlign w:val="center"/>
                </w:tcPr>
                <w:p w14:paraId="6E1CB842">
                  <w:pPr>
                    <w:jc w:val="center"/>
                    <w:rPr>
                      <w:color w:val="auto"/>
                      <w:sz w:val="21"/>
                      <w:szCs w:val="21"/>
                    </w:rPr>
                  </w:pPr>
                  <w:r>
                    <w:rPr>
                      <w:color w:val="auto"/>
                      <w:sz w:val="21"/>
                      <w:szCs w:val="21"/>
                    </w:rPr>
                    <w:t>300μg/m</w:t>
                  </w:r>
                  <w:r>
                    <w:rPr>
                      <w:color w:val="auto"/>
                      <w:sz w:val="21"/>
                      <w:szCs w:val="21"/>
                      <w:vertAlign w:val="superscript"/>
                    </w:rPr>
                    <w:t>3</w:t>
                  </w:r>
                </w:p>
              </w:tc>
              <w:tc>
                <w:tcPr>
                  <w:tcW w:w="1378" w:type="pct"/>
                  <w:vMerge w:val="continue"/>
                  <w:vAlign w:val="center"/>
                </w:tcPr>
                <w:p w14:paraId="5ED5BAAE">
                  <w:pPr>
                    <w:snapToGrid w:val="0"/>
                    <w:jc w:val="center"/>
                    <w:rPr>
                      <w:color w:val="auto"/>
                      <w:sz w:val="21"/>
                      <w:szCs w:val="21"/>
                    </w:rPr>
                  </w:pPr>
                </w:p>
              </w:tc>
            </w:tr>
            <w:tr w14:paraId="2E450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Merge w:val="continue"/>
                  <w:vAlign w:val="center"/>
                </w:tcPr>
                <w:p w14:paraId="4667DD0C">
                  <w:pPr>
                    <w:snapToGrid w:val="0"/>
                    <w:jc w:val="center"/>
                    <w:rPr>
                      <w:color w:val="auto"/>
                      <w:sz w:val="21"/>
                      <w:szCs w:val="21"/>
                    </w:rPr>
                  </w:pPr>
                </w:p>
              </w:tc>
              <w:tc>
                <w:tcPr>
                  <w:tcW w:w="1184" w:type="pct"/>
                  <w:vAlign w:val="center"/>
                </w:tcPr>
                <w:p w14:paraId="1997FE56">
                  <w:pPr>
                    <w:snapToGrid w:val="0"/>
                    <w:jc w:val="center"/>
                    <w:rPr>
                      <w:color w:val="auto"/>
                      <w:sz w:val="21"/>
                      <w:szCs w:val="21"/>
                    </w:rPr>
                  </w:pPr>
                  <w:r>
                    <w:rPr>
                      <w:color w:val="auto"/>
                      <w:sz w:val="21"/>
                      <w:szCs w:val="21"/>
                    </w:rPr>
                    <w:t>1</w:t>
                  </w:r>
                  <w:r>
                    <w:rPr>
                      <w:rFonts w:hAnsi="宋体"/>
                      <w:color w:val="auto"/>
                      <w:sz w:val="21"/>
                      <w:szCs w:val="21"/>
                    </w:rPr>
                    <w:t>小时平均</w:t>
                  </w:r>
                </w:p>
              </w:tc>
              <w:tc>
                <w:tcPr>
                  <w:tcW w:w="1049" w:type="pct"/>
                  <w:vAlign w:val="center"/>
                </w:tcPr>
                <w:p w14:paraId="7704EF13">
                  <w:pPr>
                    <w:jc w:val="center"/>
                    <w:rPr>
                      <w:color w:val="auto"/>
                      <w:sz w:val="21"/>
                      <w:szCs w:val="21"/>
                    </w:rPr>
                  </w:pPr>
                  <w:r>
                    <w:rPr>
                      <w:color w:val="auto"/>
                      <w:sz w:val="21"/>
                      <w:szCs w:val="21"/>
                    </w:rPr>
                    <w:t>200μg/m</w:t>
                  </w:r>
                  <w:r>
                    <w:rPr>
                      <w:color w:val="auto"/>
                      <w:sz w:val="21"/>
                      <w:szCs w:val="21"/>
                      <w:vertAlign w:val="superscript"/>
                    </w:rPr>
                    <w:t>3</w:t>
                  </w:r>
                </w:p>
              </w:tc>
              <w:tc>
                <w:tcPr>
                  <w:tcW w:w="1378" w:type="pct"/>
                  <w:vMerge w:val="continue"/>
                  <w:vAlign w:val="center"/>
                </w:tcPr>
                <w:p w14:paraId="135490D5">
                  <w:pPr>
                    <w:snapToGrid w:val="0"/>
                    <w:jc w:val="center"/>
                    <w:rPr>
                      <w:color w:val="auto"/>
                      <w:sz w:val="21"/>
                      <w:szCs w:val="21"/>
                    </w:rPr>
                  </w:pPr>
                </w:p>
              </w:tc>
            </w:tr>
            <w:tr w14:paraId="51D16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Align w:val="center"/>
                </w:tcPr>
                <w:p w14:paraId="22DA9B09">
                  <w:pPr>
                    <w:snapToGrid w:val="0"/>
                    <w:jc w:val="center"/>
                    <w:rPr>
                      <w:rFonts w:hint="eastAsia" w:eastAsia="宋体"/>
                      <w:color w:val="auto"/>
                      <w:sz w:val="21"/>
                      <w:szCs w:val="21"/>
                      <w:lang w:val="en-US" w:eastAsia="zh-CN"/>
                    </w:rPr>
                  </w:pPr>
                  <w:r>
                    <w:rPr>
                      <w:rFonts w:hint="eastAsia"/>
                      <w:color w:val="auto"/>
                      <w:sz w:val="21"/>
                      <w:szCs w:val="21"/>
                      <w:lang w:val="en-US" w:eastAsia="zh-CN"/>
                    </w:rPr>
                    <w:t>甲醛</w:t>
                  </w:r>
                </w:p>
              </w:tc>
              <w:tc>
                <w:tcPr>
                  <w:tcW w:w="1184" w:type="pct"/>
                  <w:vAlign w:val="center"/>
                </w:tcPr>
                <w:p w14:paraId="0D431D4A">
                  <w:pPr>
                    <w:snapToGrid w:val="0"/>
                    <w:jc w:val="center"/>
                    <w:rPr>
                      <w:color w:val="auto"/>
                      <w:sz w:val="21"/>
                      <w:szCs w:val="21"/>
                    </w:rPr>
                  </w:pPr>
                  <w:r>
                    <w:rPr>
                      <w:color w:val="auto"/>
                      <w:sz w:val="21"/>
                      <w:szCs w:val="21"/>
                    </w:rPr>
                    <w:t>1</w:t>
                  </w:r>
                  <w:r>
                    <w:rPr>
                      <w:rFonts w:hAnsi="宋体"/>
                      <w:color w:val="auto"/>
                      <w:sz w:val="21"/>
                      <w:szCs w:val="21"/>
                    </w:rPr>
                    <w:t>小时平均</w:t>
                  </w:r>
                </w:p>
              </w:tc>
              <w:tc>
                <w:tcPr>
                  <w:tcW w:w="1049" w:type="pct"/>
                  <w:vAlign w:val="center"/>
                </w:tcPr>
                <w:p w14:paraId="79C65B57">
                  <w:pPr>
                    <w:jc w:val="center"/>
                    <w:rPr>
                      <w:color w:val="auto"/>
                      <w:sz w:val="21"/>
                      <w:szCs w:val="21"/>
                    </w:rPr>
                  </w:pPr>
                  <w:r>
                    <w:rPr>
                      <w:rFonts w:hint="eastAsia"/>
                      <w:color w:val="auto"/>
                      <w:sz w:val="21"/>
                      <w:szCs w:val="21"/>
                      <w:lang w:val="en-US" w:eastAsia="zh-CN"/>
                    </w:rPr>
                    <w:t>5</w:t>
                  </w:r>
                  <w:r>
                    <w:rPr>
                      <w:color w:val="auto"/>
                      <w:sz w:val="21"/>
                      <w:szCs w:val="21"/>
                    </w:rPr>
                    <w:t>0μg/m</w:t>
                  </w:r>
                  <w:r>
                    <w:rPr>
                      <w:color w:val="auto"/>
                      <w:sz w:val="21"/>
                      <w:szCs w:val="21"/>
                      <w:vertAlign w:val="superscript"/>
                    </w:rPr>
                    <w:t>3</w:t>
                  </w:r>
                </w:p>
              </w:tc>
              <w:tc>
                <w:tcPr>
                  <w:tcW w:w="1378" w:type="pct"/>
                  <w:vAlign w:val="center"/>
                </w:tcPr>
                <w:p w14:paraId="779FBC29">
                  <w:pPr>
                    <w:snapToGrid w:val="0"/>
                    <w:jc w:val="center"/>
                    <w:rPr>
                      <w:color w:val="auto"/>
                      <w:sz w:val="21"/>
                      <w:szCs w:val="21"/>
                    </w:rPr>
                  </w:pPr>
                  <w:r>
                    <w:rPr>
                      <w:rFonts w:hint="eastAsia"/>
                      <w:color w:val="auto"/>
                      <w:sz w:val="21"/>
                      <w:szCs w:val="21"/>
                    </w:rPr>
                    <w:t>《环境影响评价技术导则 大气环境》（HJ2.2-2018）附录D</w:t>
                  </w:r>
                </w:p>
              </w:tc>
            </w:tr>
            <w:tr w14:paraId="4123D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7" w:type="pct"/>
                  <w:vAlign w:val="center"/>
                </w:tcPr>
                <w:p w14:paraId="33197AA3">
                  <w:pPr>
                    <w:snapToGrid w:val="0"/>
                    <w:jc w:val="center"/>
                    <w:rPr>
                      <w:rFonts w:hint="default"/>
                      <w:color w:val="auto"/>
                      <w:sz w:val="21"/>
                      <w:szCs w:val="21"/>
                      <w:lang w:val="en-US" w:eastAsia="zh-CN"/>
                    </w:rPr>
                  </w:pPr>
                  <w:r>
                    <w:rPr>
                      <w:rFonts w:hint="eastAsia"/>
                      <w:color w:val="auto"/>
                      <w:sz w:val="21"/>
                      <w:szCs w:val="21"/>
                      <w:lang w:val="en-US" w:eastAsia="zh-CN"/>
                    </w:rPr>
                    <w:t>非甲烷总烃</w:t>
                  </w:r>
                </w:p>
              </w:tc>
              <w:tc>
                <w:tcPr>
                  <w:tcW w:w="1184" w:type="pct"/>
                  <w:vAlign w:val="center"/>
                </w:tcPr>
                <w:p w14:paraId="290DBB39">
                  <w:pPr>
                    <w:snapToGrid w:val="0"/>
                    <w:jc w:val="center"/>
                    <w:rPr>
                      <w:color w:val="auto"/>
                      <w:sz w:val="21"/>
                      <w:szCs w:val="21"/>
                    </w:rPr>
                  </w:pPr>
                  <w:r>
                    <w:rPr>
                      <w:color w:val="auto"/>
                      <w:sz w:val="21"/>
                      <w:szCs w:val="21"/>
                    </w:rPr>
                    <w:t>1</w:t>
                  </w:r>
                  <w:r>
                    <w:rPr>
                      <w:rFonts w:hAnsi="宋体"/>
                      <w:color w:val="auto"/>
                      <w:sz w:val="21"/>
                      <w:szCs w:val="21"/>
                    </w:rPr>
                    <w:t>小时平均</w:t>
                  </w:r>
                </w:p>
              </w:tc>
              <w:tc>
                <w:tcPr>
                  <w:tcW w:w="1049" w:type="pct"/>
                  <w:vAlign w:val="center"/>
                </w:tcPr>
                <w:p w14:paraId="028E267E">
                  <w:pPr>
                    <w:jc w:val="center"/>
                    <w:rPr>
                      <w:rFonts w:hint="default"/>
                      <w:color w:val="auto"/>
                      <w:sz w:val="21"/>
                      <w:szCs w:val="21"/>
                      <w:lang w:val="en-US" w:eastAsia="zh-CN"/>
                    </w:rPr>
                  </w:pPr>
                  <w:r>
                    <w:rPr>
                      <w:rFonts w:hint="eastAsia"/>
                      <w:color w:val="auto"/>
                      <w:sz w:val="21"/>
                      <w:szCs w:val="21"/>
                      <w:lang w:val="en-US" w:eastAsia="zh-CN"/>
                    </w:rPr>
                    <w:t>2.0</w:t>
                  </w:r>
                  <w:r>
                    <w:rPr>
                      <w:color w:val="auto"/>
                      <w:sz w:val="21"/>
                      <w:szCs w:val="21"/>
                    </w:rPr>
                    <w:t>mg/m</w:t>
                  </w:r>
                  <w:r>
                    <w:rPr>
                      <w:color w:val="auto"/>
                      <w:sz w:val="21"/>
                      <w:szCs w:val="21"/>
                      <w:vertAlign w:val="superscript"/>
                    </w:rPr>
                    <w:t>3</w:t>
                  </w:r>
                </w:p>
              </w:tc>
              <w:tc>
                <w:tcPr>
                  <w:tcW w:w="1378" w:type="pct"/>
                  <w:vAlign w:val="center"/>
                </w:tcPr>
                <w:p w14:paraId="584B7CE5">
                  <w:pPr>
                    <w:snapToGrid w:val="0"/>
                    <w:jc w:val="center"/>
                    <w:rPr>
                      <w:rFonts w:hint="eastAsia"/>
                      <w:color w:val="auto"/>
                      <w:sz w:val="21"/>
                      <w:szCs w:val="21"/>
                    </w:rPr>
                  </w:pPr>
                  <w:r>
                    <w:rPr>
                      <w:rFonts w:hint="eastAsia"/>
                      <w:color w:val="auto"/>
                      <w:sz w:val="21"/>
                      <w:szCs w:val="21"/>
                    </w:rPr>
                    <w:t>《大气污染物综合排放标准详解》</w:t>
                  </w:r>
                </w:p>
              </w:tc>
            </w:tr>
          </w:tbl>
          <w:p w14:paraId="48DDB7EB">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eastAsiaTheme="minorEastAsia"/>
                <w:color w:val="auto"/>
                <w:kern w:val="0"/>
                <w:sz w:val="24"/>
                <w:szCs w:val="24"/>
              </w:rPr>
            </w:pPr>
            <w:r>
              <w:rPr>
                <w:rFonts w:hAnsiTheme="minorEastAsia" w:eastAsiaTheme="minorEastAsia"/>
                <w:color w:val="auto"/>
                <w:kern w:val="0"/>
                <w:sz w:val="24"/>
                <w:szCs w:val="24"/>
              </w:rPr>
              <w:t>（</w:t>
            </w:r>
            <w:r>
              <w:rPr>
                <w:rFonts w:eastAsiaTheme="minorEastAsia"/>
                <w:color w:val="auto"/>
                <w:kern w:val="0"/>
                <w:sz w:val="24"/>
                <w:szCs w:val="24"/>
              </w:rPr>
              <w:t>2</w:t>
            </w:r>
            <w:r>
              <w:rPr>
                <w:rFonts w:hAnsiTheme="minorEastAsia" w:eastAsiaTheme="minorEastAsia"/>
                <w:color w:val="auto"/>
                <w:kern w:val="0"/>
                <w:sz w:val="24"/>
                <w:szCs w:val="24"/>
              </w:rPr>
              <w:t>）大气环境质量现状</w:t>
            </w:r>
          </w:p>
          <w:p w14:paraId="6FFCC31B">
            <w:pPr>
              <w:tabs>
                <w:tab w:val="left" w:pos="1309"/>
              </w:tabs>
              <w:spacing w:line="360" w:lineRule="auto"/>
              <w:ind w:firstLine="480" w:firstLineChars="200"/>
              <w:rPr>
                <w:rFonts w:hint="eastAsia" w:hAnsi="宋体"/>
                <w:color w:val="auto"/>
                <w:sz w:val="24"/>
                <w:szCs w:val="24"/>
                <w:lang w:val="en-US" w:eastAsia="zh-CN"/>
              </w:rPr>
            </w:pPr>
            <w:r>
              <w:rPr>
                <w:rFonts w:hint="eastAsia" w:hAnsi="宋体"/>
                <w:color w:val="auto"/>
                <w:sz w:val="24"/>
                <w:szCs w:val="24"/>
              </w:rPr>
              <w:t>根据三明市生态环境局发布的大田县各月度监测月报统计（202</w:t>
            </w:r>
            <w:r>
              <w:rPr>
                <w:rFonts w:hint="eastAsia" w:hAnsi="宋体"/>
                <w:color w:val="auto"/>
                <w:sz w:val="24"/>
                <w:szCs w:val="24"/>
                <w:lang w:val="en-US" w:eastAsia="zh-CN"/>
              </w:rPr>
              <w:t>4</w:t>
            </w:r>
            <w:r>
              <w:rPr>
                <w:rFonts w:hint="eastAsia" w:hAnsi="宋体"/>
                <w:color w:val="auto"/>
                <w:sz w:val="24"/>
                <w:szCs w:val="24"/>
              </w:rPr>
              <w:t>年1月~12月），202</w:t>
            </w:r>
            <w:r>
              <w:rPr>
                <w:rFonts w:hint="eastAsia" w:hAnsi="宋体"/>
                <w:color w:val="auto"/>
                <w:sz w:val="24"/>
                <w:szCs w:val="24"/>
                <w:lang w:val="en-US" w:eastAsia="zh-CN"/>
              </w:rPr>
              <w:t>4</w:t>
            </w:r>
            <w:r>
              <w:rPr>
                <w:rFonts w:hint="eastAsia" w:hAnsi="宋体"/>
                <w:color w:val="auto"/>
                <w:sz w:val="24"/>
                <w:szCs w:val="24"/>
              </w:rPr>
              <w:t>年大田县空气质量均符合空气质量二级标准，达标率100%，详细统计数据见表</w:t>
            </w:r>
            <w:r>
              <w:rPr>
                <w:rFonts w:hint="eastAsia" w:hAnsi="宋体"/>
                <w:color w:val="auto"/>
                <w:sz w:val="24"/>
                <w:szCs w:val="24"/>
                <w:lang w:val="en-US" w:eastAsia="zh-CN"/>
              </w:rPr>
              <w:t>3-2。</w:t>
            </w:r>
          </w:p>
          <w:p w14:paraId="141AE75F">
            <w:pPr>
              <w:tabs>
                <w:tab w:val="left" w:pos="1309"/>
              </w:tabs>
              <w:spacing w:line="360" w:lineRule="auto"/>
              <w:jc w:val="center"/>
              <w:rPr>
                <w:rFonts w:hint="default" w:hAnsi="宋体"/>
                <w:b/>
                <w:bCs/>
                <w:color w:val="auto"/>
                <w:sz w:val="24"/>
                <w:szCs w:val="24"/>
                <w:lang w:val="en-US" w:eastAsia="zh-CN"/>
              </w:rPr>
            </w:pPr>
            <w:r>
              <w:rPr>
                <w:rFonts w:hint="default" w:hAnsi="宋体"/>
                <w:b/>
                <w:bCs/>
                <w:color w:val="auto"/>
                <w:sz w:val="24"/>
                <w:szCs w:val="24"/>
                <w:lang w:val="en-US" w:eastAsia="zh-CN"/>
              </w:rPr>
              <w:t>表</w:t>
            </w:r>
            <w:r>
              <w:rPr>
                <w:rFonts w:hint="eastAsia" w:hAnsi="宋体"/>
                <w:b/>
                <w:bCs/>
                <w:color w:val="auto"/>
                <w:sz w:val="24"/>
                <w:szCs w:val="24"/>
                <w:lang w:val="en-US" w:eastAsia="zh-CN"/>
              </w:rPr>
              <w:t>3</w:t>
            </w:r>
            <w:r>
              <w:rPr>
                <w:rFonts w:hint="default" w:hAnsi="宋体"/>
                <w:b/>
                <w:bCs/>
                <w:color w:val="auto"/>
                <w:sz w:val="24"/>
                <w:szCs w:val="24"/>
                <w:lang w:val="en-US" w:eastAsia="zh-CN"/>
              </w:rPr>
              <w:t>-2</w:t>
            </w:r>
            <w:r>
              <w:rPr>
                <w:rFonts w:hint="eastAsia" w:hAnsi="宋体"/>
                <w:b/>
                <w:bCs/>
                <w:color w:val="auto"/>
                <w:sz w:val="24"/>
                <w:szCs w:val="24"/>
                <w:lang w:val="en-US" w:eastAsia="zh-CN"/>
              </w:rPr>
              <w:t xml:space="preserve"> </w:t>
            </w:r>
            <w:r>
              <w:rPr>
                <w:rFonts w:hint="default" w:hAnsi="宋体"/>
                <w:b/>
                <w:bCs/>
                <w:color w:val="auto"/>
                <w:sz w:val="24"/>
                <w:szCs w:val="24"/>
                <w:lang w:val="en-US" w:eastAsia="zh-CN"/>
              </w:rPr>
              <w:t xml:space="preserve"> 202</w:t>
            </w:r>
            <w:r>
              <w:rPr>
                <w:rFonts w:hint="eastAsia" w:hAnsi="宋体"/>
                <w:b/>
                <w:bCs/>
                <w:color w:val="auto"/>
                <w:sz w:val="24"/>
                <w:szCs w:val="24"/>
                <w:lang w:val="en-US" w:eastAsia="zh-CN"/>
              </w:rPr>
              <w:t>4</w:t>
            </w:r>
            <w:r>
              <w:rPr>
                <w:rFonts w:hint="default" w:hAnsi="宋体"/>
                <w:b/>
                <w:bCs/>
                <w:color w:val="auto"/>
                <w:sz w:val="24"/>
                <w:szCs w:val="24"/>
                <w:lang w:val="en-US" w:eastAsia="zh-CN"/>
              </w:rPr>
              <w:t>年大田县空气质量状况一览表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0"/>
              <w:gridCol w:w="675"/>
              <w:gridCol w:w="870"/>
              <w:gridCol w:w="870"/>
              <w:gridCol w:w="885"/>
              <w:gridCol w:w="870"/>
              <w:gridCol w:w="945"/>
              <w:gridCol w:w="870"/>
              <w:gridCol w:w="885"/>
              <w:gridCol w:w="1065"/>
            </w:tblGrid>
            <w:tr w14:paraId="76F99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560CA794">
                  <w:pPr>
                    <w:keepNext w:val="0"/>
                    <w:keepLines w:val="0"/>
                    <w:widowControl/>
                    <w:suppressLineNumbers w:val="0"/>
                    <w:jc w:val="center"/>
                    <w:rPr>
                      <w:b/>
                      <w:bCs/>
                      <w:color w:val="auto"/>
                      <w:sz w:val="18"/>
                      <w:szCs w:val="18"/>
                    </w:rPr>
                  </w:pPr>
                  <w:r>
                    <w:rPr>
                      <w:rFonts w:ascii="宋体" w:hAnsi="宋体" w:eastAsia="宋体" w:cs="宋体"/>
                      <w:b/>
                      <w:bCs/>
                      <w:i w:val="0"/>
                      <w:iCs w:val="0"/>
                      <w:color w:val="auto"/>
                      <w:kern w:val="0"/>
                      <w:sz w:val="18"/>
                      <w:szCs w:val="18"/>
                      <w:lang w:val="en-US" w:eastAsia="zh-CN" w:bidi="ar"/>
                    </w:rPr>
                    <w:t>月 份</w:t>
                  </w:r>
                </w:p>
              </w:tc>
              <w:tc>
                <w:tcPr>
                  <w:tcW w:w="675" w:type="dxa"/>
                  <w:tcBorders>
                    <w:tl2br w:val="nil"/>
                    <w:tr2bl w:val="nil"/>
                  </w:tcBorders>
                  <w:shd w:val="clear" w:color="auto" w:fill="auto"/>
                  <w:vAlign w:val="center"/>
                </w:tcPr>
                <w:p w14:paraId="0BF72BFA">
                  <w:pPr>
                    <w:keepNext w:val="0"/>
                    <w:keepLines w:val="0"/>
                    <w:widowControl/>
                    <w:suppressLineNumbers w:val="0"/>
                    <w:jc w:val="center"/>
                    <w:rPr>
                      <w:b/>
                      <w:bCs/>
                      <w:color w:val="auto"/>
                      <w:sz w:val="18"/>
                      <w:szCs w:val="18"/>
                    </w:rPr>
                  </w:pPr>
                  <w:r>
                    <w:rPr>
                      <w:rFonts w:ascii="宋体" w:hAnsi="宋体" w:eastAsia="宋体" w:cs="宋体"/>
                      <w:b/>
                      <w:bCs/>
                      <w:i w:val="0"/>
                      <w:iCs w:val="0"/>
                      <w:color w:val="auto"/>
                      <w:kern w:val="0"/>
                      <w:sz w:val="18"/>
                      <w:szCs w:val="18"/>
                      <w:lang w:val="en-US" w:eastAsia="zh-CN" w:bidi="ar"/>
                    </w:rPr>
                    <w:t>综合指数</w:t>
                  </w:r>
                </w:p>
              </w:tc>
              <w:tc>
                <w:tcPr>
                  <w:tcW w:w="870" w:type="dxa"/>
                  <w:tcBorders>
                    <w:tl2br w:val="nil"/>
                    <w:tr2bl w:val="nil"/>
                  </w:tcBorders>
                  <w:shd w:val="clear" w:color="auto" w:fill="auto"/>
                  <w:vAlign w:val="center"/>
                </w:tcPr>
                <w:p w14:paraId="5BD85C6C">
                  <w:pPr>
                    <w:keepNext w:val="0"/>
                    <w:keepLines w:val="0"/>
                    <w:widowControl/>
                    <w:suppressLineNumbers w:val="0"/>
                    <w:jc w:val="center"/>
                    <w:rPr>
                      <w:rFonts w:ascii="TimesNewRomanPSMT" w:hAnsi="TimesNewRomanPSMT" w:eastAsia="TimesNewRomanPSMT" w:cs="TimesNewRomanPSMT"/>
                      <w:b/>
                      <w:bCs/>
                      <w:i w:val="0"/>
                      <w:iCs w:val="0"/>
                      <w:color w:val="auto"/>
                      <w:kern w:val="0"/>
                      <w:sz w:val="18"/>
                      <w:szCs w:val="18"/>
                      <w:lang w:val="en-US" w:eastAsia="zh-CN" w:bidi="ar"/>
                    </w:rPr>
                  </w:pPr>
                  <w:r>
                    <w:rPr>
                      <w:rFonts w:ascii="TimesNewRomanPSMT" w:hAnsi="TimesNewRomanPSMT" w:eastAsia="TimesNewRomanPSMT" w:cs="TimesNewRomanPSMT"/>
                      <w:b/>
                      <w:bCs/>
                      <w:i w:val="0"/>
                      <w:iCs w:val="0"/>
                      <w:color w:val="auto"/>
                      <w:kern w:val="0"/>
                      <w:sz w:val="18"/>
                      <w:szCs w:val="18"/>
                      <w:lang w:val="en-US" w:eastAsia="zh-CN" w:bidi="ar"/>
                    </w:rPr>
                    <w:t>SO</w:t>
                  </w:r>
                  <w:r>
                    <w:rPr>
                      <w:rFonts w:ascii="TimesNewRomanPSMT" w:hAnsi="TimesNewRomanPSMT" w:eastAsia="TimesNewRomanPSMT" w:cs="TimesNewRomanPSMT"/>
                      <w:b/>
                      <w:bCs/>
                      <w:i w:val="0"/>
                      <w:iCs w:val="0"/>
                      <w:color w:val="auto"/>
                      <w:kern w:val="0"/>
                      <w:sz w:val="18"/>
                      <w:szCs w:val="18"/>
                      <w:vertAlign w:val="subscript"/>
                      <w:lang w:val="en-US" w:eastAsia="zh-CN" w:bidi="ar"/>
                    </w:rPr>
                    <w:t>2</w:t>
                  </w:r>
                </w:p>
                <w:p w14:paraId="1CFCE8E3">
                  <w:pPr>
                    <w:keepNext w:val="0"/>
                    <w:keepLines w:val="0"/>
                    <w:widowControl/>
                    <w:suppressLineNumbers w:val="0"/>
                    <w:jc w:val="center"/>
                    <w:rPr>
                      <w:b/>
                      <w:bCs/>
                      <w:color w:val="auto"/>
                      <w:sz w:val="18"/>
                      <w:szCs w:val="18"/>
                    </w:rPr>
                  </w:pPr>
                  <w:r>
                    <w:rPr>
                      <w:rFonts w:ascii="TimesNewRomanPSMT" w:hAnsi="TimesNewRomanPSMT" w:eastAsia="TimesNewRomanPSMT" w:cs="TimesNewRomanPSMT"/>
                      <w:b/>
                      <w:bCs/>
                      <w:i w:val="0"/>
                      <w:iCs w:val="0"/>
                      <w:color w:val="auto"/>
                      <w:kern w:val="0"/>
                      <w:sz w:val="18"/>
                      <w:szCs w:val="18"/>
                      <w:lang w:val="en-US" w:eastAsia="zh-CN" w:bidi="ar"/>
                    </w:rPr>
                    <w:t>(μg/m</w:t>
                  </w:r>
                  <w:r>
                    <w:rPr>
                      <w:rFonts w:ascii="TimesNewRomanPSMT" w:hAnsi="TimesNewRomanPSMT" w:eastAsia="TimesNewRomanPSMT" w:cs="TimesNewRomanPSMT"/>
                      <w:b/>
                      <w:bCs/>
                      <w:i w:val="0"/>
                      <w:iCs w:val="0"/>
                      <w:color w:val="auto"/>
                      <w:kern w:val="0"/>
                      <w:sz w:val="18"/>
                      <w:szCs w:val="18"/>
                      <w:vertAlign w:val="superscript"/>
                      <w:lang w:val="en-US" w:eastAsia="zh-CN" w:bidi="ar"/>
                    </w:rPr>
                    <w:t>3</w:t>
                  </w:r>
                  <w:r>
                    <w:rPr>
                      <w:rFonts w:ascii="TimesNewRomanPSMT" w:hAnsi="TimesNewRomanPSMT" w:eastAsia="TimesNewRomanPSMT" w:cs="TimesNewRomanPSMT"/>
                      <w:b/>
                      <w:bCs/>
                      <w:i w:val="0"/>
                      <w:iCs w:val="0"/>
                      <w:color w:val="auto"/>
                      <w:kern w:val="0"/>
                      <w:sz w:val="18"/>
                      <w:szCs w:val="18"/>
                      <w:lang w:val="en-US" w:eastAsia="zh-CN" w:bidi="ar"/>
                    </w:rPr>
                    <w:t>)</w:t>
                  </w:r>
                </w:p>
              </w:tc>
              <w:tc>
                <w:tcPr>
                  <w:tcW w:w="870" w:type="dxa"/>
                  <w:tcBorders>
                    <w:tl2br w:val="nil"/>
                    <w:tr2bl w:val="nil"/>
                  </w:tcBorders>
                  <w:shd w:val="clear" w:color="auto" w:fill="auto"/>
                  <w:vAlign w:val="center"/>
                </w:tcPr>
                <w:p w14:paraId="1B367AFD">
                  <w:pPr>
                    <w:keepNext w:val="0"/>
                    <w:keepLines w:val="0"/>
                    <w:widowControl/>
                    <w:suppressLineNumbers w:val="0"/>
                    <w:jc w:val="center"/>
                    <w:rPr>
                      <w:rFonts w:ascii="TimesNewRomanPSMT" w:hAnsi="TimesNewRomanPSMT" w:eastAsia="TimesNewRomanPSMT" w:cs="TimesNewRomanPSMT"/>
                      <w:b/>
                      <w:bCs/>
                      <w:i w:val="0"/>
                      <w:iCs w:val="0"/>
                      <w:color w:val="auto"/>
                      <w:kern w:val="0"/>
                      <w:sz w:val="18"/>
                      <w:szCs w:val="18"/>
                      <w:lang w:val="en-US" w:eastAsia="zh-CN" w:bidi="ar"/>
                    </w:rPr>
                  </w:pPr>
                  <w:r>
                    <w:rPr>
                      <w:rFonts w:ascii="TimesNewRomanPSMT" w:hAnsi="TimesNewRomanPSMT" w:eastAsia="TimesNewRomanPSMT" w:cs="TimesNewRomanPSMT"/>
                      <w:b/>
                      <w:bCs/>
                      <w:i w:val="0"/>
                      <w:iCs w:val="0"/>
                      <w:color w:val="auto"/>
                      <w:kern w:val="0"/>
                      <w:sz w:val="18"/>
                      <w:szCs w:val="18"/>
                      <w:lang w:val="en-US" w:eastAsia="zh-CN" w:bidi="ar"/>
                    </w:rPr>
                    <w:t>NO</w:t>
                  </w:r>
                  <w:r>
                    <w:rPr>
                      <w:rFonts w:ascii="TimesNewRomanPSMT" w:hAnsi="TimesNewRomanPSMT" w:eastAsia="TimesNewRomanPSMT" w:cs="TimesNewRomanPSMT"/>
                      <w:b/>
                      <w:bCs/>
                      <w:i w:val="0"/>
                      <w:iCs w:val="0"/>
                      <w:color w:val="auto"/>
                      <w:kern w:val="0"/>
                      <w:sz w:val="18"/>
                      <w:szCs w:val="18"/>
                      <w:vertAlign w:val="subscript"/>
                      <w:lang w:val="en-US" w:eastAsia="zh-CN" w:bidi="ar"/>
                    </w:rPr>
                    <w:t>2</w:t>
                  </w:r>
                </w:p>
                <w:p w14:paraId="4745C973">
                  <w:pPr>
                    <w:keepNext w:val="0"/>
                    <w:keepLines w:val="0"/>
                    <w:widowControl/>
                    <w:suppressLineNumbers w:val="0"/>
                    <w:jc w:val="center"/>
                    <w:rPr>
                      <w:b/>
                      <w:bCs/>
                      <w:color w:val="auto"/>
                      <w:sz w:val="18"/>
                      <w:szCs w:val="18"/>
                    </w:rPr>
                  </w:pPr>
                  <w:r>
                    <w:rPr>
                      <w:rFonts w:ascii="TimesNewRomanPSMT" w:hAnsi="TimesNewRomanPSMT" w:eastAsia="TimesNewRomanPSMT" w:cs="TimesNewRomanPSMT"/>
                      <w:b/>
                      <w:bCs/>
                      <w:i w:val="0"/>
                      <w:iCs w:val="0"/>
                      <w:color w:val="auto"/>
                      <w:kern w:val="0"/>
                      <w:sz w:val="18"/>
                      <w:szCs w:val="18"/>
                      <w:lang w:val="en-US" w:eastAsia="zh-CN" w:bidi="ar"/>
                    </w:rPr>
                    <w:t>(μg/m</w:t>
                  </w:r>
                  <w:r>
                    <w:rPr>
                      <w:rFonts w:ascii="TimesNewRomanPSMT" w:hAnsi="TimesNewRomanPSMT" w:eastAsia="TimesNewRomanPSMT" w:cs="TimesNewRomanPSMT"/>
                      <w:b/>
                      <w:bCs/>
                      <w:i w:val="0"/>
                      <w:iCs w:val="0"/>
                      <w:color w:val="auto"/>
                      <w:kern w:val="0"/>
                      <w:sz w:val="18"/>
                      <w:szCs w:val="18"/>
                      <w:vertAlign w:val="superscript"/>
                      <w:lang w:val="en-US" w:eastAsia="zh-CN" w:bidi="ar"/>
                    </w:rPr>
                    <w:t>3</w:t>
                  </w:r>
                  <w:r>
                    <w:rPr>
                      <w:rFonts w:ascii="TimesNewRomanPSMT" w:hAnsi="TimesNewRomanPSMT" w:eastAsia="TimesNewRomanPSMT" w:cs="TimesNewRomanPSMT"/>
                      <w:b/>
                      <w:bCs/>
                      <w:i w:val="0"/>
                      <w:iCs w:val="0"/>
                      <w:color w:val="auto"/>
                      <w:kern w:val="0"/>
                      <w:sz w:val="18"/>
                      <w:szCs w:val="18"/>
                      <w:lang w:val="en-US" w:eastAsia="zh-CN" w:bidi="ar"/>
                    </w:rPr>
                    <w:t>)</w:t>
                  </w:r>
                </w:p>
              </w:tc>
              <w:tc>
                <w:tcPr>
                  <w:tcW w:w="885" w:type="dxa"/>
                  <w:tcBorders>
                    <w:tl2br w:val="nil"/>
                    <w:tr2bl w:val="nil"/>
                  </w:tcBorders>
                  <w:shd w:val="clear" w:color="auto" w:fill="auto"/>
                  <w:vAlign w:val="center"/>
                </w:tcPr>
                <w:p w14:paraId="4943748F">
                  <w:pPr>
                    <w:keepNext w:val="0"/>
                    <w:keepLines w:val="0"/>
                    <w:widowControl/>
                    <w:suppressLineNumbers w:val="0"/>
                    <w:jc w:val="center"/>
                    <w:rPr>
                      <w:rFonts w:ascii="TimesNewRomanPSMT" w:hAnsi="TimesNewRomanPSMT" w:eastAsia="TimesNewRomanPSMT" w:cs="TimesNewRomanPSMT"/>
                      <w:b/>
                      <w:bCs/>
                      <w:i w:val="0"/>
                      <w:iCs w:val="0"/>
                      <w:color w:val="auto"/>
                      <w:kern w:val="0"/>
                      <w:sz w:val="18"/>
                      <w:szCs w:val="18"/>
                      <w:lang w:val="en-US" w:eastAsia="zh-CN" w:bidi="ar"/>
                    </w:rPr>
                  </w:pPr>
                  <w:r>
                    <w:rPr>
                      <w:rFonts w:ascii="TimesNewRomanPSMT" w:hAnsi="TimesNewRomanPSMT" w:eastAsia="TimesNewRomanPSMT" w:cs="TimesNewRomanPSMT"/>
                      <w:b/>
                      <w:bCs/>
                      <w:i w:val="0"/>
                      <w:iCs w:val="0"/>
                      <w:color w:val="auto"/>
                      <w:kern w:val="0"/>
                      <w:sz w:val="18"/>
                      <w:szCs w:val="18"/>
                      <w:lang w:val="en-US" w:eastAsia="zh-CN" w:bidi="ar"/>
                    </w:rPr>
                    <w:t>PM</w:t>
                  </w:r>
                  <w:r>
                    <w:rPr>
                      <w:rFonts w:ascii="TimesNewRomanPSMT" w:hAnsi="TimesNewRomanPSMT" w:eastAsia="TimesNewRomanPSMT" w:cs="TimesNewRomanPSMT"/>
                      <w:b/>
                      <w:bCs/>
                      <w:i w:val="0"/>
                      <w:iCs w:val="0"/>
                      <w:color w:val="auto"/>
                      <w:kern w:val="0"/>
                      <w:sz w:val="18"/>
                      <w:szCs w:val="18"/>
                      <w:vertAlign w:val="subscript"/>
                      <w:lang w:val="en-US" w:eastAsia="zh-CN" w:bidi="ar"/>
                    </w:rPr>
                    <w:t>10</w:t>
                  </w:r>
                </w:p>
                <w:p w14:paraId="5A8C6C28">
                  <w:pPr>
                    <w:keepNext w:val="0"/>
                    <w:keepLines w:val="0"/>
                    <w:widowControl/>
                    <w:suppressLineNumbers w:val="0"/>
                    <w:jc w:val="center"/>
                    <w:rPr>
                      <w:b/>
                      <w:bCs/>
                      <w:color w:val="auto"/>
                      <w:sz w:val="18"/>
                      <w:szCs w:val="18"/>
                    </w:rPr>
                  </w:pPr>
                  <w:r>
                    <w:rPr>
                      <w:rFonts w:ascii="TimesNewRomanPSMT" w:hAnsi="TimesNewRomanPSMT" w:eastAsia="TimesNewRomanPSMT" w:cs="TimesNewRomanPSMT"/>
                      <w:b/>
                      <w:bCs/>
                      <w:i w:val="0"/>
                      <w:iCs w:val="0"/>
                      <w:color w:val="auto"/>
                      <w:kern w:val="0"/>
                      <w:sz w:val="18"/>
                      <w:szCs w:val="18"/>
                      <w:lang w:val="en-US" w:eastAsia="zh-CN" w:bidi="ar"/>
                    </w:rPr>
                    <w:t>(μg/m</w:t>
                  </w:r>
                  <w:r>
                    <w:rPr>
                      <w:rFonts w:ascii="TimesNewRomanPSMT" w:hAnsi="TimesNewRomanPSMT" w:eastAsia="TimesNewRomanPSMT" w:cs="TimesNewRomanPSMT"/>
                      <w:b/>
                      <w:bCs/>
                      <w:i w:val="0"/>
                      <w:iCs w:val="0"/>
                      <w:color w:val="auto"/>
                      <w:kern w:val="0"/>
                      <w:sz w:val="18"/>
                      <w:szCs w:val="18"/>
                      <w:vertAlign w:val="superscript"/>
                      <w:lang w:val="en-US" w:eastAsia="zh-CN" w:bidi="ar"/>
                    </w:rPr>
                    <w:t>3</w:t>
                  </w:r>
                  <w:r>
                    <w:rPr>
                      <w:rFonts w:ascii="TimesNewRomanPSMT" w:hAnsi="TimesNewRomanPSMT" w:eastAsia="TimesNewRomanPSMT" w:cs="TimesNewRomanPSMT"/>
                      <w:b/>
                      <w:bCs/>
                      <w:i w:val="0"/>
                      <w:iCs w:val="0"/>
                      <w:color w:val="auto"/>
                      <w:kern w:val="0"/>
                      <w:sz w:val="18"/>
                      <w:szCs w:val="18"/>
                      <w:lang w:val="en-US" w:eastAsia="zh-CN" w:bidi="ar"/>
                    </w:rPr>
                    <w:t>)</w:t>
                  </w:r>
                </w:p>
              </w:tc>
              <w:tc>
                <w:tcPr>
                  <w:tcW w:w="870" w:type="dxa"/>
                  <w:tcBorders>
                    <w:tl2br w:val="nil"/>
                    <w:tr2bl w:val="nil"/>
                  </w:tcBorders>
                  <w:shd w:val="clear" w:color="auto" w:fill="auto"/>
                  <w:vAlign w:val="center"/>
                </w:tcPr>
                <w:p w14:paraId="573125CF">
                  <w:pPr>
                    <w:keepNext w:val="0"/>
                    <w:keepLines w:val="0"/>
                    <w:widowControl/>
                    <w:suppressLineNumbers w:val="0"/>
                    <w:jc w:val="center"/>
                    <w:rPr>
                      <w:rFonts w:ascii="TimesNewRomanPSMT" w:hAnsi="TimesNewRomanPSMT" w:eastAsia="TimesNewRomanPSMT" w:cs="TimesNewRomanPSMT"/>
                      <w:b/>
                      <w:bCs/>
                      <w:i w:val="0"/>
                      <w:iCs w:val="0"/>
                      <w:color w:val="auto"/>
                      <w:kern w:val="0"/>
                      <w:sz w:val="18"/>
                      <w:szCs w:val="18"/>
                      <w:lang w:val="en-US" w:eastAsia="zh-CN" w:bidi="ar"/>
                    </w:rPr>
                  </w:pPr>
                  <w:r>
                    <w:rPr>
                      <w:rFonts w:ascii="TimesNewRomanPSMT" w:hAnsi="TimesNewRomanPSMT" w:eastAsia="TimesNewRomanPSMT" w:cs="TimesNewRomanPSMT"/>
                      <w:b/>
                      <w:bCs/>
                      <w:i w:val="0"/>
                      <w:iCs w:val="0"/>
                      <w:color w:val="auto"/>
                      <w:kern w:val="0"/>
                      <w:sz w:val="18"/>
                      <w:szCs w:val="18"/>
                      <w:lang w:val="en-US" w:eastAsia="zh-CN" w:bidi="ar"/>
                    </w:rPr>
                    <w:t>PM</w:t>
                  </w:r>
                  <w:r>
                    <w:rPr>
                      <w:rFonts w:ascii="TimesNewRomanPSMT" w:hAnsi="TimesNewRomanPSMT" w:eastAsia="TimesNewRomanPSMT" w:cs="TimesNewRomanPSMT"/>
                      <w:b/>
                      <w:bCs/>
                      <w:i w:val="0"/>
                      <w:iCs w:val="0"/>
                      <w:color w:val="auto"/>
                      <w:kern w:val="0"/>
                      <w:sz w:val="18"/>
                      <w:szCs w:val="18"/>
                      <w:vertAlign w:val="subscript"/>
                      <w:lang w:val="en-US" w:eastAsia="zh-CN" w:bidi="ar"/>
                    </w:rPr>
                    <w:t>2.5</w:t>
                  </w:r>
                </w:p>
                <w:p w14:paraId="59645788">
                  <w:pPr>
                    <w:keepNext w:val="0"/>
                    <w:keepLines w:val="0"/>
                    <w:widowControl/>
                    <w:suppressLineNumbers w:val="0"/>
                    <w:jc w:val="center"/>
                    <w:rPr>
                      <w:b/>
                      <w:bCs/>
                      <w:color w:val="auto"/>
                      <w:sz w:val="18"/>
                      <w:szCs w:val="18"/>
                    </w:rPr>
                  </w:pPr>
                  <w:r>
                    <w:rPr>
                      <w:rFonts w:ascii="TimesNewRomanPSMT" w:hAnsi="TimesNewRomanPSMT" w:eastAsia="TimesNewRomanPSMT" w:cs="TimesNewRomanPSMT"/>
                      <w:b/>
                      <w:bCs/>
                      <w:i w:val="0"/>
                      <w:iCs w:val="0"/>
                      <w:color w:val="auto"/>
                      <w:kern w:val="0"/>
                      <w:sz w:val="18"/>
                      <w:szCs w:val="18"/>
                      <w:lang w:val="en-US" w:eastAsia="zh-CN" w:bidi="ar"/>
                    </w:rPr>
                    <w:t>(μg/m</w:t>
                  </w:r>
                  <w:r>
                    <w:rPr>
                      <w:rFonts w:ascii="TimesNewRomanPSMT" w:hAnsi="TimesNewRomanPSMT" w:eastAsia="TimesNewRomanPSMT" w:cs="TimesNewRomanPSMT"/>
                      <w:b/>
                      <w:bCs/>
                      <w:i w:val="0"/>
                      <w:iCs w:val="0"/>
                      <w:color w:val="auto"/>
                      <w:kern w:val="0"/>
                      <w:sz w:val="18"/>
                      <w:szCs w:val="18"/>
                      <w:vertAlign w:val="superscript"/>
                      <w:lang w:val="en-US" w:eastAsia="zh-CN" w:bidi="ar"/>
                    </w:rPr>
                    <w:t>3</w:t>
                  </w:r>
                  <w:r>
                    <w:rPr>
                      <w:rFonts w:ascii="TimesNewRomanPSMT" w:hAnsi="TimesNewRomanPSMT" w:eastAsia="TimesNewRomanPSMT" w:cs="TimesNewRomanPSMT"/>
                      <w:b/>
                      <w:bCs/>
                      <w:i w:val="0"/>
                      <w:iCs w:val="0"/>
                      <w:color w:val="auto"/>
                      <w:kern w:val="0"/>
                      <w:sz w:val="18"/>
                      <w:szCs w:val="18"/>
                      <w:lang w:val="en-US" w:eastAsia="zh-CN" w:bidi="ar"/>
                    </w:rPr>
                    <w:t>)</w:t>
                  </w:r>
                </w:p>
              </w:tc>
              <w:tc>
                <w:tcPr>
                  <w:tcW w:w="945" w:type="dxa"/>
                  <w:tcBorders>
                    <w:tl2br w:val="nil"/>
                    <w:tr2bl w:val="nil"/>
                  </w:tcBorders>
                  <w:shd w:val="clear" w:color="auto" w:fill="auto"/>
                  <w:vAlign w:val="center"/>
                </w:tcPr>
                <w:p w14:paraId="25F39366">
                  <w:pPr>
                    <w:keepNext w:val="0"/>
                    <w:keepLines w:val="0"/>
                    <w:widowControl/>
                    <w:suppressLineNumbers w:val="0"/>
                    <w:jc w:val="center"/>
                    <w:rPr>
                      <w:rFonts w:ascii="TimesNewRomanPSMT" w:hAnsi="TimesNewRomanPSMT" w:eastAsia="TimesNewRomanPSMT" w:cs="TimesNewRomanPSMT"/>
                      <w:b/>
                      <w:bCs/>
                      <w:i w:val="0"/>
                      <w:iCs w:val="0"/>
                      <w:color w:val="auto"/>
                      <w:kern w:val="0"/>
                      <w:sz w:val="18"/>
                      <w:szCs w:val="18"/>
                      <w:lang w:val="en-US" w:eastAsia="zh-CN" w:bidi="ar"/>
                    </w:rPr>
                  </w:pPr>
                  <w:r>
                    <w:rPr>
                      <w:rFonts w:ascii="TimesNewRomanPSMT" w:hAnsi="TimesNewRomanPSMT" w:eastAsia="TimesNewRomanPSMT" w:cs="TimesNewRomanPSMT"/>
                      <w:b/>
                      <w:bCs/>
                      <w:i w:val="0"/>
                      <w:iCs w:val="0"/>
                      <w:color w:val="auto"/>
                      <w:kern w:val="0"/>
                      <w:sz w:val="18"/>
                      <w:szCs w:val="18"/>
                      <w:lang w:val="en-US" w:eastAsia="zh-CN" w:bidi="ar"/>
                    </w:rPr>
                    <w:t>CO</w:t>
                  </w:r>
                </w:p>
                <w:p w14:paraId="6A966690">
                  <w:pPr>
                    <w:keepNext w:val="0"/>
                    <w:keepLines w:val="0"/>
                    <w:widowControl/>
                    <w:suppressLineNumbers w:val="0"/>
                    <w:jc w:val="center"/>
                    <w:rPr>
                      <w:b/>
                      <w:bCs/>
                      <w:color w:val="auto"/>
                      <w:sz w:val="18"/>
                      <w:szCs w:val="18"/>
                    </w:rPr>
                  </w:pPr>
                  <w:r>
                    <w:rPr>
                      <w:rFonts w:ascii="TimesNewRomanPSMT" w:hAnsi="TimesNewRomanPSMT" w:eastAsia="TimesNewRomanPSMT" w:cs="TimesNewRomanPSMT"/>
                      <w:b/>
                      <w:bCs/>
                      <w:i w:val="0"/>
                      <w:iCs w:val="0"/>
                      <w:color w:val="auto"/>
                      <w:kern w:val="0"/>
                      <w:sz w:val="18"/>
                      <w:szCs w:val="18"/>
                      <w:lang w:val="en-US" w:eastAsia="zh-CN" w:bidi="ar"/>
                    </w:rPr>
                    <w:t>(mg/m</w:t>
                  </w:r>
                  <w:r>
                    <w:rPr>
                      <w:rFonts w:ascii="TimesNewRomanPSMT" w:hAnsi="TimesNewRomanPSMT" w:eastAsia="TimesNewRomanPSMT" w:cs="TimesNewRomanPSMT"/>
                      <w:b/>
                      <w:bCs/>
                      <w:i w:val="0"/>
                      <w:iCs w:val="0"/>
                      <w:color w:val="auto"/>
                      <w:kern w:val="0"/>
                      <w:sz w:val="18"/>
                      <w:szCs w:val="18"/>
                      <w:vertAlign w:val="superscript"/>
                      <w:lang w:val="en-US" w:eastAsia="zh-CN" w:bidi="ar"/>
                    </w:rPr>
                    <w:t>3</w:t>
                  </w:r>
                  <w:r>
                    <w:rPr>
                      <w:rFonts w:ascii="TimesNewRomanPSMT" w:hAnsi="TimesNewRomanPSMT" w:eastAsia="TimesNewRomanPSMT" w:cs="TimesNewRomanPSMT"/>
                      <w:b/>
                      <w:bCs/>
                      <w:i w:val="0"/>
                      <w:iCs w:val="0"/>
                      <w:color w:val="auto"/>
                      <w:kern w:val="0"/>
                      <w:sz w:val="18"/>
                      <w:szCs w:val="18"/>
                      <w:lang w:val="en-US" w:eastAsia="zh-CN" w:bidi="ar"/>
                    </w:rPr>
                    <w:t>)</w:t>
                  </w:r>
                </w:p>
              </w:tc>
              <w:tc>
                <w:tcPr>
                  <w:tcW w:w="870" w:type="dxa"/>
                  <w:tcBorders>
                    <w:tl2br w:val="nil"/>
                    <w:tr2bl w:val="nil"/>
                  </w:tcBorders>
                  <w:shd w:val="clear" w:color="auto" w:fill="auto"/>
                  <w:vAlign w:val="center"/>
                </w:tcPr>
                <w:p w14:paraId="220871A6">
                  <w:pPr>
                    <w:keepNext w:val="0"/>
                    <w:keepLines w:val="0"/>
                    <w:widowControl/>
                    <w:suppressLineNumbers w:val="0"/>
                    <w:jc w:val="center"/>
                    <w:rPr>
                      <w:rFonts w:ascii="TimesNewRomanPSMT" w:hAnsi="TimesNewRomanPSMT" w:eastAsia="TimesNewRomanPSMT" w:cs="TimesNewRomanPSMT"/>
                      <w:b/>
                      <w:bCs/>
                      <w:i w:val="0"/>
                      <w:iCs w:val="0"/>
                      <w:color w:val="auto"/>
                      <w:kern w:val="0"/>
                      <w:sz w:val="18"/>
                      <w:szCs w:val="18"/>
                      <w:lang w:val="en-US" w:eastAsia="zh-CN" w:bidi="ar"/>
                    </w:rPr>
                  </w:pPr>
                  <w:r>
                    <w:rPr>
                      <w:rFonts w:ascii="TimesNewRomanPSMT" w:hAnsi="TimesNewRomanPSMT" w:eastAsia="TimesNewRomanPSMT" w:cs="TimesNewRomanPSMT"/>
                      <w:b/>
                      <w:bCs/>
                      <w:i w:val="0"/>
                      <w:iCs w:val="0"/>
                      <w:color w:val="auto"/>
                      <w:kern w:val="0"/>
                      <w:sz w:val="18"/>
                      <w:szCs w:val="18"/>
                      <w:lang w:val="en-US" w:eastAsia="zh-CN" w:bidi="ar"/>
                    </w:rPr>
                    <w:t>O</w:t>
                  </w:r>
                  <w:r>
                    <w:rPr>
                      <w:rFonts w:ascii="TimesNewRomanPSMT" w:hAnsi="TimesNewRomanPSMT" w:eastAsia="TimesNewRomanPSMT" w:cs="TimesNewRomanPSMT"/>
                      <w:b/>
                      <w:bCs/>
                      <w:i w:val="0"/>
                      <w:iCs w:val="0"/>
                      <w:color w:val="auto"/>
                      <w:kern w:val="0"/>
                      <w:sz w:val="18"/>
                      <w:szCs w:val="18"/>
                      <w:vertAlign w:val="subscript"/>
                      <w:lang w:val="en-US" w:eastAsia="zh-CN" w:bidi="ar"/>
                    </w:rPr>
                    <w:t>3</w:t>
                  </w:r>
                </w:p>
                <w:p w14:paraId="2A3E8BFA">
                  <w:pPr>
                    <w:keepNext w:val="0"/>
                    <w:keepLines w:val="0"/>
                    <w:widowControl/>
                    <w:suppressLineNumbers w:val="0"/>
                    <w:jc w:val="center"/>
                    <w:rPr>
                      <w:b/>
                      <w:bCs/>
                      <w:color w:val="auto"/>
                      <w:sz w:val="18"/>
                      <w:szCs w:val="18"/>
                    </w:rPr>
                  </w:pPr>
                  <w:r>
                    <w:rPr>
                      <w:rFonts w:ascii="TimesNewRomanPSMT" w:hAnsi="TimesNewRomanPSMT" w:eastAsia="TimesNewRomanPSMT" w:cs="TimesNewRomanPSMT"/>
                      <w:b/>
                      <w:bCs/>
                      <w:i w:val="0"/>
                      <w:iCs w:val="0"/>
                      <w:color w:val="auto"/>
                      <w:kern w:val="0"/>
                      <w:sz w:val="18"/>
                      <w:szCs w:val="18"/>
                      <w:lang w:val="en-US" w:eastAsia="zh-CN" w:bidi="ar"/>
                    </w:rPr>
                    <w:t>(μg/m</w:t>
                  </w:r>
                  <w:r>
                    <w:rPr>
                      <w:rFonts w:ascii="TimesNewRomanPSMT" w:hAnsi="TimesNewRomanPSMT" w:eastAsia="TimesNewRomanPSMT" w:cs="TimesNewRomanPSMT"/>
                      <w:b/>
                      <w:bCs/>
                      <w:i w:val="0"/>
                      <w:iCs w:val="0"/>
                      <w:color w:val="auto"/>
                      <w:kern w:val="0"/>
                      <w:sz w:val="18"/>
                      <w:szCs w:val="18"/>
                      <w:vertAlign w:val="superscript"/>
                      <w:lang w:val="en-US" w:eastAsia="zh-CN" w:bidi="ar"/>
                    </w:rPr>
                    <w:t>3</w:t>
                  </w:r>
                  <w:r>
                    <w:rPr>
                      <w:rFonts w:ascii="TimesNewRomanPSMT" w:hAnsi="TimesNewRomanPSMT" w:eastAsia="TimesNewRomanPSMT" w:cs="TimesNewRomanPSMT"/>
                      <w:b/>
                      <w:bCs/>
                      <w:i w:val="0"/>
                      <w:iCs w:val="0"/>
                      <w:color w:val="auto"/>
                      <w:kern w:val="0"/>
                      <w:sz w:val="18"/>
                      <w:szCs w:val="18"/>
                      <w:lang w:val="en-US" w:eastAsia="zh-CN" w:bidi="ar"/>
                    </w:rPr>
                    <w:t>)</w:t>
                  </w:r>
                </w:p>
              </w:tc>
              <w:tc>
                <w:tcPr>
                  <w:tcW w:w="885" w:type="dxa"/>
                  <w:tcBorders>
                    <w:tl2br w:val="nil"/>
                    <w:tr2bl w:val="nil"/>
                  </w:tcBorders>
                  <w:shd w:val="clear" w:color="auto" w:fill="auto"/>
                  <w:vAlign w:val="center"/>
                </w:tcPr>
                <w:p w14:paraId="179EE777">
                  <w:pPr>
                    <w:keepNext w:val="0"/>
                    <w:keepLines w:val="0"/>
                    <w:widowControl/>
                    <w:suppressLineNumbers w:val="0"/>
                    <w:jc w:val="center"/>
                    <w:rPr>
                      <w:b/>
                      <w:bCs/>
                      <w:color w:val="auto"/>
                      <w:sz w:val="18"/>
                      <w:szCs w:val="18"/>
                    </w:rPr>
                  </w:pPr>
                  <w:r>
                    <w:rPr>
                      <w:rFonts w:ascii="宋体" w:hAnsi="宋体" w:eastAsia="宋体" w:cs="宋体"/>
                      <w:b/>
                      <w:bCs/>
                      <w:i w:val="0"/>
                      <w:iCs w:val="0"/>
                      <w:color w:val="auto"/>
                      <w:kern w:val="0"/>
                      <w:sz w:val="18"/>
                      <w:szCs w:val="18"/>
                      <w:lang w:val="en-US" w:eastAsia="zh-CN" w:bidi="ar"/>
                    </w:rPr>
                    <w:t>达标率</w:t>
                  </w:r>
                  <w:r>
                    <w:rPr>
                      <w:rFonts w:hint="eastAsia" w:ascii="宋体" w:hAnsi="宋体" w:cs="宋体"/>
                      <w:b/>
                      <w:bCs/>
                      <w:i w:val="0"/>
                      <w:iCs w:val="0"/>
                      <w:color w:val="auto"/>
                      <w:kern w:val="0"/>
                      <w:sz w:val="18"/>
                      <w:szCs w:val="18"/>
                      <w:lang w:val="en-US" w:eastAsia="zh-CN" w:bidi="ar"/>
                    </w:rPr>
                    <w:t>（%）</w:t>
                  </w:r>
                </w:p>
              </w:tc>
              <w:tc>
                <w:tcPr>
                  <w:tcW w:w="1065" w:type="dxa"/>
                  <w:tcBorders>
                    <w:tl2br w:val="nil"/>
                    <w:tr2bl w:val="nil"/>
                  </w:tcBorders>
                  <w:shd w:val="clear" w:color="auto" w:fill="auto"/>
                  <w:vAlign w:val="center"/>
                </w:tcPr>
                <w:p w14:paraId="5F390CDD">
                  <w:pPr>
                    <w:keepNext w:val="0"/>
                    <w:keepLines w:val="0"/>
                    <w:widowControl/>
                    <w:suppressLineNumbers w:val="0"/>
                    <w:jc w:val="center"/>
                    <w:rPr>
                      <w:b/>
                      <w:bCs/>
                      <w:color w:val="auto"/>
                      <w:sz w:val="18"/>
                      <w:szCs w:val="18"/>
                    </w:rPr>
                  </w:pPr>
                  <w:r>
                    <w:rPr>
                      <w:rFonts w:ascii="宋体" w:hAnsi="宋体" w:eastAsia="宋体" w:cs="宋体"/>
                      <w:b/>
                      <w:bCs/>
                      <w:i w:val="0"/>
                      <w:iCs w:val="0"/>
                      <w:color w:val="auto"/>
                      <w:kern w:val="0"/>
                      <w:sz w:val="18"/>
                      <w:szCs w:val="18"/>
                      <w:lang w:val="en-US" w:eastAsia="zh-CN" w:bidi="ar"/>
                    </w:rPr>
                    <w:t>首要物污染</w:t>
                  </w:r>
                </w:p>
              </w:tc>
            </w:tr>
            <w:tr w14:paraId="4AA7B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62612259">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1</w:t>
                  </w:r>
                </w:p>
              </w:tc>
              <w:tc>
                <w:tcPr>
                  <w:tcW w:w="675" w:type="dxa"/>
                  <w:tcBorders>
                    <w:tl2br w:val="nil"/>
                    <w:tr2bl w:val="nil"/>
                  </w:tcBorders>
                  <w:shd w:val="clear" w:color="auto" w:fill="auto"/>
                  <w:vAlign w:val="center"/>
                </w:tcPr>
                <w:p w14:paraId="21089B7A">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2.46</w:t>
                  </w:r>
                </w:p>
              </w:tc>
              <w:tc>
                <w:tcPr>
                  <w:tcW w:w="870" w:type="dxa"/>
                  <w:tcBorders>
                    <w:tl2br w:val="nil"/>
                    <w:tr2bl w:val="nil"/>
                  </w:tcBorders>
                  <w:shd w:val="clear" w:color="auto" w:fill="auto"/>
                  <w:vAlign w:val="center"/>
                </w:tcPr>
                <w:p w14:paraId="58B5B07D">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4</w:t>
                  </w:r>
                </w:p>
              </w:tc>
              <w:tc>
                <w:tcPr>
                  <w:tcW w:w="870" w:type="dxa"/>
                  <w:tcBorders>
                    <w:tl2br w:val="nil"/>
                    <w:tr2bl w:val="nil"/>
                  </w:tcBorders>
                  <w:shd w:val="clear" w:color="auto" w:fill="auto"/>
                  <w:vAlign w:val="center"/>
                </w:tcPr>
                <w:p w14:paraId="167E5D73">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12</w:t>
                  </w:r>
                </w:p>
              </w:tc>
              <w:tc>
                <w:tcPr>
                  <w:tcW w:w="885" w:type="dxa"/>
                  <w:tcBorders>
                    <w:tl2br w:val="nil"/>
                    <w:tr2bl w:val="nil"/>
                  </w:tcBorders>
                  <w:shd w:val="clear" w:color="auto" w:fill="auto"/>
                  <w:vAlign w:val="center"/>
                </w:tcPr>
                <w:p w14:paraId="062238E3">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38</w:t>
                  </w:r>
                </w:p>
              </w:tc>
              <w:tc>
                <w:tcPr>
                  <w:tcW w:w="870" w:type="dxa"/>
                  <w:tcBorders>
                    <w:tl2br w:val="nil"/>
                    <w:tr2bl w:val="nil"/>
                  </w:tcBorders>
                  <w:shd w:val="clear" w:color="auto" w:fill="auto"/>
                  <w:vAlign w:val="center"/>
                </w:tcPr>
                <w:p w14:paraId="17948A99">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26</w:t>
                  </w:r>
                </w:p>
              </w:tc>
              <w:tc>
                <w:tcPr>
                  <w:tcW w:w="945" w:type="dxa"/>
                  <w:tcBorders>
                    <w:tl2br w:val="nil"/>
                    <w:tr2bl w:val="nil"/>
                  </w:tcBorders>
                  <w:shd w:val="clear" w:color="auto" w:fill="auto"/>
                  <w:vAlign w:val="center"/>
                </w:tcPr>
                <w:p w14:paraId="1B6803CD">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0.8</w:t>
                  </w:r>
                </w:p>
              </w:tc>
              <w:tc>
                <w:tcPr>
                  <w:tcW w:w="870" w:type="dxa"/>
                  <w:tcBorders>
                    <w:tl2br w:val="nil"/>
                    <w:tr2bl w:val="nil"/>
                  </w:tcBorders>
                  <w:shd w:val="clear" w:color="auto" w:fill="auto"/>
                  <w:vAlign w:val="center"/>
                </w:tcPr>
                <w:p w14:paraId="75C6F659">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98</w:t>
                  </w:r>
                </w:p>
              </w:tc>
              <w:tc>
                <w:tcPr>
                  <w:tcW w:w="885" w:type="dxa"/>
                  <w:tcBorders>
                    <w:tl2br w:val="nil"/>
                    <w:tr2bl w:val="nil"/>
                  </w:tcBorders>
                  <w:shd w:val="clear" w:color="auto" w:fill="auto"/>
                  <w:vAlign w:val="center"/>
                </w:tcPr>
                <w:p w14:paraId="10825D09">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4ECF3ADD">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细颗粒物</w:t>
                  </w:r>
                </w:p>
              </w:tc>
            </w:tr>
            <w:tr w14:paraId="7AB09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5723402A">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2</w:t>
                  </w:r>
                </w:p>
              </w:tc>
              <w:tc>
                <w:tcPr>
                  <w:tcW w:w="675" w:type="dxa"/>
                  <w:tcBorders>
                    <w:tl2br w:val="nil"/>
                    <w:tr2bl w:val="nil"/>
                  </w:tcBorders>
                  <w:shd w:val="clear" w:color="auto" w:fill="auto"/>
                  <w:vAlign w:val="center"/>
                </w:tcPr>
                <w:p w14:paraId="072C97D0">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1.83</w:t>
                  </w:r>
                </w:p>
              </w:tc>
              <w:tc>
                <w:tcPr>
                  <w:tcW w:w="870" w:type="dxa"/>
                  <w:tcBorders>
                    <w:tl2br w:val="nil"/>
                    <w:tr2bl w:val="nil"/>
                  </w:tcBorders>
                  <w:shd w:val="clear" w:color="auto" w:fill="auto"/>
                  <w:vAlign w:val="center"/>
                </w:tcPr>
                <w:p w14:paraId="3C282F7C">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5</w:t>
                  </w:r>
                </w:p>
              </w:tc>
              <w:tc>
                <w:tcPr>
                  <w:tcW w:w="870" w:type="dxa"/>
                  <w:tcBorders>
                    <w:tl2br w:val="nil"/>
                    <w:tr2bl w:val="nil"/>
                  </w:tcBorders>
                  <w:shd w:val="clear" w:color="auto" w:fill="auto"/>
                  <w:vAlign w:val="center"/>
                </w:tcPr>
                <w:p w14:paraId="01503B8E">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6</w:t>
                  </w:r>
                </w:p>
              </w:tc>
              <w:tc>
                <w:tcPr>
                  <w:tcW w:w="885" w:type="dxa"/>
                  <w:tcBorders>
                    <w:tl2br w:val="nil"/>
                    <w:tr2bl w:val="nil"/>
                  </w:tcBorders>
                  <w:shd w:val="clear" w:color="auto" w:fill="auto"/>
                  <w:vAlign w:val="center"/>
                </w:tcPr>
                <w:p w14:paraId="41A814B1">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28</w:t>
                  </w:r>
                </w:p>
              </w:tc>
              <w:tc>
                <w:tcPr>
                  <w:tcW w:w="870" w:type="dxa"/>
                  <w:tcBorders>
                    <w:tl2br w:val="nil"/>
                    <w:tr2bl w:val="nil"/>
                  </w:tcBorders>
                  <w:shd w:val="clear" w:color="auto" w:fill="auto"/>
                  <w:vAlign w:val="center"/>
                </w:tcPr>
                <w:p w14:paraId="741EEB31">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18</w:t>
                  </w:r>
                </w:p>
              </w:tc>
              <w:tc>
                <w:tcPr>
                  <w:tcW w:w="945" w:type="dxa"/>
                  <w:tcBorders>
                    <w:tl2br w:val="nil"/>
                    <w:tr2bl w:val="nil"/>
                  </w:tcBorders>
                  <w:shd w:val="clear" w:color="auto" w:fill="auto"/>
                  <w:vAlign w:val="center"/>
                </w:tcPr>
                <w:p w14:paraId="621C0A4E">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0.6</w:t>
                  </w:r>
                </w:p>
              </w:tc>
              <w:tc>
                <w:tcPr>
                  <w:tcW w:w="870" w:type="dxa"/>
                  <w:tcBorders>
                    <w:tl2br w:val="nil"/>
                    <w:tr2bl w:val="nil"/>
                  </w:tcBorders>
                  <w:shd w:val="clear" w:color="auto" w:fill="auto"/>
                  <w:vAlign w:val="center"/>
                </w:tcPr>
                <w:p w14:paraId="2B1D4BFD">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86</w:t>
                  </w:r>
                </w:p>
              </w:tc>
              <w:tc>
                <w:tcPr>
                  <w:tcW w:w="885" w:type="dxa"/>
                  <w:tcBorders>
                    <w:tl2br w:val="nil"/>
                    <w:tr2bl w:val="nil"/>
                  </w:tcBorders>
                  <w:shd w:val="clear" w:color="auto" w:fill="auto"/>
                  <w:vAlign w:val="center"/>
                </w:tcPr>
                <w:p w14:paraId="626A21FC">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75F0CDF4">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52601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7D2B188F">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3</w:t>
                  </w:r>
                </w:p>
              </w:tc>
              <w:tc>
                <w:tcPr>
                  <w:tcW w:w="675" w:type="dxa"/>
                  <w:tcBorders>
                    <w:tl2br w:val="nil"/>
                    <w:tr2bl w:val="nil"/>
                  </w:tcBorders>
                  <w:shd w:val="clear" w:color="auto" w:fill="auto"/>
                  <w:vAlign w:val="center"/>
                </w:tcPr>
                <w:p w14:paraId="4519BEED">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2.11</w:t>
                  </w:r>
                </w:p>
              </w:tc>
              <w:tc>
                <w:tcPr>
                  <w:tcW w:w="870" w:type="dxa"/>
                  <w:tcBorders>
                    <w:tl2br w:val="nil"/>
                    <w:tr2bl w:val="nil"/>
                  </w:tcBorders>
                  <w:shd w:val="clear" w:color="auto" w:fill="auto"/>
                  <w:vAlign w:val="center"/>
                </w:tcPr>
                <w:p w14:paraId="5D071CF6">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5</w:t>
                  </w:r>
                </w:p>
              </w:tc>
              <w:tc>
                <w:tcPr>
                  <w:tcW w:w="870" w:type="dxa"/>
                  <w:tcBorders>
                    <w:tl2br w:val="nil"/>
                    <w:tr2bl w:val="nil"/>
                  </w:tcBorders>
                  <w:shd w:val="clear" w:color="auto" w:fill="auto"/>
                  <w:vAlign w:val="center"/>
                </w:tcPr>
                <w:p w14:paraId="7F2452AD">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8</w:t>
                  </w:r>
                </w:p>
              </w:tc>
              <w:tc>
                <w:tcPr>
                  <w:tcW w:w="885" w:type="dxa"/>
                  <w:tcBorders>
                    <w:tl2br w:val="nil"/>
                    <w:tr2bl w:val="nil"/>
                  </w:tcBorders>
                  <w:shd w:val="clear" w:color="auto" w:fill="auto"/>
                  <w:vAlign w:val="center"/>
                </w:tcPr>
                <w:p w14:paraId="3640EF9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31</w:t>
                  </w:r>
                </w:p>
              </w:tc>
              <w:tc>
                <w:tcPr>
                  <w:tcW w:w="870" w:type="dxa"/>
                  <w:tcBorders>
                    <w:tl2br w:val="nil"/>
                    <w:tr2bl w:val="nil"/>
                  </w:tcBorders>
                  <w:shd w:val="clear" w:color="auto" w:fill="auto"/>
                  <w:vAlign w:val="center"/>
                </w:tcPr>
                <w:p w14:paraId="624205ED">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18</w:t>
                  </w:r>
                </w:p>
              </w:tc>
              <w:tc>
                <w:tcPr>
                  <w:tcW w:w="945" w:type="dxa"/>
                  <w:tcBorders>
                    <w:tl2br w:val="nil"/>
                    <w:tr2bl w:val="nil"/>
                  </w:tcBorders>
                  <w:shd w:val="clear" w:color="auto" w:fill="auto"/>
                  <w:vAlign w:val="center"/>
                </w:tcPr>
                <w:p w14:paraId="238E2AE7">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0.8</w:t>
                  </w:r>
                </w:p>
              </w:tc>
              <w:tc>
                <w:tcPr>
                  <w:tcW w:w="870" w:type="dxa"/>
                  <w:tcBorders>
                    <w:tl2br w:val="nil"/>
                    <w:tr2bl w:val="nil"/>
                  </w:tcBorders>
                  <w:shd w:val="clear" w:color="auto" w:fill="auto"/>
                  <w:vAlign w:val="center"/>
                </w:tcPr>
                <w:p w14:paraId="0729319D">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108</w:t>
                  </w:r>
                </w:p>
              </w:tc>
              <w:tc>
                <w:tcPr>
                  <w:tcW w:w="885" w:type="dxa"/>
                  <w:tcBorders>
                    <w:tl2br w:val="nil"/>
                    <w:tr2bl w:val="nil"/>
                  </w:tcBorders>
                  <w:shd w:val="clear" w:color="auto" w:fill="auto"/>
                  <w:vAlign w:val="center"/>
                </w:tcPr>
                <w:p w14:paraId="474FD9FF">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41514728">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12F86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1B7BA20F">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4</w:t>
                  </w:r>
                </w:p>
              </w:tc>
              <w:tc>
                <w:tcPr>
                  <w:tcW w:w="675" w:type="dxa"/>
                  <w:tcBorders>
                    <w:tl2br w:val="nil"/>
                    <w:tr2bl w:val="nil"/>
                  </w:tcBorders>
                  <w:shd w:val="clear" w:color="auto" w:fill="auto"/>
                  <w:vAlign w:val="center"/>
                </w:tcPr>
                <w:p w14:paraId="5FE59B92">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1.84</w:t>
                  </w:r>
                </w:p>
              </w:tc>
              <w:tc>
                <w:tcPr>
                  <w:tcW w:w="870" w:type="dxa"/>
                  <w:tcBorders>
                    <w:tl2br w:val="nil"/>
                    <w:tr2bl w:val="nil"/>
                  </w:tcBorders>
                  <w:shd w:val="clear" w:color="auto" w:fill="auto"/>
                  <w:vAlign w:val="center"/>
                </w:tcPr>
                <w:p w14:paraId="5BF09A19">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7</w:t>
                  </w:r>
                </w:p>
              </w:tc>
              <w:tc>
                <w:tcPr>
                  <w:tcW w:w="870" w:type="dxa"/>
                  <w:tcBorders>
                    <w:tl2br w:val="nil"/>
                    <w:tr2bl w:val="nil"/>
                  </w:tcBorders>
                  <w:shd w:val="clear" w:color="auto" w:fill="auto"/>
                  <w:vAlign w:val="center"/>
                </w:tcPr>
                <w:p w14:paraId="67699C5D">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7</w:t>
                  </w:r>
                </w:p>
              </w:tc>
              <w:tc>
                <w:tcPr>
                  <w:tcW w:w="885" w:type="dxa"/>
                  <w:tcBorders>
                    <w:tl2br w:val="nil"/>
                    <w:tr2bl w:val="nil"/>
                  </w:tcBorders>
                  <w:shd w:val="clear" w:color="auto" w:fill="auto"/>
                  <w:vAlign w:val="center"/>
                </w:tcPr>
                <w:p w14:paraId="5E3D9767">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29</w:t>
                  </w:r>
                </w:p>
              </w:tc>
              <w:tc>
                <w:tcPr>
                  <w:tcW w:w="870" w:type="dxa"/>
                  <w:tcBorders>
                    <w:tl2br w:val="nil"/>
                    <w:tr2bl w:val="nil"/>
                  </w:tcBorders>
                  <w:shd w:val="clear" w:color="auto" w:fill="auto"/>
                  <w:vAlign w:val="center"/>
                </w:tcPr>
                <w:p w14:paraId="238B4C43">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13</w:t>
                  </w:r>
                </w:p>
              </w:tc>
              <w:tc>
                <w:tcPr>
                  <w:tcW w:w="945" w:type="dxa"/>
                  <w:tcBorders>
                    <w:tl2br w:val="nil"/>
                    <w:tr2bl w:val="nil"/>
                  </w:tcBorders>
                  <w:shd w:val="clear" w:color="auto" w:fill="auto"/>
                  <w:vAlign w:val="center"/>
                </w:tcPr>
                <w:p w14:paraId="2C0FD475">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0.7</w:t>
                  </w:r>
                </w:p>
              </w:tc>
              <w:tc>
                <w:tcPr>
                  <w:tcW w:w="870" w:type="dxa"/>
                  <w:tcBorders>
                    <w:tl2br w:val="nil"/>
                    <w:tr2bl w:val="nil"/>
                  </w:tcBorders>
                  <w:shd w:val="clear" w:color="auto" w:fill="auto"/>
                  <w:vAlign w:val="center"/>
                </w:tcPr>
                <w:p w14:paraId="3F07BA52">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92</w:t>
                  </w:r>
                </w:p>
              </w:tc>
              <w:tc>
                <w:tcPr>
                  <w:tcW w:w="885" w:type="dxa"/>
                  <w:tcBorders>
                    <w:tl2br w:val="nil"/>
                    <w:tr2bl w:val="nil"/>
                  </w:tcBorders>
                  <w:shd w:val="clear" w:color="auto" w:fill="auto"/>
                  <w:vAlign w:val="center"/>
                </w:tcPr>
                <w:p w14:paraId="253C89B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41731581">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53CC0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0EFDEB89">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5</w:t>
                  </w:r>
                </w:p>
              </w:tc>
              <w:tc>
                <w:tcPr>
                  <w:tcW w:w="675" w:type="dxa"/>
                  <w:tcBorders>
                    <w:tl2br w:val="nil"/>
                    <w:tr2bl w:val="nil"/>
                  </w:tcBorders>
                  <w:shd w:val="clear" w:color="auto" w:fill="auto"/>
                  <w:vAlign w:val="center"/>
                </w:tcPr>
                <w:p w14:paraId="2A0049B1">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1.90</w:t>
                  </w:r>
                </w:p>
              </w:tc>
              <w:tc>
                <w:tcPr>
                  <w:tcW w:w="870" w:type="dxa"/>
                  <w:tcBorders>
                    <w:tl2br w:val="nil"/>
                    <w:tr2bl w:val="nil"/>
                  </w:tcBorders>
                  <w:shd w:val="clear" w:color="auto" w:fill="auto"/>
                  <w:vAlign w:val="center"/>
                </w:tcPr>
                <w:p w14:paraId="6920805C">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4</w:t>
                  </w:r>
                </w:p>
              </w:tc>
              <w:tc>
                <w:tcPr>
                  <w:tcW w:w="870" w:type="dxa"/>
                  <w:tcBorders>
                    <w:tl2br w:val="nil"/>
                    <w:tr2bl w:val="nil"/>
                  </w:tcBorders>
                  <w:shd w:val="clear" w:color="auto" w:fill="auto"/>
                  <w:vAlign w:val="center"/>
                </w:tcPr>
                <w:p w14:paraId="239D4E8B">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7</w:t>
                  </w:r>
                </w:p>
              </w:tc>
              <w:tc>
                <w:tcPr>
                  <w:tcW w:w="885" w:type="dxa"/>
                  <w:tcBorders>
                    <w:tl2br w:val="nil"/>
                    <w:tr2bl w:val="nil"/>
                  </w:tcBorders>
                  <w:shd w:val="clear" w:color="auto" w:fill="auto"/>
                  <w:vAlign w:val="center"/>
                </w:tcPr>
                <w:p w14:paraId="0824065C">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26</w:t>
                  </w:r>
                </w:p>
              </w:tc>
              <w:tc>
                <w:tcPr>
                  <w:tcW w:w="870" w:type="dxa"/>
                  <w:tcBorders>
                    <w:tl2br w:val="nil"/>
                    <w:tr2bl w:val="nil"/>
                  </w:tcBorders>
                  <w:shd w:val="clear" w:color="auto" w:fill="auto"/>
                  <w:vAlign w:val="center"/>
                </w:tcPr>
                <w:p w14:paraId="18FDBF08">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12</w:t>
                  </w:r>
                </w:p>
              </w:tc>
              <w:tc>
                <w:tcPr>
                  <w:tcW w:w="945" w:type="dxa"/>
                  <w:tcBorders>
                    <w:tl2br w:val="nil"/>
                    <w:tr2bl w:val="nil"/>
                  </w:tcBorders>
                  <w:shd w:val="clear" w:color="auto" w:fill="auto"/>
                  <w:vAlign w:val="center"/>
                </w:tcPr>
                <w:p w14:paraId="405A6210">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0.5</w:t>
                  </w:r>
                </w:p>
              </w:tc>
              <w:tc>
                <w:tcPr>
                  <w:tcW w:w="870" w:type="dxa"/>
                  <w:tcBorders>
                    <w:tl2br w:val="nil"/>
                    <w:tr2bl w:val="nil"/>
                  </w:tcBorders>
                  <w:shd w:val="clear" w:color="auto" w:fill="auto"/>
                  <w:vAlign w:val="center"/>
                </w:tcPr>
                <w:p w14:paraId="6E6359BA">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131</w:t>
                  </w:r>
                </w:p>
              </w:tc>
              <w:tc>
                <w:tcPr>
                  <w:tcW w:w="885" w:type="dxa"/>
                  <w:tcBorders>
                    <w:tl2br w:val="nil"/>
                    <w:tr2bl w:val="nil"/>
                  </w:tcBorders>
                  <w:shd w:val="clear" w:color="auto" w:fill="auto"/>
                  <w:vAlign w:val="center"/>
                </w:tcPr>
                <w:p w14:paraId="78BC7849">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32880C91">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46382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24C00603">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6</w:t>
                  </w:r>
                </w:p>
              </w:tc>
              <w:tc>
                <w:tcPr>
                  <w:tcW w:w="675" w:type="dxa"/>
                  <w:tcBorders>
                    <w:tl2br w:val="nil"/>
                    <w:tr2bl w:val="nil"/>
                  </w:tcBorders>
                  <w:shd w:val="clear" w:color="auto" w:fill="auto"/>
                  <w:vAlign w:val="center"/>
                </w:tcPr>
                <w:p w14:paraId="1873F882">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1.08</w:t>
                  </w:r>
                </w:p>
              </w:tc>
              <w:tc>
                <w:tcPr>
                  <w:tcW w:w="870" w:type="dxa"/>
                  <w:tcBorders>
                    <w:tl2br w:val="nil"/>
                    <w:tr2bl w:val="nil"/>
                  </w:tcBorders>
                  <w:shd w:val="clear" w:color="auto" w:fill="auto"/>
                  <w:vAlign w:val="center"/>
                </w:tcPr>
                <w:p w14:paraId="6C4EEF5E">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2</w:t>
                  </w:r>
                </w:p>
              </w:tc>
              <w:tc>
                <w:tcPr>
                  <w:tcW w:w="870" w:type="dxa"/>
                  <w:tcBorders>
                    <w:tl2br w:val="nil"/>
                    <w:tr2bl w:val="nil"/>
                  </w:tcBorders>
                  <w:shd w:val="clear" w:color="auto" w:fill="auto"/>
                  <w:vAlign w:val="center"/>
                </w:tcPr>
                <w:p w14:paraId="74ABD0EF">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5</w:t>
                  </w:r>
                </w:p>
              </w:tc>
              <w:tc>
                <w:tcPr>
                  <w:tcW w:w="885" w:type="dxa"/>
                  <w:tcBorders>
                    <w:tl2br w:val="nil"/>
                    <w:tr2bl w:val="nil"/>
                  </w:tcBorders>
                  <w:shd w:val="clear" w:color="auto" w:fill="auto"/>
                  <w:vAlign w:val="center"/>
                </w:tcPr>
                <w:p w14:paraId="2645E3F5">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16</w:t>
                  </w:r>
                </w:p>
              </w:tc>
              <w:tc>
                <w:tcPr>
                  <w:tcW w:w="870" w:type="dxa"/>
                  <w:tcBorders>
                    <w:tl2br w:val="nil"/>
                    <w:tr2bl w:val="nil"/>
                  </w:tcBorders>
                  <w:shd w:val="clear" w:color="auto" w:fill="auto"/>
                  <w:vAlign w:val="center"/>
                </w:tcPr>
                <w:p w14:paraId="4800BC7F">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7</w:t>
                  </w:r>
                </w:p>
              </w:tc>
              <w:tc>
                <w:tcPr>
                  <w:tcW w:w="945" w:type="dxa"/>
                  <w:tcBorders>
                    <w:tl2br w:val="nil"/>
                    <w:tr2bl w:val="nil"/>
                  </w:tcBorders>
                  <w:shd w:val="clear" w:color="auto" w:fill="auto"/>
                  <w:vAlign w:val="center"/>
                </w:tcPr>
                <w:p w14:paraId="649F6EC2">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0.4</w:t>
                  </w:r>
                </w:p>
              </w:tc>
              <w:tc>
                <w:tcPr>
                  <w:tcW w:w="870" w:type="dxa"/>
                  <w:tcBorders>
                    <w:tl2br w:val="nil"/>
                    <w:tr2bl w:val="nil"/>
                  </w:tcBorders>
                  <w:shd w:val="clear" w:color="auto" w:fill="auto"/>
                  <w:vAlign w:val="center"/>
                </w:tcPr>
                <w:p w14:paraId="7EAB630D">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64</w:t>
                  </w:r>
                </w:p>
              </w:tc>
              <w:tc>
                <w:tcPr>
                  <w:tcW w:w="885" w:type="dxa"/>
                  <w:tcBorders>
                    <w:tl2br w:val="nil"/>
                    <w:tr2bl w:val="nil"/>
                  </w:tcBorders>
                  <w:shd w:val="clear" w:color="auto" w:fill="auto"/>
                  <w:vAlign w:val="center"/>
                </w:tcPr>
                <w:p w14:paraId="3D30641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1D9720EE">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0F1B4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63B1F54D">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7</w:t>
                  </w:r>
                </w:p>
              </w:tc>
              <w:tc>
                <w:tcPr>
                  <w:tcW w:w="675" w:type="dxa"/>
                  <w:tcBorders>
                    <w:tl2br w:val="nil"/>
                    <w:tr2bl w:val="nil"/>
                  </w:tcBorders>
                  <w:shd w:val="clear" w:color="auto" w:fill="auto"/>
                  <w:vAlign w:val="center"/>
                </w:tcPr>
                <w:p w14:paraId="507ABEDC">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1.20</w:t>
                  </w:r>
                </w:p>
              </w:tc>
              <w:tc>
                <w:tcPr>
                  <w:tcW w:w="870" w:type="dxa"/>
                  <w:tcBorders>
                    <w:tl2br w:val="nil"/>
                    <w:tr2bl w:val="nil"/>
                  </w:tcBorders>
                  <w:shd w:val="clear" w:color="auto" w:fill="auto"/>
                  <w:vAlign w:val="center"/>
                </w:tcPr>
                <w:p w14:paraId="4F9BBE6E">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3</w:t>
                  </w:r>
                </w:p>
              </w:tc>
              <w:tc>
                <w:tcPr>
                  <w:tcW w:w="870" w:type="dxa"/>
                  <w:tcBorders>
                    <w:tl2br w:val="nil"/>
                    <w:tr2bl w:val="nil"/>
                  </w:tcBorders>
                  <w:shd w:val="clear" w:color="auto" w:fill="auto"/>
                  <w:vAlign w:val="center"/>
                </w:tcPr>
                <w:p w14:paraId="5FA543B1">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6</w:t>
                  </w:r>
                </w:p>
              </w:tc>
              <w:tc>
                <w:tcPr>
                  <w:tcW w:w="885" w:type="dxa"/>
                  <w:tcBorders>
                    <w:tl2br w:val="nil"/>
                    <w:tr2bl w:val="nil"/>
                  </w:tcBorders>
                  <w:shd w:val="clear" w:color="auto" w:fill="auto"/>
                  <w:vAlign w:val="center"/>
                </w:tcPr>
                <w:p w14:paraId="7DF7702F">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16</w:t>
                  </w:r>
                </w:p>
              </w:tc>
              <w:tc>
                <w:tcPr>
                  <w:tcW w:w="870" w:type="dxa"/>
                  <w:tcBorders>
                    <w:tl2br w:val="nil"/>
                    <w:tr2bl w:val="nil"/>
                  </w:tcBorders>
                  <w:shd w:val="clear" w:color="auto" w:fill="auto"/>
                  <w:vAlign w:val="center"/>
                </w:tcPr>
                <w:p w14:paraId="1F38E2F3">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8</w:t>
                  </w:r>
                </w:p>
              </w:tc>
              <w:tc>
                <w:tcPr>
                  <w:tcW w:w="945" w:type="dxa"/>
                  <w:tcBorders>
                    <w:tl2br w:val="nil"/>
                    <w:tr2bl w:val="nil"/>
                  </w:tcBorders>
                  <w:shd w:val="clear" w:color="auto" w:fill="auto"/>
                  <w:vAlign w:val="center"/>
                </w:tcPr>
                <w:p w14:paraId="75A43F40">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0.4</w:t>
                  </w:r>
                </w:p>
              </w:tc>
              <w:tc>
                <w:tcPr>
                  <w:tcW w:w="870" w:type="dxa"/>
                  <w:tcBorders>
                    <w:tl2br w:val="nil"/>
                    <w:tr2bl w:val="nil"/>
                  </w:tcBorders>
                  <w:shd w:val="clear" w:color="auto" w:fill="auto"/>
                  <w:vAlign w:val="center"/>
                </w:tcPr>
                <w:p w14:paraId="692BC742">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70</w:t>
                  </w:r>
                </w:p>
              </w:tc>
              <w:tc>
                <w:tcPr>
                  <w:tcW w:w="885" w:type="dxa"/>
                  <w:tcBorders>
                    <w:tl2br w:val="nil"/>
                    <w:tr2bl w:val="nil"/>
                  </w:tcBorders>
                  <w:shd w:val="clear" w:color="auto" w:fill="auto"/>
                  <w:vAlign w:val="center"/>
                </w:tcPr>
                <w:p w14:paraId="79218F66">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5D5249CB">
                  <w:pPr>
                    <w:keepNext w:val="0"/>
                    <w:keepLines w:val="0"/>
                    <w:widowControl/>
                    <w:suppressLineNumbers w:val="0"/>
                    <w:jc w:val="center"/>
                    <w:rPr>
                      <w:color w:val="auto"/>
                      <w:sz w:val="18"/>
                      <w:szCs w:val="18"/>
                    </w:rPr>
                  </w:pPr>
                  <w:r>
                    <w:rPr>
                      <w:rFonts w:hint="eastAsia"/>
                      <w:color w:val="auto"/>
                      <w:sz w:val="18"/>
                      <w:szCs w:val="18"/>
                      <w:lang w:val="en-US" w:eastAsia="zh-CN"/>
                    </w:rPr>
                    <w:t>臭氧</w:t>
                  </w:r>
                </w:p>
              </w:tc>
            </w:tr>
            <w:tr w14:paraId="74BE1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3C97C231">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8</w:t>
                  </w:r>
                </w:p>
              </w:tc>
              <w:tc>
                <w:tcPr>
                  <w:tcW w:w="675" w:type="dxa"/>
                  <w:tcBorders>
                    <w:tl2br w:val="nil"/>
                    <w:tr2bl w:val="nil"/>
                  </w:tcBorders>
                  <w:shd w:val="clear" w:color="auto" w:fill="auto"/>
                  <w:vAlign w:val="center"/>
                </w:tcPr>
                <w:p w14:paraId="0A78FA16">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1.45</w:t>
                  </w:r>
                </w:p>
              </w:tc>
              <w:tc>
                <w:tcPr>
                  <w:tcW w:w="870" w:type="dxa"/>
                  <w:tcBorders>
                    <w:tl2br w:val="nil"/>
                    <w:tr2bl w:val="nil"/>
                  </w:tcBorders>
                  <w:shd w:val="clear" w:color="auto" w:fill="auto"/>
                  <w:vAlign w:val="center"/>
                </w:tcPr>
                <w:p w14:paraId="001A39C1">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5</w:t>
                  </w:r>
                </w:p>
              </w:tc>
              <w:tc>
                <w:tcPr>
                  <w:tcW w:w="870" w:type="dxa"/>
                  <w:tcBorders>
                    <w:tl2br w:val="nil"/>
                    <w:tr2bl w:val="nil"/>
                  </w:tcBorders>
                  <w:shd w:val="clear" w:color="auto" w:fill="auto"/>
                  <w:vAlign w:val="center"/>
                </w:tcPr>
                <w:p w14:paraId="5FCF472B">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6</w:t>
                  </w:r>
                </w:p>
              </w:tc>
              <w:tc>
                <w:tcPr>
                  <w:tcW w:w="885" w:type="dxa"/>
                  <w:tcBorders>
                    <w:tl2br w:val="nil"/>
                    <w:tr2bl w:val="nil"/>
                  </w:tcBorders>
                  <w:shd w:val="clear" w:color="auto" w:fill="auto"/>
                  <w:vAlign w:val="center"/>
                </w:tcPr>
                <w:p w14:paraId="7054FC91">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23</w:t>
                  </w:r>
                </w:p>
              </w:tc>
              <w:tc>
                <w:tcPr>
                  <w:tcW w:w="870" w:type="dxa"/>
                  <w:tcBorders>
                    <w:tl2br w:val="nil"/>
                    <w:tr2bl w:val="nil"/>
                  </w:tcBorders>
                  <w:shd w:val="clear" w:color="auto" w:fill="auto"/>
                  <w:vAlign w:val="center"/>
                </w:tcPr>
                <w:p w14:paraId="5C2BBD40">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w:t>
                  </w:r>
                </w:p>
              </w:tc>
              <w:tc>
                <w:tcPr>
                  <w:tcW w:w="945" w:type="dxa"/>
                  <w:tcBorders>
                    <w:tl2br w:val="nil"/>
                    <w:tr2bl w:val="nil"/>
                  </w:tcBorders>
                  <w:shd w:val="clear" w:color="auto" w:fill="auto"/>
                  <w:vAlign w:val="center"/>
                </w:tcPr>
                <w:p w14:paraId="4A07CE26">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0.5</w:t>
                  </w:r>
                </w:p>
              </w:tc>
              <w:tc>
                <w:tcPr>
                  <w:tcW w:w="870" w:type="dxa"/>
                  <w:tcBorders>
                    <w:tl2br w:val="nil"/>
                    <w:tr2bl w:val="nil"/>
                  </w:tcBorders>
                  <w:shd w:val="clear" w:color="auto" w:fill="auto"/>
                  <w:vAlign w:val="center"/>
                </w:tcPr>
                <w:p w14:paraId="17BB2A7E">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77</w:t>
                  </w:r>
                </w:p>
              </w:tc>
              <w:tc>
                <w:tcPr>
                  <w:tcW w:w="885" w:type="dxa"/>
                  <w:tcBorders>
                    <w:tl2br w:val="nil"/>
                    <w:tr2bl w:val="nil"/>
                  </w:tcBorders>
                  <w:shd w:val="clear" w:color="auto" w:fill="auto"/>
                  <w:vAlign w:val="center"/>
                </w:tcPr>
                <w:p w14:paraId="0404C0D2">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4C92B9B9">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0616E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32C56C79">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9</w:t>
                  </w:r>
                </w:p>
              </w:tc>
              <w:tc>
                <w:tcPr>
                  <w:tcW w:w="675" w:type="dxa"/>
                  <w:tcBorders>
                    <w:tl2br w:val="nil"/>
                    <w:tr2bl w:val="nil"/>
                  </w:tcBorders>
                  <w:shd w:val="clear" w:color="auto" w:fill="auto"/>
                  <w:vAlign w:val="center"/>
                </w:tcPr>
                <w:p w14:paraId="10723B7D">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1.12</w:t>
                  </w:r>
                </w:p>
              </w:tc>
              <w:tc>
                <w:tcPr>
                  <w:tcW w:w="870" w:type="dxa"/>
                  <w:tcBorders>
                    <w:tl2br w:val="nil"/>
                    <w:tr2bl w:val="nil"/>
                  </w:tcBorders>
                  <w:shd w:val="clear" w:color="auto" w:fill="auto"/>
                  <w:vAlign w:val="center"/>
                </w:tcPr>
                <w:p w14:paraId="73EDA919">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3</w:t>
                  </w:r>
                </w:p>
              </w:tc>
              <w:tc>
                <w:tcPr>
                  <w:tcW w:w="870" w:type="dxa"/>
                  <w:tcBorders>
                    <w:tl2br w:val="nil"/>
                    <w:tr2bl w:val="nil"/>
                  </w:tcBorders>
                  <w:shd w:val="clear" w:color="auto" w:fill="auto"/>
                  <w:vAlign w:val="center"/>
                </w:tcPr>
                <w:p w14:paraId="40F94149">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5</w:t>
                  </w:r>
                </w:p>
              </w:tc>
              <w:tc>
                <w:tcPr>
                  <w:tcW w:w="885" w:type="dxa"/>
                  <w:tcBorders>
                    <w:tl2br w:val="nil"/>
                    <w:tr2bl w:val="nil"/>
                  </w:tcBorders>
                  <w:shd w:val="clear" w:color="auto" w:fill="auto"/>
                  <w:vAlign w:val="center"/>
                </w:tcPr>
                <w:p w14:paraId="4DC2A34E">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17</w:t>
                  </w:r>
                </w:p>
              </w:tc>
              <w:tc>
                <w:tcPr>
                  <w:tcW w:w="870" w:type="dxa"/>
                  <w:tcBorders>
                    <w:tl2br w:val="nil"/>
                    <w:tr2bl w:val="nil"/>
                  </w:tcBorders>
                  <w:shd w:val="clear" w:color="auto" w:fill="auto"/>
                  <w:vAlign w:val="center"/>
                </w:tcPr>
                <w:p w14:paraId="035B36BA">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8</w:t>
                  </w:r>
                </w:p>
              </w:tc>
              <w:tc>
                <w:tcPr>
                  <w:tcW w:w="945" w:type="dxa"/>
                  <w:tcBorders>
                    <w:tl2br w:val="nil"/>
                    <w:tr2bl w:val="nil"/>
                  </w:tcBorders>
                  <w:shd w:val="clear" w:color="auto" w:fill="auto"/>
                  <w:vAlign w:val="center"/>
                </w:tcPr>
                <w:p w14:paraId="7BF85702">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0.4</w:t>
                  </w:r>
                </w:p>
              </w:tc>
              <w:tc>
                <w:tcPr>
                  <w:tcW w:w="870" w:type="dxa"/>
                  <w:tcBorders>
                    <w:tl2br w:val="nil"/>
                    <w:tr2bl w:val="nil"/>
                  </w:tcBorders>
                  <w:shd w:val="clear" w:color="auto" w:fill="auto"/>
                  <w:vAlign w:val="center"/>
                </w:tcPr>
                <w:p w14:paraId="4DEA3B6C">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61</w:t>
                  </w:r>
                </w:p>
              </w:tc>
              <w:tc>
                <w:tcPr>
                  <w:tcW w:w="885" w:type="dxa"/>
                  <w:tcBorders>
                    <w:tl2br w:val="nil"/>
                    <w:tr2bl w:val="nil"/>
                  </w:tcBorders>
                  <w:shd w:val="clear" w:color="auto" w:fill="auto"/>
                  <w:vAlign w:val="center"/>
                </w:tcPr>
                <w:p w14:paraId="0FA87BDF">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5B6A43D5">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3361C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181A824C">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10</w:t>
                  </w:r>
                </w:p>
              </w:tc>
              <w:tc>
                <w:tcPr>
                  <w:tcW w:w="675" w:type="dxa"/>
                  <w:tcBorders>
                    <w:tl2br w:val="nil"/>
                    <w:tr2bl w:val="nil"/>
                  </w:tcBorders>
                  <w:shd w:val="clear" w:color="auto" w:fill="auto"/>
                  <w:vAlign w:val="center"/>
                </w:tcPr>
                <w:p w14:paraId="487F110F">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1.34</w:t>
                  </w:r>
                </w:p>
              </w:tc>
              <w:tc>
                <w:tcPr>
                  <w:tcW w:w="870" w:type="dxa"/>
                  <w:tcBorders>
                    <w:tl2br w:val="nil"/>
                    <w:tr2bl w:val="nil"/>
                  </w:tcBorders>
                  <w:shd w:val="clear" w:color="auto" w:fill="auto"/>
                  <w:vAlign w:val="center"/>
                </w:tcPr>
                <w:p w14:paraId="31E463B1">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3</w:t>
                  </w:r>
                </w:p>
              </w:tc>
              <w:tc>
                <w:tcPr>
                  <w:tcW w:w="870" w:type="dxa"/>
                  <w:tcBorders>
                    <w:tl2br w:val="nil"/>
                    <w:tr2bl w:val="nil"/>
                  </w:tcBorders>
                  <w:shd w:val="clear" w:color="auto" w:fill="auto"/>
                  <w:vAlign w:val="center"/>
                </w:tcPr>
                <w:p w14:paraId="5A013A8D">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6</w:t>
                  </w:r>
                </w:p>
              </w:tc>
              <w:tc>
                <w:tcPr>
                  <w:tcW w:w="885" w:type="dxa"/>
                  <w:tcBorders>
                    <w:tl2br w:val="nil"/>
                    <w:tr2bl w:val="nil"/>
                  </w:tcBorders>
                  <w:shd w:val="clear" w:color="auto" w:fill="auto"/>
                  <w:vAlign w:val="center"/>
                </w:tcPr>
                <w:p w14:paraId="21356D11">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18</w:t>
                  </w:r>
                </w:p>
              </w:tc>
              <w:tc>
                <w:tcPr>
                  <w:tcW w:w="870" w:type="dxa"/>
                  <w:tcBorders>
                    <w:tl2br w:val="nil"/>
                    <w:tr2bl w:val="nil"/>
                  </w:tcBorders>
                  <w:shd w:val="clear" w:color="auto" w:fill="auto"/>
                  <w:vAlign w:val="center"/>
                </w:tcPr>
                <w:p w14:paraId="24DF297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w:t>
                  </w:r>
                </w:p>
              </w:tc>
              <w:tc>
                <w:tcPr>
                  <w:tcW w:w="945" w:type="dxa"/>
                  <w:tcBorders>
                    <w:tl2br w:val="nil"/>
                    <w:tr2bl w:val="nil"/>
                  </w:tcBorders>
                  <w:shd w:val="clear" w:color="auto" w:fill="auto"/>
                  <w:vAlign w:val="center"/>
                </w:tcPr>
                <w:p w14:paraId="147501D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0.4</w:t>
                  </w:r>
                </w:p>
              </w:tc>
              <w:tc>
                <w:tcPr>
                  <w:tcW w:w="870" w:type="dxa"/>
                  <w:tcBorders>
                    <w:tl2br w:val="nil"/>
                    <w:tr2bl w:val="nil"/>
                  </w:tcBorders>
                  <w:shd w:val="clear" w:color="auto" w:fill="auto"/>
                  <w:vAlign w:val="center"/>
                </w:tcPr>
                <w:p w14:paraId="39BF566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78</w:t>
                  </w:r>
                </w:p>
              </w:tc>
              <w:tc>
                <w:tcPr>
                  <w:tcW w:w="885" w:type="dxa"/>
                  <w:tcBorders>
                    <w:tl2br w:val="nil"/>
                    <w:tr2bl w:val="nil"/>
                  </w:tcBorders>
                  <w:shd w:val="clear" w:color="auto" w:fill="auto"/>
                  <w:vAlign w:val="center"/>
                </w:tcPr>
                <w:p w14:paraId="45FA7323">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1568B449">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臭氧</w:t>
                  </w:r>
                </w:p>
              </w:tc>
            </w:tr>
            <w:tr w14:paraId="1EFB1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398A512A">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11</w:t>
                  </w:r>
                </w:p>
              </w:tc>
              <w:tc>
                <w:tcPr>
                  <w:tcW w:w="675" w:type="dxa"/>
                  <w:tcBorders>
                    <w:tl2br w:val="nil"/>
                    <w:tr2bl w:val="nil"/>
                  </w:tcBorders>
                  <w:shd w:val="clear" w:color="auto" w:fill="auto"/>
                  <w:vAlign w:val="center"/>
                </w:tcPr>
                <w:p w14:paraId="1DA97B2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1.33</w:t>
                  </w:r>
                </w:p>
              </w:tc>
              <w:tc>
                <w:tcPr>
                  <w:tcW w:w="870" w:type="dxa"/>
                  <w:tcBorders>
                    <w:tl2br w:val="nil"/>
                    <w:tr2bl w:val="nil"/>
                  </w:tcBorders>
                  <w:shd w:val="clear" w:color="auto" w:fill="auto"/>
                  <w:vAlign w:val="center"/>
                </w:tcPr>
                <w:p w14:paraId="6A1B63E6">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3</w:t>
                  </w:r>
                </w:p>
              </w:tc>
              <w:tc>
                <w:tcPr>
                  <w:tcW w:w="870" w:type="dxa"/>
                  <w:tcBorders>
                    <w:tl2br w:val="nil"/>
                    <w:tr2bl w:val="nil"/>
                  </w:tcBorders>
                  <w:shd w:val="clear" w:color="auto" w:fill="auto"/>
                  <w:vAlign w:val="center"/>
                </w:tcPr>
                <w:p w14:paraId="2BC1F41F">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6</w:t>
                  </w:r>
                </w:p>
              </w:tc>
              <w:tc>
                <w:tcPr>
                  <w:tcW w:w="885" w:type="dxa"/>
                  <w:tcBorders>
                    <w:tl2br w:val="nil"/>
                    <w:tr2bl w:val="nil"/>
                  </w:tcBorders>
                  <w:shd w:val="clear" w:color="auto" w:fill="auto"/>
                  <w:vAlign w:val="center"/>
                </w:tcPr>
                <w:p w14:paraId="74D5CBE7">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19</w:t>
                  </w:r>
                </w:p>
              </w:tc>
              <w:tc>
                <w:tcPr>
                  <w:tcW w:w="870" w:type="dxa"/>
                  <w:tcBorders>
                    <w:tl2br w:val="nil"/>
                    <w:tr2bl w:val="nil"/>
                  </w:tcBorders>
                  <w:shd w:val="clear" w:color="auto" w:fill="auto"/>
                  <w:vAlign w:val="center"/>
                </w:tcPr>
                <w:p w14:paraId="670ABC20">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w:t>
                  </w:r>
                </w:p>
              </w:tc>
              <w:tc>
                <w:tcPr>
                  <w:tcW w:w="945" w:type="dxa"/>
                  <w:tcBorders>
                    <w:tl2br w:val="nil"/>
                    <w:tr2bl w:val="nil"/>
                  </w:tcBorders>
                  <w:shd w:val="clear" w:color="auto" w:fill="auto"/>
                  <w:vAlign w:val="center"/>
                </w:tcPr>
                <w:p w14:paraId="0C51ACE0">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0.4</w:t>
                  </w:r>
                </w:p>
              </w:tc>
              <w:tc>
                <w:tcPr>
                  <w:tcW w:w="870" w:type="dxa"/>
                  <w:tcBorders>
                    <w:tl2br w:val="nil"/>
                    <w:tr2bl w:val="nil"/>
                  </w:tcBorders>
                  <w:shd w:val="clear" w:color="auto" w:fill="auto"/>
                  <w:vAlign w:val="center"/>
                </w:tcPr>
                <w:p w14:paraId="0CC36423">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75</w:t>
                  </w:r>
                </w:p>
              </w:tc>
              <w:tc>
                <w:tcPr>
                  <w:tcW w:w="885" w:type="dxa"/>
                  <w:tcBorders>
                    <w:tl2br w:val="nil"/>
                    <w:tr2bl w:val="nil"/>
                  </w:tcBorders>
                  <w:shd w:val="clear" w:color="auto" w:fill="auto"/>
                  <w:vAlign w:val="center"/>
                </w:tcPr>
                <w:p w14:paraId="2B4C59F8">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703A0363">
                  <w:pPr>
                    <w:keepNext w:val="0"/>
                    <w:keepLines w:val="0"/>
                    <w:widowControl/>
                    <w:suppressLineNumbers w:val="0"/>
                    <w:jc w:val="center"/>
                    <w:rPr>
                      <w:color w:val="auto"/>
                      <w:sz w:val="18"/>
                      <w:szCs w:val="18"/>
                    </w:rPr>
                  </w:pPr>
                  <w:r>
                    <w:rPr>
                      <w:rFonts w:hint="eastAsia"/>
                      <w:color w:val="auto"/>
                      <w:sz w:val="18"/>
                      <w:szCs w:val="18"/>
                      <w:lang w:val="en-US" w:eastAsia="zh-CN"/>
                    </w:rPr>
                    <w:t>臭氧</w:t>
                  </w:r>
                </w:p>
              </w:tc>
            </w:tr>
            <w:tr w14:paraId="001E4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50" w:type="dxa"/>
                  <w:tcBorders>
                    <w:tl2br w:val="nil"/>
                    <w:tr2bl w:val="nil"/>
                  </w:tcBorders>
                  <w:shd w:val="clear" w:color="auto" w:fill="auto"/>
                  <w:vAlign w:val="center"/>
                </w:tcPr>
                <w:p w14:paraId="22A58112">
                  <w:pPr>
                    <w:keepNext w:val="0"/>
                    <w:keepLines w:val="0"/>
                    <w:widowControl/>
                    <w:suppressLineNumbers w:val="0"/>
                    <w:jc w:val="center"/>
                    <w:rPr>
                      <w:color w:val="auto"/>
                      <w:sz w:val="18"/>
                      <w:szCs w:val="18"/>
                    </w:rPr>
                  </w:pPr>
                  <w:r>
                    <w:rPr>
                      <w:rFonts w:ascii="TimesNewRomanPSMT" w:hAnsi="TimesNewRomanPSMT" w:eastAsia="TimesNewRomanPSMT" w:cs="TimesNewRomanPSMT"/>
                      <w:b w:val="0"/>
                      <w:bCs w:val="0"/>
                      <w:i w:val="0"/>
                      <w:iCs w:val="0"/>
                      <w:color w:val="auto"/>
                      <w:kern w:val="0"/>
                      <w:sz w:val="18"/>
                      <w:szCs w:val="18"/>
                      <w:lang w:val="en-US" w:eastAsia="zh-CN" w:bidi="ar"/>
                    </w:rPr>
                    <w:t>12</w:t>
                  </w:r>
                </w:p>
              </w:tc>
              <w:tc>
                <w:tcPr>
                  <w:tcW w:w="675" w:type="dxa"/>
                  <w:tcBorders>
                    <w:tl2br w:val="nil"/>
                    <w:tr2bl w:val="nil"/>
                  </w:tcBorders>
                  <w:shd w:val="clear" w:color="auto" w:fill="auto"/>
                  <w:vAlign w:val="center"/>
                </w:tcPr>
                <w:p w14:paraId="2F7B3B7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2.20</w:t>
                  </w:r>
                </w:p>
              </w:tc>
              <w:tc>
                <w:tcPr>
                  <w:tcW w:w="870" w:type="dxa"/>
                  <w:tcBorders>
                    <w:tl2br w:val="nil"/>
                    <w:tr2bl w:val="nil"/>
                  </w:tcBorders>
                  <w:shd w:val="clear" w:color="auto" w:fill="auto"/>
                  <w:vAlign w:val="center"/>
                </w:tcPr>
                <w:p w14:paraId="6D551226">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3</w:t>
                  </w:r>
                </w:p>
              </w:tc>
              <w:tc>
                <w:tcPr>
                  <w:tcW w:w="870" w:type="dxa"/>
                  <w:tcBorders>
                    <w:tl2br w:val="nil"/>
                    <w:tr2bl w:val="nil"/>
                  </w:tcBorders>
                  <w:shd w:val="clear" w:color="auto" w:fill="auto"/>
                  <w:vAlign w:val="center"/>
                </w:tcPr>
                <w:p w14:paraId="1767D999">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11</w:t>
                  </w:r>
                </w:p>
              </w:tc>
              <w:tc>
                <w:tcPr>
                  <w:tcW w:w="885" w:type="dxa"/>
                  <w:tcBorders>
                    <w:tl2br w:val="nil"/>
                    <w:tr2bl w:val="nil"/>
                  </w:tcBorders>
                  <w:shd w:val="clear" w:color="auto" w:fill="auto"/>
                  <w:vAlign w:val="center"/>
                </w:tcPr>
                <w:p w14:paraId="5081F453">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38</w:t>
                  </w:r>
                </w:p>
              </w:tc>
              <w:tc>
                <w:tcPr>
                  <w:tcW w:w="870" w:type="dxa"/>
                  <w:tcBorders>
                    <w:tl2br w:val="nil"/>
                    <w:tr2bl w:val="nil"/>
                  </w:tcBorders>
                  <w:shd w:val="clear" w:color="auto" w:fill="auto"/>
                  <w:vAlign w:val="center"/>
                </w:tcPr>
                <w:p w14:paraId="228CE644">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23</w:t>
                  </w:r>
                </w:p>
              </w:tc>
              <w:tc>
                <w:tcPr>
                  <w:tcW w:w="945" w:type="dxa"/>
                  <w:tcBorders>
                    <w:tl2br w:val="nil"/>
                    <w:tr2bl w:val="nil"/>
                  </w:tcBorders>
                  <w:shd w:val="clear" w:color="auto" w:fill="auto"/>
                  <w:vAlign w:val="center"/>
                </w:tcPr>
                <w:p w14:paraId="1DFEC7A0">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0.6</w:t>
                  </w:r>
                </w:p>
              </w:tc>
              <w:tc>
                <w:tcPr>
                  <w:tcW w:w="870" w:type="dxa"/>
                  <w:tcBorders>
                    <w:tl2br w:val="nil"/>
                    <w:tr2bl w:val="nil"/>
                  </w:tcBorders>
                  <w:shd w:val="clear" w:color="auto" w:fill="auto"/>
                  <w:vAlign w:val="center"/>
                </w:tcPr>
                <w:p w14:paraId="1F2F4438">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84</w:t>
                  </w:r>
                </w:p>
              </w:tc>
              <w:tc>
                <w:tcPr>
                  <w:tcW w:w="885" w:type="dxa"/>
                  <w:tcBorders>
                    <w:tl2br w:val="nil"/>
                    <w:tr2bl w:val="nil"/>
                  </w:tcBorders>
                  <w:shd w:val="clear" w:color="auto" w:fill="auto"/>
                  <w:vAlign w:val="center"/>
                </w:tcPr>
                <w:p w14:paraId="006F121C">
                  <w:pPr>
                    <w:keepNext w:val="0"/>
                    <w:keepLines w:val="0"/>
                    <w:widowControl/>
                    <w:suppressLineNumbers w:val="0"/>
                    <w:jc w:val="center"/>
                    <w:rPr>
                      <w:rFonts w:hint="default" w:eastAsia="宋体"/>
                      <w:color w:val="auto"/>
                      <w:sz w:val="18"/>
                      <w:szCs w:val="18"/>
                      <w:lang w:val="en-US" w:eastAsia="zh-CN"/>
                    </w:rPr>
                  </w:pPr>
                  <w:r>
                    <w:rPr>
                      <w:rFonts w:hint="eastAsia"/>
                      <w:color w:val="auto"/>
                      <w:sz w:val="18"/>
                      <w:szCs w:val="18"/>
                      <w:lang w:val="en-US" w:eastAsia="zh-CN"/>
                    </w:rPr>
                    <w:t>100</w:t>
                  </w:r>
                </w:p>
              </w:tc>
              <w:tc>
                <w:tcPr>
                  <w:tcW w:w="1065" w:type="dxa"/>
                  <w:tcBorders>
                    <w:tl2br w:val="nil"/>
                    <w:tr2bl w:val="nil"/>
                  </w:tcBorders>
                  <w:shd w:val="clear" w:color="auto" w:fill="auto"/>
                  <w:vAlign w:val="center"/>
                </w:tcPr>
                <w:p w14:paraId="56D9BBD8">
                  <w:pPr>
                    <w:keepNext w:val="0"/>
                    <w:keepLines w:val="0"/>
                    <w:widowControl/>
                    <w:suppressLineNumbers w:val="0"/>
                    <w:jc w:val="center"/>
                    <w:rPr>
                      <w:rFonts w:hint="eastAsia" w:eastAsia="宋体"/>
                      <w:color w:val="auto"/>
                      <w:sz w:val="18"/>
                      <w:szCs w:val="18"/>
                      <w:lang w:val="en-US" w:eastAsia="zh-CN"/>
                    </w:rPr>
                  </w:pPr>
                  <w:r>
                    <w:rPr>
                      <w:rFonts w:hint="eastAsia"/>
                      <w:color w:val="auto"/>
                      <w:sz w:val="18"/>
                      <w:szCs w:val="18"/>
                      <w:lang w:val="en-US" w:eastAsia="zh-CN"/>
                    </w:rPr>
                    <w:t>细颗粒物</w:t>
                  </w:r>
                </w:p>
              </w:tc>
            </w:tr>
          </w:tbl>
          <w:p w14:paraId="0C76330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szCs w:val="24"/>
              </w:rPr>
            </w:pPr>
            <w:r>
              <w:rPr>
                <w:rFonts w:hint="eastAsia" w:hAnsi="宋体"/>
                <w:color w:val="auto"/>
                <w:sz w:val="24"/>
                <w:szCs w:val="24"/>
                <w:lang w:val="en-US" w:eastAsia="zh-CN"/>
              </w:rPr>
              <w:t>大田县2024年环境空气质量达标天数比例100%，</w:t>
            </w:r>
            <w:r>
              <w:rPr>
                <w:rFonts w:hAnsi="宋体"/>
                <w:color w:val="auto"/>
                <w:kern w:val="0"/>
                <w:sz w:val="24"/>
                <w:szCs w:val="24"/>
              </w:rPr>
              <w:t>项目所在地属于达标区。</w:t>
            </w:r>
          </w:p>
          <w:p w14:paraId="7648674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eastAsiaTheme="minorEastAsia"/>
                <w:color w:val="auto"/>
                <w:kern w:val="0"/>
                <w:sz w:val="24"/>
                <w:szCs w:val="24"/>
              </w:rPr>
            </w:pPr>
            <w:r>
              <w:rPr>
                <w:rFonts w:hint="eastAsia" w:hAnsiTheme="minorEastAsia" w:eastAsiaTheme="minorEastAsia"/>
                <w:color w:val="auto"/>
                <w:kern w:val="0"/>
                <w:sz w:val="24"/>
                <w:szCs w:val="24"/>
              </w:rPr>
              <w:t>（3）补充</w:t>
            </w:r>
            <w:r>
              <w:rPr>
                <w:rFonts w:hAnsiTheme="minorEastAsia" w:eastAsiaTheme="minorEastAsia"/>
                <w:color w:val="auto"/>
                <w:kern w:val="0"/>
                <w:sz w:val="24"/>
                <w:szCs w:val="24"/>
              </w:rPr>
              <w:t>监测</w:t>
            </w:r>
          </w:p>
          <w:p w14:paraId="52AFEC7C">
            <w:pPr>
              <w:pStyle w:val="132"/>
              <w:jc w:val="left"/>
              <w:rPr>
                <w:color w:val="auto"/>
                <w:sz w:val="24"/>
                <w:szCs w:val="24"/>
              </w:rPr>
            </w:pPr>
            <w:r>
              <w:rPr>
                <w:rFonts w:hAnsi="宋体"/>
                <w:color w:val="auto"/>
                <w:sz w:val="24"/>
                <w:szCs w:val="24"/>
              </w:rPr>
              <w:t>为了解项目所在区域大气环境质量现状，</w:t>
            </w:r>
            <w:r>
              <w:rPr>
                <w:rFonts w:hint="eastAsia" w:hAnsi="宋体"/>
                <w:color w:val="auto"/>
                <w:sz w:val="24"/>
                <w:szCs w:val="24"/>
                <w:lang w:val="en-US" w:eastAsia="zh-CN"/>
              </w:rPr>
              <w:t>评价单位引用《大田菲得美机械装备加工项目环境影响报告表》（见附件八）中环境空气补充监测数据（检测时间：2024年11月27～29日，建设单位：福建省厚德检测技术有限公司，报告编号：HDHJ（2024）120406）。</w:t>
            </w:r>
            <w:r>
              <w:rPr>
                <w:rFonts w:hint="eastAsia" w:hAnsi="宋体"/>
                <w:color w:val="auto"/>
                <w:sz w:val="24"/>
                <w:szCs w:val="24"/>
              </w:rPr>
              <w:t>监测结果见表3-</w:t>
            </w:r>
            <w:r>
              <w:rPr>
                <w:rFonts w:hint="eastAsia" w:hAnsi="宋体"/>
                <w:color w:val="auto"/>
                <w:sz w:val="24"/>
                <w:szCs w:val="24"/>
                <w:lang w:val="en-US" w:eastAsia="zh-CN"/>
              </w:rPr>
              <w:t>3</w:t>
            </w:r>
            <w:r>
              <w:rPr>
                <w:rFonts w:hint="eastAsia" w:hAnsi="宋体"/>
                <w:color w:val="auto"/>
                <w:sz w:val="24"/>
                <w:szCs w:val="24"/>
              </w:rPr>
              <w:t>。</w:t>
            </w:r>
          </w:p>
          <w:p w14:paraId="42102019">
            <w:pPr>
              <w:pStyle w:val="13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hAnsi="宋体"/>
                <w:b/>
                <w:color w:val="auto"/>
                <w:sz w:val="24"/>
                <w:szCs w:val="24"/>
              </w:rPr>
            </w:pPr>
            <w:bookmarkStart w:id="18" w:name="_Ref498634522"/>
            <w:r>
              <w:rPr>
                <w:rFonts w:hAnsi="宋体"/>
                <w:b/>
                <w:color w:val="auto"/>
                <w:sz w:val="24"/>
                <w:szCs w:val="24"/>
              </w:rPr>
              <w:t>表</w:t>
            </w:r>
            <w:r>
              <w:rPr>
                <w:rFonts w:hint="eastAsia"/>
                <w:b/>
                <w:color w:val="auto"/>
                <w:sz w:val="24"/>
                <w:szCs w:val="24"/>
              </w:rPr>
              <w:t>3-</w:t>
            </w:r>
            <w:r>
              <w:rPr>
                <w:rFonts w:hint="eastAsia"/>
                <w:b/>
                <w:color w:val="auto"/>
                <w:sz w:val="24"/>
                <w:szCs w:val="24"/>
                <w:lang w:val="en-US" w:eastAsia="zh-CN"/>
              </w:rPr>
              <w:t>3</w:t>
            </w:r>
            <w:r>
              <w:rPr>
                <w:b/>
                <w:color w:val="auto"/>
                <w:sz w:val="24"/>
                <w:szCs w:val="24"/>
              </w:rPr>
              <w:t xml:space="preserve">  </w:t>
            </w:r>
            <w:bookmarkEnd w:id="18"/>
            <w:r>
              <w:rPr>
                <w:rFonts w:hAnsi="宋体"/>
                <w:b/>
                <w:color w:val="auto"/>
                <w:sz w:val="24"/>
                <w:szCs w:val="24"/>
              </w:rPr>
              <w:t>环境空气</w:t>
            </w:r>
            <w:r>
              <w:rPr>
                <w:rFonts w:hint="eastAsia" w:hAnsi="宋体"/>
                <w:b/>
                <w:color w:val="auto"/>
                <w:sz w:val="24"/>
                <w:szCs w:val="24"/>
                <w:lang w:val="en-US" w:eastAsia="zh-CN"/>
              </w:rPr>
              <w:t>监测</w:t>
            </w:r>
            <w:r>
              <w:rPr>
                <w:rFonts w:hAnsi="宋体"/>
                <w:b/>
                <w:color w:val="auto"/>
                <w:sz w:val="24"/>
                <w:szCs w:val="24"/>
              </w:rPr>
              <w:t>结果</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63"/>
              <w:gridCol w:w="1309"/>
              <w:gridCol w:w="1586"/>
              <w:gridCol w:w="1086"/>
              <w:gridCol w:w="1773"/>
              <w:gridCol w:w="1414"/>
            </w:tblGrid>
            <w:tr w14:paraId="35CEE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49" w:type="pct"/>
                  <w:vMerge w:val="restart"/>
                  <w:tcMar>
                    <w:top w:w="15" w:type="dxa"/>
                    <w:left w:w="15" w:type="dxa"/>
                    <w:right w:w="15" w:type="dxa"/>
                  </w:tcMar>
                  <w:vAlign w:val="center"/>
                </w:tcPr>
                <w:p w14:paraId="7FAC2AC2">
                  <w:pPr>
                    <w:widowControl/>
                    <w:jc w:val="center"/>
                    <w:textAlignment w:val="center"/>
                    <w:rPr>
                      <w:b/>
                      <w:bCs/>
                      <w:color w:val="auto"/>
                      <w:sz w:val="21"/>
                      <w:szCs w:val="21"/>
                    </w:rPr>
                  </w:pPr>
                  <w:r>
                    <w:rPr>
                      <w:b/>
                      <w:bCs/>
                      <w:color w:val="auto"/>
                      <w:sz w:val="21"/>
                      <w:szCs w:val="21"/>
                    </w:rPr>
                    <w:t>采样点位</w:t>
                  </w:r>
                </w:p>
              </w:tc>
              <w:tc>
                <w:tcPr>
                  <w:tcW w:w="776" w:type="pct"/>
                  <w:vMerge w:val="restart"/>
                  <w:tcMar>
                    <w:top w:w="15" w:type="dxa"/>
                    <w:left w:w="15" w:type="dxa"/>
                    <w:right w:w="15" w:type="dxa"/>
                  </w:tcMar>
                  <w:vAlign w:val="center"/>
                </w:tcPr>
                <w:p w14:paraId="0AF13FDA">
                  <w:pPr>
                    <w:widowControl/>
                    <w:jc w:val="center"/>
                    <w:textAlignment w:val="center"/>
                    <w:rPr>
                      <w:b/>
                      <w:bCs/>
                      <w:color w:val="auto"/>
                      <w:sz w:val="21"/>
                      <w:szCs w:val="21"/>
                    </w:rPr>
                  </w:pPr>
                  <w:r>
                    <w:rPr>
                      <w:b/>
                      <w:bCs/>
                      <w:color w:val="auto"/>
                      <w:kern w:val="0"/>
                      <w:sz w:val="21"/>
                      <w:szCs w:val="21"/>
                    </w:rPr>
                    <w:t>采样日期</w:t>
                  </w:r>
                </w:p>
              </w:tc>
              <w:tc>
                <w:tcPr>
                  <w:tcW w:w="940" w:type="pct"/>
                  <w:vMerge w:val="restart"/>
                  <w:shd w:val="clear" w:color="auto" w:fill="auto"/>
                  <w:tcMar>
                    <w:top w:w="15" w:type="dxa"/>
                    <w:left w:w="15" w:type="dxa"/>
                    <w:right w:w="15" w:type="dxa"/>
                  </w:tcMar>
                  <w:vAlign w:val="center"/>
                </w:tcPr>
                <w:p w14:paraId="60D71392">
                  <w:pPr>
                    <w:widowControl/>
                    <w:jc w:val="center"/>
                    <w:textAlignment w:val="center"/>
                    <w:rPr>
                      <w:rFonts w:hint="eastAsia"/>
                      <w:b/>
                      <w:bCs/>
                      <w:color w:val="auto"/>
                      <w:sz w:val="21"/>
                      <w:szCs w:val="21"/>
                      <w:lang w:val="en-US" w:eastAsia="zh-CN"/>
                    </w:rPr>
                  </w:pPr>
                  <w:r>
                    <w:rPr>
                      <w:rFonts w:hint="eastAsia"/>
                      <w:b/>
                      <w:bCs/>
                      <w:color w:val="auto"/>
                      <w:sz w:val="21"/>
                      <w:szCs w:val="21"/>
                      <w:lang w:val="en-US" w:eastAsia="zh-CN"/>
                    </w:rPr>
                    <w:t>检测结果最大值</w:t>
                  </w:r>
                </w:p>
                <w:p w14:paraId="642B4CE9">
                  <w:pPr>
                    <w:widowControl/>
                    <w:jc w:val="center"/>
                    <w:textAlignment w:val="center"/>
                    <w:rPr>
                      <w:rFonts w:hint="default" w:eastAsia="宋体"/>
                      <w:b/>
                      <w:bCs/>
                      <w:color w:val="auto"/>
                      <w:sz w:val="21"/>
                      <w:szCs w:val="21"/>
                      <w:lang w:val="en-US" w:eastAsia="zh-CN"/>
                    </w:rPr>
                  </w:pPr>
                  <w:r>
                    <w:rPr>
                      <w:rFonts w:hint="eastAsia"/>
                      <w:b/>
                      <w:bCs/>
                      <w:color w:val="auto"/>
                      <w:sz w:val="21"/>
                      <w:szCs w:val="21"/>
                      <w:lang w:val="en-US" w:eastAsia="zh-CN"/>
                    </w:rPr>
                    <w:t>（mg/m³）</w:t>
                  </w:r>
                </w:p>
              </w:tc>
              <w:tc>
                <w:tcPr>
                  <w:tcW w:w="644" w:type="pct"/>
                  <w:vMerge w:val="restart"/>
                  <w:tcMar>
                    <w:top w:w="15" w:type="dxa"/>
                    <w:left w:w="15" w:type="dxa"/>
                    <w:right w:w="15" w:type="dxa"/>
                  </w:tcMar>
                  <w:vAlign w:val="center"/>
                </w:tcPr>
                <w:p w14:paraId="6C3261C1">
                  <w:pPr>
                    <w:widowControl/>
                    <w:jc w:val="center"/>
                    <w:textAlignment w:val="center"/>
                    <w:rPr>
                      <w:rFonts w:hint="default" w:eastAsia="宋体"/>
                      <w:b/>
                      <w:bCs/>
                      <w:color w:val="auto"/>
                      <w:kern w:val="0"/>
                      <w:sz w:val="21"/>
                      <w:szCs w:val="21"/>
                      <w:lang w:val="en-US" w:eastAsia="zh-CN"/>
                    </w:rPr>
                  </w:pPr>
                  <w:r>
                    <w:rPr>
                      <w:b/>
                      <w:bCs/>
                      <w:color w:val="auto"/>
                      <w:kern w:val="0"/>
                      <w:sz w:val="21"/>
                      <w:szCs w:val="21"/>
                    </w:rPr>
                    <w:t>评价</w:t>
                  </w:r>
                  <w:r>
                    <w:rPr>
                      <w:rFonts w:hint="eastAsia"/>
                      <w:b/>
                      <w:bCs/>
                      <w:color w:val="auto"/>
                      <w:kern w:val="0"/>
                      <w:sz w:val="21"/>
                      <w:szCs w:val="21"/>
                      <w:lang w:val="en-US" w:eastAsia="zh-CN"/>
                    </w:rPr>
                    <w:t>标准</w:t>
                  </w:r>
                  <w:r>
                    <w:rPr>
                      <w:rFonts w:hint="eastAsia"/>
                      <w:b/>
                      <w:bCs/>
                      <w:color w:val="auto"/>
                      <w:sz w:val="21"/>
                      <w:szCs w:val="21"/>
                      <w:lang w:val="en-US" w:eastAsia="zh-CN"/>
                    </w:rPr>
                    <w:t>（mg/m³）</w:t>
                  </w:r>
                  <w:r>
                    <w:rPr>
                      <w:rFonts w:hint="eastAsia"/>
                      <w:b/>
                      <w:bCs/>
                      <w:color w:val="auto"/>
                      <w:kern w:val="0"/>
                      <w:sz w:val="21"/>
                      <w:szCs w:val="21"/>
                      <w:lang w:val="en-US" w:eastAsia="zh-CN"/>
                    </w:rPr>
                    <w:t xml:space="preserve"> </w:t>
                  </w:r>
                </w:p>
              </w:tc>
              <w:tc>
                <w:tcPr>
                  <w:tcW w:w="1889" w:type="pct"/>
                  <w:gridSpan w:val="2"/>
                  <w:tcMar>
                    <w:top w:w="15" w:type="dxa"/>
                    <w:left w:w="15" w:type="dxa"/>
                    <w:right w:w="15" w:type="dxa"/>
                  </w:tcMar>
                  <w:vAlign w:val="center"/>
                </w:tcPr>
                <w:p w14:paraId="63DD2485">
                  <w:pPr>
                    <w:widowControl/>
                    <w:jc w:val="center"/>
                    <w:textAlignment w:val="center"/>
                    <w:rPr>
                      <w:b/>
                      <w:bCs/>
                      <w:color w:val="auto"/>
                      <w:kern w:val="0"/>
                      <w:sz w:val="21"/>
                      <w:szCs w:val="21"/>
                    </w:rPr>
                  </w:pPr>
                  <w:r>
                    <w:rPr>
                      <w:b/>
                      <w:bCs/>
                      <w:color w:val="auto"/>
                      <w:kern w:val="0"/>
                      <w:sz w:val="21"/>
                      <w:szCs w:val="21"/>
                    </w:rPr>
                    <w:t>评价结果</w:t>
                  </w:r>
                </w:p>
              </w:tc>
            </w:tr>
            <w:tr w14:paraId="760EC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49" w:type="pct"/>
                  <w:vMerge w:val="continue"/>
                  <w:tcMar>
                    <w:top w:w="15" w:type="dxa"/>
                    <w:left w:w="15" w:type="dxa"/>
                    <w:right w:w="15" w:type="dxa"/>
                  </w:tcMar>
                  <w:vAlign w:val="center"/>
                </w:tcPr>
                <w:p w14:paraId="5CD23157">
                  <w:pPr>
                    <w:jc w:val="center"/>
                    <w:rPr>
                      <w:b/>
                      <w:bCs/>
                      <w:color w:val="auto"/>
                      <w:sz w:val="21"/>
                      <w:szCs w:val="21"/>
                    </w:rPr>
                  </w:pPr>
                </w:p>
              </w:tc>
              <w:tc>
                <w:tcPr>
                  <w:tcW w:w="776" w:type="pct"/>
                  <w:vMerge w:val="continue"/>
                  <w:tcMar>
                    <w:top w:w="15" w:type="dxa"/>
                    <w:left w:w="15" w:type="dxa"/>
                    <w:right w:w="15" w:type="dxa"/>
                  </w:tcMar>
                  <w:vAlign w:val="center"/>
                </w:tcPr>
                <w:p w14:paraId="06BBAF19">
                  <w:pPr>
                    <w:jc w:val="center"/>
                    <w:rPr>
                      <w:b/>
                      <w:bCs/>
                      <w:color w:val="auto"/>
                      <w:sz w:val="21"/>
                      <w:szCs w:val="21"/>
                    </w:rPr>
                  </w:pPr>
                </w:p>
              </w:tc>
              <w:tc>
                <w:tcPr>
                  <w:tcW w:w="940" w:type="pct"/>
                  <w:vMerge w:val="continue"/>
                  <w:shd w:val="clear" w:color="auto" w:fill="auto"/>
                  <w:tcMar>
                    <w:top w:w="15" w:type="dxa"/>
                    <w:left w:w="15" w:type="dxa"/>
                    <w:right w:w="15" w:type="dxa"/>
                  </w:tcMar>
                  <w:vAlign w:val="center"/>
                </w:tcPr>
                <w:p w14:paraId="69391969">
                  <w:pPr>
                    <w:widowControl/>
                    <w:jc w:val="center"/>
                    <w:textAlignment w:val="center"/>
                    <w:rPr>
                      <w:b/>
                      <w:bCs/>
                      <w:color w:val="auto"/>
                      <w:kern w:val="0"/>
                      <w:sz w:val="21"/>
                      <w:szCs w:val="21"/>
                    </w:rPr>
                  </w:pPr>
                </w:p>
              </w:tc>
              <w:tc>
                <w:tcPr>
                  <w:tcW w:w="644" w:type="pct"/>
                  <w:vMerge w:val="continue"/>
                  <w:tcMar>
                    <w:top w:w="15" w:type="dxa"/>
                    <w:left w:w="15" w:type="dxa"/>
                    <w:right w:w="15" w:type="dxa"/>
                  </w:tcMar>
                  <w:vAlign w:val="center"/>
                </w:tcPr>
                <w:p w14:paraId="24491A2E">
                  <w:pPr>
                    <w:widowControl/>
                    <w:jc w:val="center"/>
                    <w:textAlignment w:val="center"/>
                    <w:rPr>
                      <w:b/>
                      <w:bCs/>
                      <w:color w:val="auto"/>
                      <w:sz w:val="21"/>
                      <w:szCs w:val="21"/>
                      <w:lang w:bidi="zh-CN"/>
                    </w:rPr>
                  </w:pPr>
                </w:p>
              </w:tc>
              <w:tc>
                <w:tcPr>
                  <w:tcW w:w="1051" w:type="pct"/>
                  <w:shd w:val="clear" w:color="auto" w:fill="auto"/>
                  <w:tcMar>
                    <w:top w:w="15" w:type="dxa"/>
                    <w:left w:w="15" w:type="dxa"/>
                    <w:right w:w="15" w:type="dxa"/>
                  </w:tcMar>
                  <w:vAlign w:val="center"/>
                </w:tcPr>
                <w:p w14:paraId="36FD523B">
                  <w:pPr>
                    <w:widowControl/>
                    <w:jc w:val="center"/>
                    <w:textAlignment w:val="center"/>
                    <w:rPr>
                      <w:rFonts w:ascii="Times New Roman" w:hAnsi="Times New Roman" w:eastAsia="宋体" w:cs="Times New Roman"/>
                      <w:b/>
                      <w:bCs/>
                      <w:color w:val="auto"/>
                      <w:kern w:val="2"/>
                      <w:sz w:val="21"/>
                      <w:szCs w:val="21"/>
                      <w:lang w:val="en-US" w:eastAsia="zh-CN" w:bidi="zh-CN"/>
                    </w:rPr>
                  </w:pPr>
                  <w:r>
                    <w:rPr>
                      <w:b/>
                      <w:bCs/>
                      <w:color w:val="auto"/>
                      <w:sz w:val="21"/>
                      <w:szCs w:val="21"/>
                      <w:lang w:bidi="zh-CN"/>
                    </w:rPr>
                    <w:t>最大浓度占标率</w:t>
                  </w:r>
                </w:p>
              </w:tc>
              <w:tc>
                <w:tcPr>
                  <w:tcW w:w="837" w:type="pct"/>
                  <w:tcMar>
                    <w:top w:w="15" w:type="dxa"/>
                    <w:left w:w="15" w:type="dxa"/>
                    <w:right w:w="15" w:type="dxa"/>
                  </w:tcMar>
                  <w:vAlign w:val="center"/>
                </w:tcPr>
                <w:p w14:paraId="06AEAC25">
                  <w:pPr>
                    <w:widowControl/>
                    <w:jc w:val="center"/>
                    <w:textAlignment w:val="center"/>
                    <w:rPr>
                      <w:b/>
                      <w:bCs/>
                      <w:color w:val="auto"/>
                      <w:kern w:val="0"/>
                      <w:sz w:val="21"/>
                      <w:szCs w:val="21"/>
                    </w:rPr>
                  </w:pPr>
                  <w:r>
                    <w:rPr>
                      <w:b/>
                      <w:bCs/>
                      <w:color w:val="auto"/>
                      <w:kern w:val="0"/>
                      <w:sz w:val="21"/>
                      <w:szCs w:val="21"/>
                    </w:rPr>
                    <w:t>达标情况</w:t>
                  </w:r>
                </w:p>
              </w:tc>
            </w:tr>
            <w:tr w14:paraId="4E4E0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49" w:type="pct"/>
                  <w:tcMar>
                    <w:top w:w="15" w:type="dxa"/>
                    <w:left w:w="15" w:type="dxa"/>
                    <w:right w:w="15" w:type="dxa"/>
                  </w:tcMar>
                  <w:vAlign w:val="center"/>
                </w:tcPr>
                <w:p w14:paraId="2F78CBC9">
                  <w:pPr>
                    <w:widowControl/>
                    <w:jc w:val="center"/>
                    <w:textAlignment w:val="center"/>
                    <w:rPr>
                      <w:rFonts w:hint="default"/>
                      <w:color w:val="auto"/>
                      <w:sz w:val="21"/>
                      <w:szCs w:val="21"/>
                      <w:lang w:val="en-US"/>
                    </w:rPr>
                  </w:pPr>
                  <w:r>
                    <w:rPr>
                      <w:rFonts w:hint="eastAsia" w:hAnsi="宋体"/>
                      <w:color w:val="auto"/>
                      <w:sz w:val="21"/>
                      <w:szCs w:val="21"/>
                      <w:lang w:val="en-US" w:eastAsia="zh-CN"/>
                    </w:rPr>
                    <w:t>菲得美机械装备加工项目场址</w:t>
                  </w:r>
                </w:p>
              </w:tc>
              <w:tc>
                <w:tcPr>
                  <w:tcW w:w="776" w:type="pct"/>
                  <w:tcMar>
                    <w:top w:w="15" w:type="dxa"/>
                    <w:left w:w="15" w:type="dxa"/>
                    <w:right w:w="15" w:type="dxa"/>
                  </w:tcMar>
                  <w:vAlign w:val="center"/>
                </w:tcPr>
                <w:p w14:paraId="482E9D7C">
                  <w:pPr>
                    <w:jc w:val="center"/>
                    <w:rPr>
                      <w:rFonts w:hint="default" w:eastAsia="宋体"/>
                      <w:color w:val="auto"/>
                      <w:sz w:val="21"/>
                      <w:szCs w:val="21"/>
                      <w:lang w:val="en-US" w:eastAsia="zh-CN"/>
                    </w:rPr>
                  </w:pPr>
                  <w:r>
                    <w:rPr>
                      <w:color w:val="auto"/>
                      <w:sz w:val="21"/>
                      <w:szCs w:val="21"/>
                    </w:rPr>
                    <w:t>202</w:t>
                  </w:r>
                  <w:r>
                    <w:rPr>
                      <w:rFonts w:hint="eastAsia"/>
                      <w:color w:val="auto"/>
                      <w:sz w:val="21"/>
                      <w:szCs w:val="21"/>
                      <w:lang w:val="en-US" w:eastAsia="zh-CN"/>
                    </w:rPr>
                    <w:t>4</w:t>
                  </w:r>
                  <w:r>
                    <w:rPr>
                      <w:color w:val="auto"/>
                      <w:sz w:val="21"/>
                      <w:szCs w:val="21"/>
                    </w:rPr>
                    <w:t>年</w:t>
                  </w:r>
                  <w:r>
                    <w:rPr>
                      <w:rFonts w:hint="eastAsia"/>
                      <w:color w:val="auto"/>
                      <w:sz w:val="21"/>
                      <w:szCs w:val="21"/>
                      <w:lang w:val="en-US" w:eastAsia="zh-CN"/>
                    </w:rPr>
                    <w:t>11</w:t>
                  </w:r>
                  <w:r>
                    <w:rPr>
                      <w:color w:val="auto"/>
                      <w:sz w:val="21"/>
                      <w:szCs w:val="21"/>
                    </w:rPr>
                    <w:t>月</w:t>
                  </w:r>
                  <w:r>
                    <w:rPr>
                      <w:rFonts w:hint="eastAsia"/>
                      <w:color w:val="auto"/>
                      <w:sz w:val="21"/>
                      <w:szCs w:val="21"/>
                      <w:lang w:val="en-US" w:eastAsia="zh-CN"/>
                    </w:rPr>
                    <w:t>27</w:t>
                  </w:r>
                  <w:r>
                    <w:rPr>
                      <w:color w:val="auto"/>
                      <w:sz w:val="21"/>
                      <w:szCs w:val="21"/>
                    </w:rPr>
                    <w:t>日</w:t>
                  </w:r>
                  <w:r>
                    <w:rPr>
                      <w:rFonts w:hint="eastAsia"/>
                      <w:color w:val="auto"/>
                      <w:sz w:val="21"/>
                      <w:szCs w:val="21"/>
                      <w:lang w:val="en-US" w:eastAsia="zh-CN"/>
                    </w:rPr>
                    <w:t>~29日</w:t>
                  </w:r>
                </w:p>
              </w:tc>
              <w:tc>
                <w:tcPr>
                  <w:tcW w:w="940" w:type="pct"/>
                  <w:shd w:val="clear" w:color="auto" w:fill="auto"/>
                  <w:tcMar>
                    <w:top w:w="15" w:type="dxa"/>
                    <w:left w:w="15" w:type="dxa"/>
                    <w:right w:w="15" w:type="dxa"/>
                  </w:tcMar>
                  <w:vAlign w:val="center"/>
                </w:tcPr>
                <w:p w14:paraId="3F5C721E">
                  <w:pPr>
                    <w:widowControl/>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0.088</w:t>
                  </w:r>
                </w:p>
              </w:tc>
              <w:tc>
                <w:tcPr>
                  <w:tcW w:w="644" w:type="pct"/>
                  <w:tcMar>
                    <w:top w:w="15" w:type="dxa"/>
                    <w:left w:w="15" w:type="dxa"/>
                    <w:right w:w="15" w:type="dxa"/>
                  </w:tcMar>
                  <w:vAlign w:val="center"/>
                </w:tcPr>
                <w:p w14:paraId="10206B87">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0.3</w:t>
                  </w:r>
                </w:p>
              </w:tc>
              <w:tc>
                <w:tcPr>
                  <w:tcW w:w="1051" w:type="pct"/>
                  <w:tcMar>
                    <w:top w:w="15" w:type="dxa"/>
                    <w:left w:w="15" w:type="dxa"/>
                    <w:right w:w="15" w:type="dxa"/>
                  </w:tcMar>
                  <w:vAlign w:val="center"/>
                </w:tcPr>
                <w:p w14:paraId="468DBC9C">
                  <w:pPr>
                    <w:widowControl/>
                    <w:jc w:val="center"/>
                    <w:textAlignment w:val="bottom"/>
                    <w:rPr>
                      <w:rFonts w:hint="default" w:eastAsia="宋体"/>
                      <w:color w:val="auto"/>
                      <w:sz w:val="21"/>
                      <w:szCs w:val="21"/>
                      <w:lang w:val="en-US" w:eastAsia="zh-CN"/>
                    </w:rPr>
                  </w:pPr>
                  <w:r>
                    <w:rPr>
                      <w:rFonts w:hint="eastAsia"/>
                      <w:color w:val="auto"/>
                      <w:sz w:val="21"/>
                      <w:szCs w:val="21"/>
                      <w:lang w:val="en-US" w:eastAsia="zh-CN"/>
                    </w:rPr>
                    <w:t>29.3%</w:t>
                  </w:r>
                </w:p>
              </w:tc>
              <w:tc>
                <w:tcPr>
                  <w:tcW w:w="837" w:type="pct"/>
                  <w:tcMar>
                    <w:top w:w="15" w:type="dxa"/>
                    <w:left w:w="15" w:type="dxa"/>
                    <w:right w:w="15" w:type="dxa"/>
                  </w:tcMar>
                  <w:vAlign w:val="center"/>
                </w:tcPr>
                <w:p w14:paraId="24F46186">
                  <w:pPr>
                    <w:widowControl/>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达标</w:t>
                  </w:r>
                </w:p>
              </w:tc>
            </w:tr>
          </w:tbl>
          <w:p w14:paraId="0D015387">
            <w:pPr>
              <w:spacing w:before="120" w:beforeLines="50" w:line="360" w:lineRule="auto"/>
              <w:ind w:firstLine="480" w:firstLineChars="200"/>
              <w:rPr>
                <w:rFonts w:hAnsiTheme="minorEastAsia" w:eastAsiaTheme="minorEastAsia"/>
                <w:color w:val="auto"/>
                <w:sz w:val="24"/>
                <w:szCs w:val="24"/>
              </w:rPr>
            </w:pPr>
            <w:r>
              <w:rPr>
                <w:rFonts w:hAnsiTheme="minorEastAsia" w:eastAsiaTheme="minorEastAsia"/>
                <w:bCs/>
                <w:color w:val="auto"/>
                <w:kern w:val="0"/>
                <w:sz w:val="24"/>
                <w:szCs w:val="24"/>
              </w:rPr>
              <w:t>由表</w:t>
            </w:r>
            <w:r>
              <w:rPr>
                <w:rFonts w:hint="eastAsia" w:hAnsiTheme="minorEastAsia" w:eastAsiaTheme="minorEastAsia"/>
                <w:bCs/>
                <w:color w:val="auto"/>
                <w:kern w:val="0"/>
                <w:sz w:val="24"/>
                <w:szCs w:val="24"/>
              </w:rPr>
              <w:t>3-</w:t>
            </w:r>
            <w:r>
              <w:rPr>
                <w:rFonts w:hint="eastAsia" w:hAnsiTheme="minorEastAsia" w:eastAsiaTheme="minorEastAsia"/>
                <w:bCs/>
                <w:color w:val="auto"/>
                <w:kern w:val="0"/>
                <w:sz w:val="24"/>
                <w:szCs w:val="24"/>
                <w:lang w:val="en-US" w:eastAsia="zh-CN"/>
              </w:rPr>
              <w:t>1</w:t>
            </w:r>
            <w:r>
              <w:rPr>
                <w:rFonts w:hAnsiTheme="minorEastAsia" w:eastAsiaTheme="minorEastAsia"/>
                <w:bCs/>
                <w:color w:val="auto"/>
                <w:kern w:val="0"/>
                <w:sz w:val="24"/>
                <w:szCs w:val="24"/>
              </w:rPr>
              <w:t>统计结果可知，项目所在区域</w:t>
            </w:r>
            <w:r>
              <w:rPr>
                <w:rFonts w:hint="eastAsia" w:hAnsiTheme="minorEastAsia" w:eastAsiaTheme="minorEastAsia"/>
                <w:bCs/>
                <w:color w:val="auto"/>
                <w:kern w:val="0"/>
                <w:sz w:val="24"/>
                <w:szCs w:val="24"/>
              </w:rPr>
              <w:t>菲得美机械装备加工项目场址</w:t>
            </w:r>
            <w:r>
              <w:rPr>
                <w:rFonts w:hAnsiTheme="minorEastAsia" w:eastAsiaTheme="minorEastAsia"/>
                <w:bCs/>
                <w:color w:val="auto"/>
                <w:kern w:val="0"/>
                <w:sz w:val="24"/>
                <w:szCs w:val="24"/>
              </w:rPr>
              <w:t>TSP的</w:t>
            </w:r>
            <w:r>
              <w:rPr>
                <w:rFonts w:hint="eastAsia"/>
                <w:color w:val="auto"/>
                <w:sz w:val="24"/>
                <w:szCs w:val="24"/>
              </w:rPr>
              <w:t>24小时平均浓度值</w:t>
            </w:r>
            <w:r>
              <w:rPr>
                <w:rFonts w:hAnsiTheme="minorEastAsia" w:eastAsiaTheme="minorEastAsia"/>
                <w:bCs/>
                <w:color w:val="auto"/>
                <w:kern w:val="0"/>
                <w:sz w:val="24"/>
                <w:szCs w:val="24"/>
              </w:rPr>
              <w:t>满足</w:t>
            </w:r>
            <w:r>
              <w:rPr>
                <w:rFonts w:hint="eastAsia"/>
                <w:color w:val="auto"/>
                <w:sz w:val="24"/>
                <w:szCs w:val="24"/>
              </w:rPr>
              <w:t>《环境空气质量标准》（GB3095-2012）及其修改单中的二级标准</w:t>
            </w:r>
            <w:r>
              <w:rPr>
                <w:rFonts w:hAnsiTheme="minorEastAsia" w:eastAsiaTheme="minorEastAsia"/>
                <w:bCs/>
                <w:color w:val="auto"/>
                <w:kern w:val="0"/>
                <w:sz w:val="24"/>
                <w:szCs w:val="24"/>
              </w:rPr>
              <w:t>限值要求，</w:t>
            </w:r>
            <w:r>
              <w:rPr>
                <w:rFonts w:hint="eastAsia"/>
                <w:color w:val="auto"/>
                <w:sz w:val="24"/>
                <w:szCs w:val="24"/>
              </w:rPr>
              <w:t>即≤0.3mg/m</w:t>
            </w:r>
            <w:r>
              <w:rPr>
                <w:rFonts w:hint="eastAsia"/>
                <w:color w:val="auto"/>
                <w:sz w:val="24"/>
                <w:szCs w:val="24"/>
                <w:vertAlign w:val="superscript"/>
              </w:rPr>
              <w:t>3</w:t>
            </w:r>
            <w:r>
              <w:rPr>
                <w:rFonts w:hint="eastAsia"/>
                <w:color w:val="auto"/>
                <w:sz w:val="24"/>
                <w:szCs w:val="24"/>
              </w:rPr>
              <w:t>，</w:t>
            </w:r>
            <w:r>
              <w:rPr>
                <w:rFonts w:hAnsiTheme="minorEastAsia" w:eastAsiaTheme="minorEastAsia"/>
                <w:bCs/>
                <w:color w:val="auto"/>
                <w:kern w:val="0"/>
                <w:sz w:val="24"/>
                <w:szCs w:val="24"/>
              </w:rPr>
              <w:t>表明评价区域</w:t>
            </w:r>
            <w:r>
              <w:rPr>
                <w:rFonts w:hint="eastAsia"/>
                <w:color w:val="auto"/>
                <w:sz w:val="24"/>
                <w:szCs w:val="24"/>
              </w:rPr>
              <w:t>环境质量现状良好</w:t>
            </w:r>
            <w:r>
              <w:rPr>
                <w:rFonts w:hAnsiTheme="minorEastAsia" w:eastAsiaTheme="minorEastAsia"/>
                <w:color w:val="auto"/>
                <w:sz w:val="24"/>
                <w:szCs w:val="24"/>
              </w:rPr>
              <w:t>。</w:t>
            </w:r>
          </w:p>
          <w:p w14:paraId="3D02C403">
            <w:pPr>
              <w:pStyle w:val="16"/>
              <w:rPr>
                <w:color w:val="auto"/>
              </w:rPr>
            </w:pPr>
            <w:r>
              <w:rPr>
                <w:color w:val="auto"/>
              </w:rPr>
              <w:drawing>
                <wp:anchor distT="0" distB="0" distL="114300" distR="114300" simplePos="0" relativeHeight="251667456" behindDoc="0" locked="0" layoutInCell="1" allowOverlap="1">
                  <wp:simplePos x="0" y="0"/>
                  <wp:positionH relativeFrom="column">
                    <wp:posOffset>4704715</wp:posOffset>
                  </wp:positionH>
                  <wp:positionV relativeFrom="paragraph">
                    <wp:posOffset>25400</wp:posOffset>
                  </wp:positionV>
                  <wp:extent cx="581025" cy="692150"/>
                  <wp:effectExtent l="0" t="0" r="9525" b="12700"/>
                  <wp:wrapNone/>
                  <wp:docPr id="1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
                          <pic:cNvPicPr>
                            <a:picLocks noChangeAspect="1"/>
                          </pic:cNvPicPr>
                        </pic:nvPicPr>
                        <pic:blipFill>
                          <a:blip r:embed="rId11"/>
                          <a:stretch>
                            <a:fillRect/>
                          </a:stretch>
                        </pic:blipFill>
                        <pic:spPr>
                          <a:xfrm>
                            <a:off x="0" y="0"/>
                            <a:ext cx="581025" cy="692150"/>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99695</wp:posOffset>
                      </wp:positionH>
                      <wp:positionV relativeFrom="paragraph">
                        <wp:posOffset>3802380</wp:posOffset>
                      </wp:positionV>
                      <wp:extent cx="1080135" cy="53975"/>
                      <wp:effectExtent l="5080" t="0" r="19685" b="22225"/>
                      <wp:wrapNone/>
                      <wp:docPr id="89" name="任意多边形 89"/>
                      <wp:cNvGraphicFramePr/>
                      <a:graphic xmlns:a="http://schemas.openxmlformats.org/drawingml/2006/main">
                        <a:graphicData uri="http://schemas.microsoft.com/office/word/2010/wordprocessingShape">
                          <wps:wsp>
                            <wps:cNvSpPr/>
                            <wps:spPr>
                              <a:xfrm>
                                <a:off x="3765550" y="6443345"/>
                                <a:ext cx="1080135" cy="53975"/>
                              </a:xfrm>
                              <a:custGeom>
                                <a:avLst/>
                                <a:gdLst>
                                  <a:gd name="connsiteX0" fmla="*/ 0 w 1855"/>
                                  <a:gd name="connsiteY0" fmla="*/ 13 h 177"/>
                                  <a:gd name="connsiteX1" fmla="*/ 0 w 1855"/>
                                  <a:gd name="connsiteY1" fmla="*/ 177 h 177"/>
                                  <a:gd name="connsiteX2" fmla="*/ 1855 w 1855"/>
                                  <a:gd name="connsiteY2" fmla="*/ 177 h 177"/>
                                  <a:gd name="connsiteX3" fmla="*/ 1855 w 1855"/>
                                  <a:gd name="connsiteY3" fmla="*/ 0 h 177"/>
                                </a:gdLst>
                                <a:ahLst/>
                                <a:cxnLst>
                                  <a:cxn ang="0">
                                    <a:pos x="connsiteX0" y="connsiteY0"/>
                                  </a:cxn>
                                  <a:cxn ang="0">
                                    <a:pos x="connsiteX1" y="connsiteY1"/>
                                  </a:cxn>
                                  <a:cxn ang="0">
                                    <a:pos x="connsiteX2" y="connsiteY2"/>
                                  </a:cxn>
                                  <a:cxn ang="0">
                                    <a:pos x="connsiteX3" y="connsiteY3"/>
                                  </a:cxn>
                                </a:cxnLst>
                                <a:rect l="l" t="t" r="r" b="b"/>
                                <a:pathLst>
                                  <a:path w="1855" h="177">
                                    <a:moveTo>
                                      <a:pt x="0" y="13"/>
                                    </a:moveTo>
                                    <a:lnTo>
                                      <a:pt x="0" y="177"/>
                                    </a:lnTo>
                                    <a:lnTo>
                                      <a:pt x="1855" y="177"/>
                                    </a:lnTo>
                                    <a:lnTo>
                                      <a:pt x="1855" y="0"/>
                                    </a:ln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85pt;margin-top:299.4pt;height:4.25pt;width:85.05pt;z-index:251661312;mso-width-relative:page;mso-height-relative:page;" filled="f" stroked="t" coordsize="1855,177" o:gfxdata="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mpaDf2QAAAAoBAAAPAAAAAAAAAAEAIAAAACIAAABkcnMvZG93bnJldi54bWxQ&#10;SwECFAAUAAAACACHTuJANNxigNoCAAA9BwAADgAAAAAAAAABACAAAAAoAQAAZHJzL2Uyb0RvYy54&#10;bWxQSwUGAAAAAAYABgBZAQAAdAYAAAAA&#10;" path="m0,13l0,177,1855,177,1855,0e">
                      <v:path o:connectlocs="0,3964;0,53975;1080135,53975;1080135,0" o:connectangles="0,0,0,0"/>
                      <v:fill on="f" focussize="0,0"/>
                      <v:stroke weight="0.5pt" color="#000000 [3213]"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15875</wp:posOffset>
                      </wp:positionH>
                      <wp:positionV relativeFrom="paragraph">
                        <wp:posOffset>2976880</wp:posOffset>
                      </wp:positionV>
                      <wp:extent cx="1376680" cy="945515"/>
                      <wp:effectExtent l="4445" t="4445" r="9525" b="21590"/>
                      <wp:wrapNone/>
                      <wp:docPr id="88" name="文本框 88"/>
                      <wp:cNvGraphicFramePr/>
                      <a:graphic xmlns:a="http://schemas.openxmlformats.org/drawingml/2006/main">
                        <a:graphicData uri="http://schemas.microsoft.com/office/word/2010/wordprocessingShape">
                          <wps:wsp>
                            <wps:cNvSpPr txBox="1"/>
                            <wps:spPr>
                              <a:xfrm>
                                <a:off x="1376045" y="7092950"/>
                                <a:ext cx="1376680" cy="945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63B2EA">
                                  <w:pPr>
                                    <w:keepNext w:val="0"/>
                                    <w:keepLines w:val="0"/>
                                    <w:pageBreakBefore w:val="0"/>
                                    <w:widowControl w:val="0"/>
                                    <w:kinsoku/>
                                    <w:wordWrap/>
                                    <w:overflowPunct/>
                                    <w:topLinePunct w:val="0"/>
                                    <w:bidi w:val="0"/>
                                    <w:adjustRightInd/>
                                    <w:snapToGrid/>
                                    <w:spacing w:line="0" w:lineRule="atLeast"/>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图例</w:t>
                                  </w:r>
                                </w:p>
                                <w:p w14:paraId="6D75EE30">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default" w:ascii="Times New Roman" w:hAnsi="Times New Roman" w:cs="Times New Roman"/>
                                      <w:sz w:val="18"/>
                                      <w:szCs w:val="18"/>
                                      <w:lang w:val="en-US" w:eastAsia="zh-CN"/>
                                    </w:rPr>
                                  </w:pPr>
                                  <w:r>
                                    <w:rPr>
                                      <w:rFonts w:hint="default" w:ascii="Times New Roman" w:hAnsi="Times New Roman" w:cs="Times New Roman"/>
                                      <w:b/>
                                      <w:bCs/>
                                      <w:color w:val="FF0000"/>
                                      <w:sz w:val="18"/>
                                      <w:szCs w:val="18"/>
                                      <w:lang w:val="en-US" w:eastAsia="zh-CN"/>
                                    </w:rPr>
                                    <w:sym w:font="Wingdings 2" w:char="00A3"/>
                                  </w:r>
                                  <w:r>
                                    <w:rPr>
                                      <w:rFonts w:hint="default" w:ascii="Times New Roman" w:hAnsi="Times New Roman" w:cs="Times New Roman"/>
                                      <w:sz w:val="18"/>
                                      <w:szCs w:val="18"/>
                                      <w:lang w:val="en-US" w:eastAsia="zh-CN"/>
                                    </w:rPr>
                                    <w:t>：</w:t>
                                  </w:r>
                                  <w:r>
                                    <w:rPr>
                                      <w:rFonts w:hint="eastAsia" w:cs="Times New Roman"/>
                                      <w:sz w:val="18"/>
                                      <w:szCs w:val="18"/>
                                      <w:lang w:val="en-US" w:eastAsia="zh-CN"/>
                                    </w:rPr>
                                    <w:t>本项目</w:t>
                                  </w:r>
                                </w:p>
                                <w:p w14:paraId="73607BA3">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color w:val="FFFF00"/>
                                      <w:sz w:val="18"/>
                                      <w:szCs w:val="18"/>
                                      <w:lang w:val="en-US" w:eastAsia="zh-CN"/>
                                    </w:rPr>
                                    <w:t>〇</w:t>
                                  </w:r>
                                  <w:r>
                                    <w:rPr>
                                      <w:rFonts w:hint="default" w:ascii="Times New Roman" w:hAnsi="Times New Roman" w:eastAsia="宋体" w:cs="Times New Roman"/>
                                      <w:sz w:val="18"/>
                                      <w:szCs w:val="18"/>
                                      <w:lang w:val="en-US" w:eastAsia="zh-CN"/>
                                    </w:rPr>
                                    <w:t>：</w:t>
                                  </w:r>
                                  <w:r>
                                    <w:rPr>
                                      <w:rFonts w:hint="eastAsia" w:cs="Times New Roman"/>
                                      <w:sz w:val="18"/>
                                      <w:szCs w:val="18"/>
                                      <w:lang w:val="en-US" w:eastAsia="zh-CN"/>
                                    </w:rPr>
                                    <w:t>引用大气监测</w:t>
                                  </w:r>
                                  <w:r>
                                    <w:rPr>
                                      <w:rFonts w:hint="default" w:ascii="Times New Roman" w:hAnsi="Times New Roman" w:eastAsia="宋体" w:cs="Times New Roman"/>
                                      <w:sz w:val="18"/>
                                      <w:szCs w:val="18"/>
                                      <w:lang w:val="en-US" w:eastAsia="zh-CN"/>
                                    </w:rPr>
                                    <w:t>点位</w:t>
                                  </w:r>
                                </w:p>
                                <w:p w14:paraId="4BE3B7D4">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比例尺</w:t>
                                  </w:r>
                                </w:p>
                                <w:p w14:paraId="0A636E8F">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0     </w:t>
                                  </w:r>
                                  <w:r>
                                    <w:rPr>
                                      <w:rFonts w:hint="eastAsia" w:cs="Times New Roman"/>
                                      <w:sz w:val="18"/>
                                      <w:szCs w:val="18"/>
                                      <w:lang w:val="en-US" w:eastAsia="zh-CN"/>
                                    </w:rPr>
                                    <w:t xml:space="preserve">   </w:t>
                                  </w:r>
                                  <w:r>
                                    <w:rPr>
                                      <w:rFonts w:hint="eastAsia" w:ascii="Times New Roman" w:hAnsi="Times New Roman" w:eastAsia="宋体" w:cs="Times New Roman"/>
                                      <w:sz w:val="18"/>
                                      <w:szCs w:val="18"/>
                                      <w:lang w:val="en-US" w:eastAsia="zh-CN"/>
                                    </w:rPr>
                                    <w:t xml:space="preserve">      100m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234.4pt;height:74.45pt;width:108.4pt;z-index:251660288;mso-width-relative:page;mso-height-relative:page;" fillcolor="#FFFFFF [3201]" filled="t" stroked="t" coordsize="21600,21600" o:gfxdata="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iixqzWAAAACQEAAA8AAAAAAAAAAQAgAAAAIgAAAGRycy9kb3ducmV2LnhtbFBLAQIUABQAAAAI&#10;AIdO4kDlLkVQYQIAAMUEAAAOAAAAAAAAAAEAIAAAACUBAABkcnMvZTJvRG9jLnhtbFBLBQYAAAAA&#10;BgAGAFkBAAD4BQAAAAA=&#10;">
                      <v:fill on="t" focussize="0,0"/>
                      <v:stroke weight="0.5pt" color="#000000 [3204]" joinstyle="round"/>
                      <v:imagedata o:title=""/>
                      <o:lock v:ext="edit" aspectratio="f"/>
                      <v:textbox>
                        <w:txbxContent>
                          <w:p w14:paraId="3263B2EA">
                            <w:pPr>
                              <w:keepNext w:val="0"/>
                              <w:keepLines w:val="0"/>
                              <w:pageBreakBefore w:val="0"/>
                              <w:widowControl w:val="0"/>
                              <w:kinsoku/>
                              <w:wordWrap/>
                              <w:overflowPunct/>
                              <w:topLinePunct w:val="0"/>
                              <w:bidi w:val="0"/>
                              <w:adjustRightInd/>
                              <w:snapToGrid/>
                              <w:spacing w:line="0" w:lineRule="atLeast"/>
                              <w:textAlignment w:val="auto"/>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val="en-US" w:eastAsia="zh-CN"/>
                              </w:rPr>
                              <w:t>图例</w:t>
                            </w:r>
                          </w:p>
                          <w:p w14:paraId="6D75EE30">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default" w:ascii="Times New Roman" w:hAnsi="Times New Roman" w:cs="Times New Roman"/>
                                <w:sz w:val="18"/>
                                <w:szCs w:val="18"/>
                                <w:lang w:val="en-US" w:eastAsia="zh-CN"/>
                              </w:rPr>
                            </w:pPr>
                            <w:r>
                              <w:rPr>
                                <w:rFonts w:hint="default" w:ascii="Times New Roman" w:hAnsi="Times New Roman" w:cs="Times New Roman"/>
                                <w:b/>
                                <w:bCs/>
                                <w:color w:val="FF0000"/>
                                <w:sz w:val="18"/>
                                <w:szCs w:val="18"/>
                                <w:lang w:val="en-US" w:eastAsia="zh-CN"/>
                              </w:rPr>
                              <w:sym w:font="Wingdings 2" w:char="00A3"/>
                            </w:r>
                            <w:r>
                              <w:rPr>
                                <w:rFonts w:hint="default" w:ascii="Times New Roman" w:hAnsi="Times New Roman" w:cs="Times New Roman"/>
                                <w:sz w:val="18"/>
                                <w:szCs w:val="18"/>
                                <w:lang w:val="en-US" w:eastAsia="zh-CN"/>
                              </w:rPr>
                              <w:t>：</w:t>
                            </w:r>
                            <w:r>
                              <w:rPr>
                                <w:rFonts w:hint="eastAsia" w:cs="Times New Roman"/>
                                <w:sz w:val="18"/>
                                <w:szCs w:val="18"/>
                                <w:lang w:val="en-US" w:eastAsia="zh-CN"/>
                              </w:rPr>
                              <w:t>本项目</w:t>
                            </w:r>
                          </w:p>
                          <w:p w14:paraId="73607BA3">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color w:val="FFFF00"/>
                                <w:sz w:val="18"/>
                                <w:szCs w:val="18"/>
                                <w:lang w:val="en-US" w:eastAsia="zh-CN"/>
                              </w:rPr>
                              <w:t>〇</w:t>
                            </w:r>
                            <w:r>
                              <w:rPr>
                                <w:rFonts w:hint="default" w:ascii="Times New Roman" w:hAnsi="Times New Roman" w:eastAsia="宋体" w:cs="Times New Roman"/>
                                <w:sz w:val="18"/>
                                <w:szCs w:val="18"/>
                                <w:lang w:val="en-US" w:eastAsia="zh-CN"/>
                              </w:rPr>
                              <w:t>：</w:t>
                            </w:r>
                            <w:r>
                              <w:rPr>
                                <w:rFonts w:hint="eastAsia" w:cs="Times New Roman"/>
                                <w:sz w:val="18"/>
                                <w:szCs w:val="18"/>
                                <w:lang w:val="en-US" w:eastAsia="zh-CN"/>
                              </w:rPr>
                              <w:t>引用大气监测</w:t>
                            </w:r>
                            <w:r>
                              <w:rPr>
                                <w:rFonts w:hint="default" w:ascii="Times New Roman" w:hAnsi="Times New Roman" w:eastAsia="宋体" w:cs="Times New Roman"/>
                                <w:sz w:val="18"/>
                                <w:szCs w:val="18"/>
                                <w:lang w:val="en-US" w:eastAsia="zh-CN"/>
                              </w:rPr>
                              <w:t>点位</w:t>
                            </w:r>
                          </w:p>
                          <w:p w14:paraId="4BE3B7D4">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比例尺</w:t>
                            </w:r>
                          </w:p>
                          <w:p w14:paraId="0A636E8F">
                            <w:pPr>
                              <w:pStyle w:val="40"/>
                              <w:keepNext w:val="0"/>
                              <w:keepLines w:val="0"/>
                              <w:pageBreakBefore w:val="0"/>
                              <w:widowControl w:val="0"/>
                              <w:kinsoku/>
                              <w:wordWrap/>
                              <w:overflowPunct/>
                              <w:topLinePunct w:val="0"/>
                              <w:bidi w:val="0"/>
                              <w:adjustRightInd/>
                              <w:snapToGrid/>
                              <w:spacing w:after="0" w:line="0" w:lineRule="atLeast"/>
                              <w:ind w:left="0" w:leftChars="0" w:firstLine="0" w:firstLineChars="0"/>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0     </w:t>
                            </w:r>
                            <w:r>
                              <w:rPr>
                                <w:rFonts w:hint="eastAsia" w:cs="Times New Roman"/>
                                <w:sz w:val="18"/>
                                <w:szCs w:val="18"/>
                                <w:lang w:val="en-US" w:eastAsia="zh-CN"/>
                              </w:rPr>
                              <w:t xml:space="preserve">   </w:t>
                            </w:r>
                            <w:r>
                              <w:rPr>
                                <w:rFonts w:hint="eastAsia" w:ascii="Times New Roman" w:hAnsi="Times New Roman" w:eastAsia="宋体" w:cs="Times New Roman"/>
                                <w:sz w:val="18"/>
                                <w:szCs w:val="18"/>
                                <w:lang w:val="en-US" w:eastAsia="zh-CN"/>
                              </w:rPr>
                              <w:t xml:space="preserve">      100m </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1675765</wp:posOffset>
                      </wp:positionH>
                      <wp:positionV relativeFrom="paragraph">
                        <wp:posOffset>1121410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08DE9">
                                  <w:pPr>
                                    <w:rPr>
                                      <w:rFonts w:hint="default" w:ascii="黑体" w:hAnsi="黑体" w:eastAsia="黑体" w:cs="黑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ascii="黑体" w:hAnsi="黑体" w:eastAsia="黑体" w:cs="黑体"/>
                                      <w:b/>
                                      <w:bCs/>
                                      <w:color w:val="FFFF00"/>
                                      <w:sz w:val="24"/>
                                      <w:szCs w:val="24"/>
                                      <w:lang w:val="en-US" w:eastAsia="zh-CN"/>
                                      <w14:shadow w14:blurRad="38100" w14:dist="19050" w14:dir="2700000" w14:sx="100000" w14:sy="100000" w14:kx="0" w14:ky="0" w14:algn="tl">
                                        <w14:schemeClr w14:val="dk1">
                                          <w14:alpha w14:val="60000"/>
                                        </w14:schemeClr>
                                      </w14:shadow>
                                    </w:rPr>
                                    <w:t>G1</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1.95pt;margin-top:88.3pt;height:144pt;width:144pt;mso-wrap-style:none;z-index:251665408;mso-width-relative:page;mso-height-relative:page;" filled="f" stroked="f" coordsize="21600,21600" o:gfxdata="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XCD3nZAAAACwEAAA8AAAAAAAAAAQAgAAAAIgAAAGRycy9kb3du&#10;cmV2LnhtbFBLAQIUABQAAAAIAIdO4kBRScUGNwIAAGkEAAAOAAAAAAAAAAEAIAAAACgBAABkcnMv&#10;ZTJvRG9jLnhtbFBLBQYAAAAABgAGAFkBAADRBQAAAAA=&#10;">
                      <v:fill on="f" focussize="0,0"/>
                      <v:stroke on="f" weight="0.5pt"/>
                      <v:imagedata o:title=""/>
                      <o:lock v:ext="edit" aspectratio="f"/>
                      <v:textbox style="mso-fit-shape-to-text:t;">
                        <w:txbxContent>
                          <w:p w14:paraId="15D08DE9">
                            <w:pPr>
                              <w:rPr>
                                <w:rFonts w:hint="default" w:ascii="黑体" w:hAnsi="黑体" w:eastAsia="黑体" w:cs="黑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ascii="黑体" w:hAnsi="黑体" w:eastAsia="黑体" w:cs="黑体"/>
                                <w:b/>
                                <w:bCs/>
                                <w:color w:val="FFFF00"/>
                                <w:sz w:val="24"/>
                                <w:szCs w:val="24"/>
                                <w:lang w:val="en-US" w:eastAsia="zh-CN"/>
                                <w14:shadow w14:blurRad="38100" w14:dist="19050" w14:dir="2700000" w14:sx="100000" w14:sy="100000" w14:kx="0" w14:ky="0" w14:algn="tl">
                                  <w14:schemeClr w14:val="dk1">
                                    <w14:alpha w14:val="60000"/>
                                  </w14:schemeClr>
                                </w14:shadow>
                              </w:rPr>
                              <w:t>G1</w:t>
                            </w:r>
                          </w:p>
                        </w:txbxContent>
                      </v:textbox>
                    </v:shape>
                  </w:pict>
                </mc:Fallback>
              </mc:AlternateContent>
            </w:r>
            <w:r>
              <w:rPr>
                <w:color w:val="auto"/>
              </w:rPr>
              <w:drawing>
                <wp:inline distT="0" distB="0" distL="114300" distR="114300">
                  <wp:extent cx="5298440" cy="3934460"/>
                  <wp:effectExtent l="0" t="0" r="0" b="0"/>
                  <wp:docPr id="1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
                          <pic:cNvPicPr>
                            <a:picLocks noChangeAspect="1"/>
                          </pic:cNvPicPr>
                        </pic:nvPicPr>
                        <pic:blipFill>
                          <a:blip r:embed="rId12"/>
                          <a:srcRect r="1824"/>
                          <a:stretch>
                            <a:fillRect/>
                          </a:stretch>
                        </pic:blipFill>
                        <pic:spPr>
                          <a:xfrm>
                            <a:off x="0" y="0"/>
                            <a:ext cx="5298440" cy="3934460"/>
                          </a:xfrm>
                          <a:prstGeom prst="rect">
                            <a:avLst/>
                          </a:prstGeom>
                          <a:noFill/>
                          <a:ln>
                            <a:noFill/>
                          </a:ln>
                        </pic:spPr>
                      </pic:pic>
                    </a:graphicData>
                  </a:graphic>
                </wp:inline>
              </w:drawing>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1520190</wp:posOffset>
                      </wp:positionH>
                      <wp:positionV relativeFrom="paragraph">
                        <wp:posOffset>1215390</wp:posOffset>
                      </wp:positionV>
                      <wp:extent cx="122555" cy="122555"/>
                      <wp:effectExtent l="9525" t="9525" r="20320" b="20320"/>
                      <wp:wrapNone/>
                      <wp:docPr id="144" name="椭圆 144"/>
                      <wp:cNvGraphicFramePr/>
                      <a:graphic xmlns:a="http://schemas.openxmlformats.org/drawingml/2006/main">
                        <a:graphicData uri="http://schemas.microsoft.com/office/word/2010/wordprocessingShape">
                          <wps:wsp>
                            <wps:cNvSpPr/>
                            <wps:spPr>
                              <a:xfrm>
                                <a:off x="2779395" y="2308225"/>
                                <a:ext cx="122555" cy="122555"/>
                              </a:xfrm>
                              <a:prstGeom prst="ellipse">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9.7pt;margin-top:95.7pt;height:9.65pt;width:9.65pt;z-index:251664384;v-text-anchor:middle;mso-width-relative:page;mso-height-relative:page;" filled="f" stroked="t" coordsize="21600,21600" o:gfxdata="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5p5tttcAAAALAQAADwAAAAAAAAABACAAAAAiAAAAZHJz&#10;L2Rvd25yZXYueG1sUEsBAhQAFAAAAAgAh07iQNhS4zt3AgAA3QQAAA4AAAAAAAAAAQAgAAAAJgEA&#10;AGRycy9lMm9Eb2MueG1sUEsFBgAAAAAGAAYAWQEAAA8GAAAAAA==&#10;">
                      <v:fill on="f" focussize="0,0"/>
                      <v:stroke weight="1.5pt" color="#FFFF00 [24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933450</wp:posOffset>
                      </wp:positionH>
                      <wp:positionV relativeFrom="paragraph">
                        <wp:posOffset>1461770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844C3">
                                  <w:pP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菲得美机械</w:t>
                                  </w:r>
                                </w:p>
                                <w:p w14:paraId="698A26FA">
                                  <w:pPr>
                                    <w:rPr>
                                      <w:rFonts w:hint="eastAsia" w:ascii="黑体" w:hAnsi="黑体" w:eastAsia="黑体" w:cs="黑体"/>
                                      <w:sz w:val="24"/>
                                      <w:szCs w:val="24"/>
                                      <w:lang w:val="en-US" w:eastAsia="zh-CN"/>
                                    </w:rPr>
                                  </w:pPr>
                                  <w:r>
                                    <w:rPr>
                                      <w:rFonts w:hint="eastAsia" w:ascii="黑体" w:hAnsi="黑体" w:eastAsia="黑体" w:cs="黑体"/>
                                      <w:color w:val="auto"/>
                                      <w:sz w:val="24"/>
                                      <w:szCs w:val="24"/>
                                      <w:lang w:val="en-US" w:eastAsia="zh-CN"/>
                                    </w:rPr>
                                    <w:t>装备加工项目</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3.5pt;margin-top:115.1pt;height:144pt;width:144pt;mso-wrap-style:none;z-index:251663360;mso-width-relative:page;mso-height-relative:page;" filled="f" stroked="f" coordsize="21600,21600" o:gfxdata="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NxS2n2QAAAAsBAAAPAAAAAAAAAAEAIAAAACIAAABkcnMvZG93&#10;bnJldi54bWxQSwECFAAUAAAACACHTuJA6Hi96DgCAABpBAAADgAAAAAAAAABACAAAAAoAQAAZHJz&#10;L2Uyb0RvYy54bWxQSwUGAAAAAAYABgBZAQAA0gUAAAAA&#10;">
                      <v:fill on="f" focussize="0,0"/>
                      <v:stroke on="f" weight="0.5pt"/>
                      <v:imagedata o:title=""/>
                      <o:lock v:ext="edit" aspectratio="f"/>
                      <v:textbox style="mso-fit-shape-to-text:t;">
                        <w:txbxContent>
                          <w:p w14:paraId="14A844C3">
                            <w:pP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菲得美机械</w:t>
                            </w:r>
                          </w:p>
                          <w:p w14:paraId="698A26FA">
                            <w:pPr>
                              <w:rPr>
                                <w:rFonts w:hint="eastAsia" w:ascii="黑体" w:hAnsi="黑体" w:eastAsia="黑体" w:cs="黑体"/>
                                <w:sz w:val="24"/>
                                <w:szCs w:val="24"/>
                                <w:lang w:val="en-US" w:eastAsia="zh-CN"/>
                              </w:rPr>
                            </w:pPr>
                            <w:r>
                              <w:rPr>
                                <w:rFonts w:hint="eastAsia" w:ascii="黑体" w:hAnsi="黑体" w:eastAsia="黑体" w:cs="黑体"/>
                                <w:color w:val="auto"/>
                                <w:sz w:val="24"/>
                                <w:szCs w:val="24"/>
                                <w:lang w:val="en-US" w:eastAsia="zh-CN"/>
                              </w:rPr>
                              <w:t>装备加工项目</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3271520</wp:posOffset>
                      </wp:positionH>
                      <wp:positionV relativeFrom="paragraph">
                        <wp:posOffset>2016760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3FD46">
                                  <w:pPr>
                                    <w:rPr>
                                      <w:rFonts w:hint="eastAsia" w:ascii="黑体" w:hAnsi="黑体" w:eastAsia="黑体" w:cs="黑体"/>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ascii="黑体" w:hAnsi="黑体" w:eastAsia="黑体" w:cs="黑体"/>
                                      <w:b/>
                                      <w:bCs/>
                                      <w:color w:val="FF0000"/>
                                      <w:sz w:val="24"/>
                                      <w:szCs w:val="24"/>
                                      <w:lang w:val="en-US" w:eastAsia="zh-CN"/>
                                      <w14:shadow w14:blurRad="38100" w14:dist="19050" w14:dir="2700000" w14:sx="100000" w14:sy="100000" w14:kx="0" w14:ky="0" w14:algn="tl">
                                        <w14:schemeClr w14:val="dk1">
                                          <w14:alpha w14:val="60000"/>
                                        </w14:schemeClr>
                                      </w14:shadow>
                                    </w:rPr>
                                    <w:t>本项目</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57.6pt;margin-top:158.8pt;height:144pt;width:144pt;mso-wrap-style:none;z-index:251662336;mso-width-relative:page;mso-height-relative:page;" filled="f" stroked="f" coordsize="21600,21600" o:gfxdata="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uwEONoAAAALAQAADwAAAAAAAAABACAAAAAiAAAAZHJzL2Rv&#10;d25yZXYueG1sUEsBAhQAFAAAAAgAh07iQLinv7o4AgAAZwQAAA4AAAAAAAAAAQAgAAAAKQEAAGRy&#10;cy9lMm9Eb2MueG1sUEsFBgAAAAAGAAYAWQEAANMFAAAAAA==&#10;">
                      <v:fill on="f" focussize="0,0"/>
                      <v:stroke on="f" weight="0.5pt"/>
                      <v:imagedata o:title=""/>
                      <o:lock v:ext="edit" aspectratio="f"/>
                      <v:textbox style="mso-fit-shape-to-text:t;">
                        <w:txbxContent>
                          <w:p w14:paraId="6863FD46">
                            <w:pPr>
                              <w:rPr>
                                <w:rFonts w:hint="eastAsia" w:ascii="黑体" w:hAnsi="黑体" w:eastAsia="黑体" w:cs="黑体"/>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ascii="黑体" w:hAnsi="黑体" w:eastAsia="黑体" w:cs="黑体"/>
                                <w:b/>
                                <w:bCs/>
                                <w:color w:val="FF0000"/>
                                <w:sz w:val="24"/>
                                <w:szCs w:val="24"/>
                                <w:lang w:val="en-US" w:eastAsia="zh-CN"/>
                                <w14:shadow w14:blurRad="38100" w14:dist="19050" w14:dir="2700000" w14:sx="100000" w14:sy="100000" w14:kx="0" w14:ky="0" w14:algn="tl">
                                  <w14:schemeClr w14:val="dk1">
                                    <w14:alpha w14:val="60000"/>
                                  </w14:schemeClr>
                                </w14:shadow>
                              </w:rPr>
                              <w:t>本项目</w:t>
                            </w:r>
                          </w:p>
                        </w:txbxContent>
                      </v:textbox>
                    </v:shape>
                  </w:pict>
                </mc:Fallback>
              </mc:AlternateContent>
            </w:r>
          </w:p>
          <w:p w14:paraId="3775F408">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b/>
                <w:bCs/>
                <w:color w:val="auto"/>
                <w:lang w:val="en-US" w:eastAsia="zh-CN"/>
              </w:rPr>
            </w:pPr>
            <w:r>
              <w:rPr>
                <w:rFonts w:hint="eastAsia"/>
                <w:b/>
                <w:bCs/>
                <w:color w:val="auto"/>
                <w:lang w:val="en-US" w:eastAsia="zh-CN"/>
              </w:rPr>
              <w:t>图3-1  监测点位图</w:t>
            </w:r>
          </w:p>
          <w:p w14:paraId="06EE26FB">
            <w:pPr>
              <w:spacing w:line="360" w:lineRule="auto"/>
              <w:ind w:firstLine="480" w:firstLineChars="200"/>
              <w:rPr>
                <w:color w:val="auto"/>
                <w:sz w:val="24"/>
                <w:szCs w:val="24"/>
              </w:rPr>
            </w:pPr>
            <w:r>
              <w:rPr>
                <w:rFonts w:hint="eastAsia"/>
                <w:color w:val="auto"/>
                <w:sz w:val="24"/>
                <w:szCs w:val="24"/>
              </w:rPr>
              <w:t>（4）</w:t>
            </w:r>
            <w:r>
              <w:rPr>
                <w:color w:val="auto"/>
                <w:sz w:val="24"/>
                <w:szCs w:val="24"/>
              </w:rPr>
              <w:t>引用资料的有效性分析</w:t>
            </w:r>
          </w:p>
          <w:p w14:paraId="795A22DA">
            <w:pPr>
              <w:spacing w:line="360" w:lineRule="auto"/>
              <w:ind w:firstLine="480" w:firstLineChars="200"/>
              <w:rPr>
                <w:color w:val="auto"/>
                <w:sz w:val="24"/>
                <w:szCs w:val="24"/>
              </w:rPr>
            </w:pPr>
            <w:r>
              <w:rPr>
                <w:color w:val="auto"/>
                <w:sz w:val="24"/>
                <w:szCs w:val="24"/>
              </w:rPr>
              <w:t>根据《建设项目环境影响报告表编制技术指南</w:t>
            </w:r>
            <w:r>
              <w:rPr>
                <w:rFonts w:hint="eastAsia"/>
                <w:color w:val="auto"/>
                <w:sz w:val="24"/>
                <w:szCs w:val="24"/>
              </w:rPr>
              <w:t>（</w:t>
            </w:r>
            <w:r>
              <w:rPr>
                <w:color w:val="auto"/>
                <w:sz w:val="24"/>
                <w:szCs w:val="24"/>
              </w:rPr>
              <w:t>污染影响类</w:t>
            </w:r>
            <w:r>
              <w:rPr>
                <w:rFonts w:hint="eastAsia"/>
                <w:color w:val="auto"/>
                <w:sz w:val="24"/>
                <w:szCs w:val="24"/>
              </w:rPr>
              <w:t>）（</w:t>
            </w:r>
            <w:r>
              <w:rPr>
                <w:color w:val="auto"/>
                <w:sz w:val="24"/>
                <w:szCs w:val="24"/>
              </w:rPr>
              <w:t>试行</w:t>
            </w:r>
            <w:r>
              <w:rPr>
                <w:rFonts w:hint="eastAsia"/>
                <w:color w:val="auto"/>
                <w:sz w:val="24"/>
                <w:szCs w:val="24"/>
              </w:rPr>
              <w:t>）</w:t>
            </w:r>
            <w:r>
              <w:rPr>
                <w:color w:val="auto"/>
                <w:sz w:val="24"/>
                <w:szCs w:val="24"/>
              </w:rPr>
              <w:t>》</w:t>
            </w:r>
            <w:r>
              <w:rPr>
                <w:rFonts w:hint="eastAsia"/>
                <w:color w:val="auto"/>
                <w:sz w:val="24"/>
                <w:szCs w:val="24"/>
              </w:rPr>
              <w:t>（</w:t>
            </w:r>
            <w:r>
              <w:rPr>
                <w:color w:val="auto"/>
                <w:sz w:val="24"/>
                <w:szCs w:val="24"/>
              </w:rPr>
              <w:t>环办环评〔2020〕33号</w:t>
            </w:r>
            <w:r>
              <w:rPr>
                <w:rFonts w:hint="eastAsia"/>
                <w:color w:val="auto"/>
                <w:sz w:val="24"/>
                <w:szCs w:val="24"/>
              </w:rPr>
              <w:t>）</w:t>
            </w:r>
            <w:r>
              <w:rPr>
                <w:color w:val="auto"/>
                <w:sz w:val="24"/>
                <w:szCs w:val="24"/>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color w:val="auto"/>
                <w:sz w:val="24"/>
                <w:szCs w:val="24"/>
              </w:rPr>
              <w:t>，无相关数据的选择当季主导风向下风向1个点位补充不少于3天的监测数据</w:t>
            </w:r>
            <w:r>
              <w:rPr>
                <w:color w:val="auto"/>
                <w:sz w:val="24"/>
                <w:szCs w:val="24"/>
              </w:rPr>
              <w:t>”。</w:t>
            </w:r>
          </w:p>
          <w:p w14:paraId="11F803D4">
            <w:pPr>
              <w:spacing w:line="360" w:lineRule="auto"/>
              <w:ind w:firstLine="480" w:firstLineChars="200"/>
              <w:rPr>
                <w:color w:val="auto"/>
                <w:sz w:val="24"/>
                <w:szCs w:val="24"/>
              </w:rPr>
            </w:pPr>
            <w:r>
              <w:rPr>
                <w:color w:val="auto"/>
                <w:sz w:val="24"/>
                <w:szCs w:val="24"/>
              </w:rPr>
              <w:t>本评价常规污染因子选取</w:t>
            </w:r>
            <w:r>
              <w:rPr>
                <w:rFonts w:hint="eastAsia"/>
                <w:color w:val="auto"/>
                <w:sz w:val="24"/>
                <w:szCs w:val="24"/>
                <w:lang w:val="en-US" w:eastAsia="zh-CN"/>
              </w:rPr>
              <w:t>三明市生态环境局</w:t>
            </w:r>
            <w:r>
              <w:rPr>
                <w:color w:val="auto"/>
                <w:sz w:val="24"/>
                <w:szCs w:val="24"/>
              </w:rPr>
              <w:t>发布的环境空气质量现状信息，项目排放的特征污染因子非甲烷总烃</w:t>
            </w:r>
            <w:r>
              <w:rPr>
                <w:rFonts w:hint="eastAsia"/>
                <w:color w:val="auto"/>
                <w:sz w:val="24"/>
                <w:szCs w:val="24"/>
                <w:lang w:eastAsia="zh-CN"/>
              </w:rPr>
              <w:t>、</w:t>
            </w:r>
            <w:r>
              <w:rPr>
                <w:rFonts w:hint="eastAsia"/>
                <w:color w:val="auto"/>
                <w:sz w:val="24"/>
                <w:szCs w:val="24"/>
                <w:lang w:val="en-US" w:eastAsia="zh-CN"/>
              </w:rPr>
              <w:t>甲醛、臭气浓度</w:t>
            </w:r>
            <w:r>
              <w:rPr>
                <w:color w:val="auto"/>
                <w:sz w:val="24"/>
                <w:szCs w:val="24"/>
              </w:rPr>
              <w:t>不属于国家、地方环境空气质量标准中有标准限值要求的特征污染物，无需现状监测数据，特征污染因子TSP</w:t>
            </w:r>
            <w:r>
              <w:rPr>
                <w:rFonts w:hint="eastAsia"/>
                <w:color w:val="auto"/>
                <w:sz w:val="24"/>
                <w:szCs w:val="24"/>
                <w:lang w:val="en-US" w:eastAsia="zh-CN"/>
              </w:rPr>
              <w:t>引用周边近3年内有效监测数据，</w:t>
            </w:r>
            <w:r>
              <w:rPr>
                <w:color w:val="auto"/>
                <w:sz w:val="24"/>
                <w:szCs w:val="24"/>
              </w:rPr>
              <w:t>符合《建设项目环境影响报告表编制技术指南（污染影响类）（试行）》（环办环评〔2020〕33号）的要求。</w:t>
            </w:r>
          </w:p>
          <w:p w14:paraId="06E62800">
            <w:pPr>
              <w:pStyle w:val="82"/>
              <w:rPr>
                <w:color w:val="auto"/>
                <w:sz w:val="24"/>
                <w:szCs w:val="24"/>
              </w:rPr>
            </w:pPr>
            <w:r>
              <w:rPr>
                <w:rFonts w:hint="eastAsia"/>
                <w:color w:val="auto"/>
                <w:sz w:val="24"/>
                <w:szCs w:val="24"/>
              </w:rPr>
              <w:t>2、</w:t>
            </w:r>
            <w:r>
              <w:rPr>
                <w:color w:val="auto"/>
                <w:sz w:val="24"/>
                <w:szCs w:val="24"/>
              </w:rPr>
              <w:t>地表水环境质量现状</w:t>
            </w:r>
          </w:p>
          <w:p w14:paraId="46994644">
            <w:pPr>
              <w:pStyle w:val="3"/>
              <w:spacing w:before="0" w:after="0" w:line="360" w:lineRule="auto"/>
              <w:ind w:firstLine="480" w:firstLineChars="200"/>
              <w:rPr>
                <w:rFonts w:ascii="Times New Roman" w:hAnsi="Times New Roman" w:eastAsiaTheme="minorEastAsia"/>
                <w:b w:val="0"/>
                <w:color w:val="auto"/>
                <w:sz w:val="24"/>
                <w:szCs w:val="24"/>
              </w:rPr>
            </w:pPr>
            <w:r>
              <w:rPr>
                <w:rFonts w:ascii="Times New Roman" w:hAnsi="Times New Roman" w:eastAsiaTheme="minorEastAsia"/>
                <w:b w:val="0"/>
                <w:color w:val="auto"/>
                <w:sz w:val="24"/>
                <w:szCs w:val="24"/>
              </w:rPr>
              <w:t>（1）地表水环境功能区划</w:t>
            </w:r>
          </w:p>
          <w:p w14:paraId="27BE6AD2">
            <w:pPr>
              <w:spacing w:line="360" w:lineRule="auto"/>
              <w:ind w:firstLine="480" w:firstLineChars="200"/>
              <w:rPr>
                <w:rFonts w:hint="eastAsia" w:eastAsia="宋体"/>
                <w:color w:val="auto"/>
                <w:sz w:val="24"/>
                <w:szCs w:val="24"/>
                <w:lang w:eastAsia="zh-CN"/>
              </w:rPr>
            </w:pPr>
            <w:r>
              <w:rPr>
                <w:rFonts w:hint="eastAsia"/>
                <w:color w:val="auto"/>
                <w:sz w:val="24"/>
                <w:szCs w:val="24"/>
              </w:rPr>
              <w:t>项目周边地表水体为三阳溪，根据《关于福建（大田）机械铸产业集聚区控制详细规划环境影响评价适用标准及生态功能区划符合性确认的函》（田环审函</w:t>
            </w:r>
            <w:r>
              <w:rPr>
                <w:rFonts w:hint="eastAsia"/>
                <w:color w:val="auto"/>
                <w:sz w:val="24"/>
                <w:szCs w:val="24"/>
                <w:lang w:eastAsia="zh-CN"/>
              </w:rPr>
              <w:t>〔2016〕32号</w:t>
            </w:r>
            <w:r>
              <w:rPr>
                <w:rFonts w:hint="eastAsia"/>
                <w:color w:val="auto"/>
                <w:sz w:val="24"/>
                <w:szCs w:val="24"/>
              </w:rPr>
              <w:t>），三阳溪主要为Ⅲ类环境功能水体，执行《地表水环境质量标准》（GB3838-2002）Ⅲ类水质标准</w:t>
            </w:r>
            <w:r>
              <w:rPr>
                <w:rFonts w:hint="eastAsia"/>
                <w:color w:val="auto"/>
                <w:sz w:val="24"/>
                <w:szCs w:val="24"/>
                <w:lang w:eastAsia="zh-CN"/>
              </w:rPr>
              <w:t>。</w:t>
            </w:r>
          </w:p>
          <w:p w14:paraId="3D112731">
            <w:pPr>
              <w:pStyle w:val="6"/>
              <w:keepNext/>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rPr>
                <w:snapToGrid w:val="0"/>
                <w:color w:val="auto"/>
                <w:sz w:val="24"/>
                <w:szCs w:val="24"/>
                <w:highlight w:val="none"/>
              </w:rPr>
            </w:pPr>
            <w:r>
              <w:rPr>
                <w:rFonts w:hint="eastAsia"/>
                <w:snapToGrid w:val="0"/>
                <w:color w:val="auto"/>
                <w:sz w:val="24"/>
                <w:szCs w:val="24"/>
                <w:highlight w:val="none"/>
                <w:lang w:eastAsia="zh-CN"/>
              </w:rPr>
              <w:t>表</w:t>
            </w:r>
            <w:r>
              <w:rPr>
                <w:rFonts w:hint="eastAsia"/>
                <w:snapToGrid w:val="0"/>
                <w:color w:val="auto"/>
                <w:sz w:val="24"/>
                <w:szCs w:val="24"/>
                <w:highlight w:val="none"/>
                <w:lang w:val="en-US" w:eastAsia="zh-CN"/>
              </w:rPr>
              <w:t xml:space="preserve">3-4  </w:t>
            </w:r>
            <w:r>
              <w:rPr>
                <w:rFonts w:hint="eastAsia"/>
                <w:snapToGrid w:val="0"/>
                <w:color w:val="auto"/>
                <w:sz w:val="24"/>
                <w:szCs w:val="24"/>
                <w:highlight w:val="none"/>
                <w:lang w:eastAsia="zh-CN"/>
              </w:rPr>
              <w:t>地表水环</w:t>
            </w:r>
            <w:r>
              <w:rPr>
                <w:rFonts w:hint="eastAsia"/>
                <w:snapToGrid w:val="0"/>
                <w:color w:val="auto"/>
                <w:sz w:val="24"/>
                <w:szCs w:val="24"/>
                <w:highlight w:val="none"/>
                <w:lang w:val="en-US" w:eastAsia="zh-CN"/>
              </w:rPr>
              <w:t>境</w:t>
            </w:r>
            <w:r>
              <w:rPr>
                <w:rFonts w:hint="eastAsia"/>
                <w:snapToGrid w:val="0"/>
                <w:color w:val="auto"/>
                <w:sz w:val="24"/>
                <w:szCs w:val="24"/>
                <w:highlight w:val="none"/>
                <w:lang w:eastAsia="zh-CN"/>
              </w:rPr>
              <w:t>质量标准（</w:t>
            </w:r>
            <w:r>
              <w:rPr>
                <w:rFonts w:hint="eastAsia"/>
                <w:color w:val="auto"/>
                <w:sz w:val="24"/>
                <w:szCs w:val="24"/>
              </w:rPr>
              <w:t>GB3838-2002</w:t>
            </w:r>
            <w:r>
              <w:rPr>
                <w:rFonts w:hint="eastAsia"/>
                <w:snapToGrid w:val="0"/>
                <w:color w:val="auto"/>
                <w:sz w:val="24"/>
                <w:szCs w:val="24"/>
                <w:highlight w:val="none"/>
                <w:lang w:eastAsia="zh-CN"/>
              </w:rPr>
              <w:t>）</w:t>
            </w:r>
            <w:r>
              <w:rPr>
                <w:rFonts w:hint="eastAsia"/>
                <w:snapToGrid w:val="0"/>
                <w:color w:val="auto"/>
                <w:sz w:val="24"/>
                <w:szCs w:val="24"/>
                <w:highlight w:val="none"/>
                <w:lang w:val="en-US" w:eastAsia="zh-CN"/>
              </w:rPr>
              <w:t xml:space="preserve">  单位mg/L</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3344"/>
              <w:gridCol w:w="3476"/>
            </w:tblGrid>
            <w:tr w14:paraId="7180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tcBorders>
                    <w:top w:val="single" w:color="auto" w:sz="12" w:space="0"/>
                  </w:tcBorders>
                  <w:noWrap w:val="0"/>
                  <w:vAlign w:val="center"/>
                </w:tcPr>
                <w:p w14:paraId="2C23B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序号</w:t>
                  </w:r>
                </w:p>
              </w:tc>
              <w:tc>
                <w:tcPr>
                  <w:tcW w:w="3344" w:type="dxa"/>
                  <w:tcBorders>
                    <w:top w:val="single" w:color="auto" w:sz="12" w:space="0"/>
                  </w:tcBorders>
                  <w:noWrap w:val="0"/>
                  <w:vAlign w:val="center"/>
                </w:tcPr>
                <w:p w14:paraId="6EAE0B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项目</w:t>
                  </w:r>
                </w:p>
              </w:tc>
              <w:tc>
                <w:tcPr>
                  <w:tcW w:w="3476" w:type="dxa"/>
                  <w:tcBorders>
                    <w:top w:val="single" w:color="auto" w:sz="12" w:space="0"/>
                    <w:right w:val="nil"/>
                  </w:tcBorders>
                  <w:noWrap w:val="0"/>
                  <w:vAlign w:val="center"/>
                </w:tcPr>
                <w:p w14:paraId="034A55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III类标准</w:t>
                  </w:r>
                </w:p>
              </w:tc>
            </w:tr>
            <w:tr w14:paraId="43F9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tcBorders>
                    <w:left w:val="nil"/>
                  </w:tcBorders>
                  <w:noWrap w:val="0"/>
                  <w:vAlign w:val="center"/>
                </w:tcPr>
                <w:p w14:paraId="15C1E4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344" w:type="dxa"/>
                  <w:noWrap w:val="0"/>
                  <w:vAlign w:val="center"/>
                </w:tcPr>
                <w:p w14:paraId="298A08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pH</w:t>
                  </w:r>
                  <w:r>
                    <w:rPr>
                      <w:rFonts w:hint="eastAsia" w:ascii="Times New Roman" w:hAnsi="Times New Roman" w:cs="Times New Roman"/>
                      <w:color w:val="auto"/>
                      <w:sz w:val="21"/>
                      <w:szCs w:val="21"/>
                      <w:vertAlign w:val="baseline"/>
                      <w:lang w:val="en-US" w:eastAsia="zh-CN"/>
                    </w:rPr>
                    <w:t>（无量纲）</w:t>
                  </w:r>
                </w:p>
              </w:tc>
              <w:tc>
                <w:tcPr>
                  <w:tcW w:w="3476" w:type="dxa"/>
                  <w:tcBorders>
                    <w:right w:val="nil"/>
                  </w:tcBorders>
                  <w:noWrap w:val="0"/>
                  <w:vAlign w:val="center"/>
                </w:tcPr>
                <w:p w14:paraId="58A31B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6-9</w:t>
                  </w:r>
                </w:p>
              </w:tc>
            </w:tr>
            <w:tr w14:paraId="6C05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tcBorders>
                    <w:left w:val="nil"/>
                  </w:tcBorders>
                  <w:noWrap w:val="0"/>
                  <w:vAlign w:val="center"/>
                </w:tcPr>
                <w:p w14:paraId="6C76CD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3344" w:type="dxa"/>
                  <w:noWrap w:val="0"/>
                  <w:vAlign w:val="center"/>
                </w:tcPr>
                <w:p w14:paraId="7096DE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溶解氧（</w:t>
                  </w:r>
                  <w:r>
                    <w:rPr>
                      <w:rFonts w:hint="default" w:ascii="Times New Roman" w:hAnsi="Times New Roman" w:cs="Times New Roman"/>
                      <w:color w:val="auto"/>
                      <w:sz w:val="21"/>
                      <w:szCs w:val="21"/>
                      <w:vertAlign w:val="baseline"/>
                      <w:lang w:val="en-US" w:eastAsia="zh-CN"/>
                    </w:rPr>
                    <w:t>DO</w:t>
                  </w:r>
                  <w:r>
                    <w:rPr>
                      <w:rFonts w:hint="default" w:ascii="Times New Roman" w:hAnsi="Times New Roman" w:cs="Times New Roman"/>
                      <w:color w:val="auto"/>
                      <w:sz w:val="21"/>
                      <w:szCs w:val="21"/>
                      <w:vertAlign w:val="baseline"/>
                      <w:lang w:eastAsia="zh-CN"/>
                    </w:rPr>
                    <w:t>）</w:t>
                  </w:r>
                </w:p>
              </w:tc>
              <w:tc>
                <w:tcPr>
                  <w:tcW w:w="3476" w:type="dxa"/>
                  <w:tcBorders>
                    <w:right w:val="nil"/>
                  </w:tcBorders>
                  <w:noWrap w:val="0"/>
                  <w:vAlign w:val="center"/>
                </w:tcPr>
                <w:p w14:paraId="796EE0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r>
            <w:tr w14:paraId="2EF7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tcBorders>
                    <w:left w:val="nil"/>
                  </w:tcBorders>
                  <w:noWrap w:val="0"/>
                  <w:vAlign w:val="center"/>
                </w:tcPr>
                <w:p w14:paraId="42DDAB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3344" w:type="dxa"/>
                  <w:noWrap w:val="0"/>
                  <w:vAlign w:val="center"/>
                </w:tcPr>
                <w:p w14:paraId="027A1B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高锰酸盐指数</w:t>
                  </w:r>
                </w:p>
              </w:tc>
              <w:tc>
                <w:tcPr>
                  <w:tcW w:w="3476" w:type="dxa"/>
                  <w:tcBorders>
                    <w:right w:val="nil"/>
                  </w:tcBorders>
                  <w:noWrap w:val="0"/>
                  <w:vAlign w:val="center"/>
                </w:tcPr>
                <w:p w14:paraId="4AFAC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6</w:t>
                  </w:r>
                </w:p>
              </w:tc>
            </w:tr>
            <w:tr w14:paraId="7B4E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tcBorders>
                    <w:left w:val="nil"/>
                  </w:tcBorders>
                  <w:noWrap w:val="0"/>
                  <w:vAlign w:val="center"/>
                </w:tcPr>
                <w:p w14:paraId="0CF22C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344" w:type="dxa"/>
                  <w:noWrap w:val="0"/>
                  <w:vAlign w:val="center"/>
                </w:tcPr>
                <w:p w14:paraId="5B0739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五日生化需氧量（</w:t>
                  </w:r>
                  <w:r>
                    <w:rPr>
                      <w:rFonts w:hint="default" w:ascii="Times New Roman" w:hAnsi="Times New Roman" w:cs="Times New Roman"/>
                      <w:color w:val="auto"/>
                      <w:sz w:val="21"/>
                      <w:szCs w:val="21"/>
                      <w:vertAlign w:val="baseline"/>
                      <w:lang w:val="en-US" w:eastAsia="zh-CN"/>
                    </w:rPr>
                    <w:t>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vertAlign w:val="baseline"/>
                      <w:lang w:eastAsia="zh-CN"/>
                    </w:rPr>
                    <w:t>）</w:t>
                  </w:r>
                </w:p>
              </w:tc>
              <w:tc>
                <w:tcPr>
                  <w:tcW w:w="3476" w:type="dxa"/>
                  <w:tcBorders>
                    <w:right w:val="nil"/>
                  </w:tcBorders>
                  <w:noWrap w:val="0"/>
                  <w:vAlign w:val="center"/>
                </w:tcPr>
                <w:p w14:paraId="519C6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4</w:t>
                  </w:r>
                </w:p>
              </w:tc>
            </w:tr>
            <w:tr w14:paraId="6021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tcBorders>
                    <w:left w:val="nil"/>
                  </w:tcBorders>
                  <w:noWrap w:val="0"/>
                  <w:vAlign w:val="center"/>
                </w:tcPr>
                <w:p w14:paraId="1BA5E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3344" w:type="dxa"/>
                  <w:noWrap w:val="0"/>
                  <w:vAlign w:val="center"/>
                </w:tcPr>
                <w:p w14:paraId="75B7E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化学需氧量（</w:t>
                  </w:r>
                  <w:r>
                    <w:rPr>
                      <w:rFonts w:hint="default" w:ascii="Times New Roman" w:hAnsi="Times New Roman" w:cs="Times New Roman"/>
                      <w:color w:val="auto"/>
                      <w:sz w:val="21"/>
                      <w:szCs w:val="21"/>
                      <w:vertAlign w:val="baseline"/>
                      <w:lang w:val="en-US" w:eastAsia="zh-CN"/>
                    </w:rPr>
                    <w:t>COD</w:t>
                  </w:r>
                  <w:r>
                    <w:rPr>
                      <w:rFonts w:hint="default" w:ascii="Times New Roman" w:hAnsi="Times New Roman" w:cs="Times New Roman"/>
                      <w:color w:val="auto"/>
                      <w:sz w:val="21"/>
                      <w:szCs w:val="21"/>
                      <w:vertAlign w:val="baseline"/>
                      <w:lang w:eastAsia="zh-CN"/>
                    </w:rPr>
                    <w:t>）</w:t>
                  </w:r>
                </w:p>
              </w:tc>
              <w:tc>
                <w:tcPr>
                  <w:tcW w:w="3476" w:type="dxa"/>
                  <w:tcBorders>
                    <w:right w:val="nil"/>
                  </w:tcBorders>
                  <w:noWrap w:val="0"/>
                  <w:vAlign w:val="center"/>
                </w:tcPr>
                <w:p w14:paraId="09A8DF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rPr>
                  </w:pP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20</w:t>
                  </w:r>
                </w:p>
              </w:tc>
            </w:tr>
            <w:tr w14:paraId="2B89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tcBorders>
                    <w:left w:val="nil"/>
                    <w:bottom w:val="single" w:color="auto" w:sz="12" w:space="0"/>
                  </w:tcBorders>
                  <w:noWrap w:val="0"/>
                  <w:vAlign w:val="center"/>
                </w:tcPr>
                <w:p w14:paraId="608465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3344" w:type="dxa"/>
                  <w:tcBorders>
                    <w:bottom w:val="single" w:color="auto" w:sz="12" w:space="0"/>
                  </w:tcBorders>
                  <w:noWrap w:val="0"/>
                  <w:vAlign w:val="center"/>
                </w:tcPr>
                <w:p w14:paraId="1E0E32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氨氮（</w:t>
                  </w:r>
                  <w:r>
                    <w:rPr>
                      <w:rFonts w:hint="default" w:ascii="Times New Roman" w:hAnsi="Times New Roman" w:cs="Times New Roman"/>
                      <w:color w:val="auto"/>
                      <w:sz w:val="21"/>
                      <w:szCs w:val="21"/>
                      <w:vertAlign w:val="baseline"/>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vertAlign w:val="baseline"/>
                      <w:lang w:val="en-US" w:eastAsia="zh-CN"/>
                    </w:rPr>
                    <w:t>-N</w:t>
                  </w:r>
                  <w:r>
                    <w:rPr>
                      <w:rFonts w:hint="default" w:ascii="Times New Roman" w:hAnsi="Times New Roman" w:cs="Times New Roman"/>
                      <w:color w:val="auto"/>
                      <w:sz w:val="21"/>
                      <w:szCs w:val="21"/>
                      <w:vertAlign w:val="baseline"/>
                      <w:lang w:eastAsia="zh-CN"/>
                    </w:rPr>
                    <w:t>）</w:t>
                  </w:r>
                </w:p>
              </w:tc>
              <w:tc>
                <w:tcPr>
                  <w:tcW w:w="3476" w:type="dxa"/>
                  <w:tcBorders>
                    <w:bottom w:val="single" w:color="auto" w:sz="12" w:space="0"/>
                    <w:right w:val="nil"/>
                  </w:tcBorders>
                  <w:noWrap w:val="0"/>
                  <w:vAlign w:val="center"/>
                </w:tcPr>
                <w:p w14:paraId="22AA09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1.0</w:t>
                  </w:r>
                </w:p>
              </w:tc>
            </w:tr>
          </w:tbl>
          <w:p w14:paraId="5FA9F9F9">
            <w:pPr>
              <w:spacing w:before="120" w:beforeLines="50" w:line="360" w:lineRule="auto"/>
              <w:ind w:firstLine="480" w:firstLineChars="200"/>
              <w:rPr>
                <w:rFonts w:eastAsiaTheme="minorEastAsia"/>
                <w:color w:val="auto"/>
                <w:kern w:val="0"/>
                <w:sz w:val="24"/>
                <w:szCs w:val="24"/>
              </w:rPr>
            </w:pPr>
            <w:r>
              <w:rPr>
                <w:rFonts w:hAnsiTheme="minorEastAsia" w:eastAsiaTheme="minorEastAsia"/>
                <w:color w:val="auto"/>
                <w:kern w:val="0"/>
                <w:sz w:val="24"/>
                <w:szCs w:val="24"/>
              </w:rPr>
              <w:t>（</w:t>
            </w:r>
            <w:r>
              <w:rPr>
                <w:rFonts w:eastAsiaTheme="minorEastAsia"/>
                <w:color w:val="auto"/>
                <w:kern w:val="0"/>
                <w:sz w:val="24"/>
                <w:szCs w:val="24"/>
              </w:rPr>
              <w:t>2</w:t>
            </w:r>
            <w:r>
              <w:rPr>
                <w:rFonts w:hAnsiTheme="minorEastAsia" w:eastAsiaTheme="minorEastAsia"/>
                <w:color w:val="auto"/>
                <w:kern w:val="0"/>
                <w:sz w:val="24"/>
                <w:szCs w:val="24"/>
              </w:rPr>
              <w:t>）地表水环境质量现状</w:t>
            </w:r>
          </w:p>
          <w:p w14:paraId="21B4685A">
            <w:pPr>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rPr>
              <w:t>根据</w:t>
            </w:r>
            <w:r>
              <w:rPr>
                <w:rFonts w:hint="eastAsia"/>
                <w:color w:val="auto"/>
                <w:sz w:val="24"/>
                <w:szCs w:val="24"/>
                <w:highlight w:val="none"/>
                <w:lang w:val="en-US" w:eastAsia="zh-CN"/>
              </w:rPr>
              <w:t>三明市</w:t>
            </w:r>
            <w:r>
              <w:rPr>
                <w:rFonts w:hint="eastAsia"/>
                <w:color w:val="auto"/>
                <w:sz w:val="24"/>
                <w:szCs w:val="24"/>
                <w:highlight w:val="none"/>
                <w:lang w:eastAsia="zh-CN"/>
              </w:rPr>
              <w:t>生态环境局发布的《</w:t>
            </w:r>
            <w:r>
              <w:rPr>
                <w:rFonts w:hint="eastAsia"/>
                <w:color w:val="auto"/>
                <w:sz w:val="24"/>
                <w:szCs w:val="24"/>
                <w:highlight w:val="none"/>
                <w:lang w:val="en-US" w:eastAsia="zh-CN"/>
              </w:rPr>
              <w:t>2024年三明市生态环境状况公报</w:t>
            </w:r>
            <w:r>
              <w:rPr>
                <w:rFonts w:hint="eastAsia"/>
                <w:color w:val="auto"/>
                <w:sz w:val="24"/>
                <w:szCs w:val="24"/>
                <w:highlight w:val="none"/>
                <w:lang w:eastAsia="zh-CN"/>
              </w:rPr>
              <w:t>》可知，</w:t>
            </w:r>
            <w:r>
              <w:rPr>
                <w:rFonts w:hint="eastAsia"/>
                <w:color w:val="auto"/>
                <w:sz w:val="24"/>
                <w:szCs w:val="24"/>
                <w:highlight w:val="none"/>
                <w:lang w:val="en-US" w:eastAsia="zh-CN"/>
              </w:rPr>
              <w:t>2024年，全市主要流域55个国（省）控断面各项监测指标年均值Ⅰ〜Ⅲ类水质比例为100%，其中Ⅰ~Ⅱ类断面水质比例为94.5%，同⽐提高5.4个百分点。全市⼩流域水质达标率为100%，其中Ⅰ~Ⅱ类断面水质比例为94.7%，同比提高2.6个百分点。</w:t>
            </w:r>
          </w:p>
          <w:p w14:paraId="1FD59342">
            <w:pPr>
              <w:autoSpaceDE w:val="0"/>
              <w:autoSpaceDN w:val="0"/>
              <w:spacing w:line="360" w:lineRule="auto"/>
              <w:ind w:firstLine="480" w:firstLineChars="200"/>
              <w:textAlignment w:val="bottom"/>
              <w:rPr>
                <w:color w:val="auto"/>
                <w:sz w:val="24"/>
                <w:szCs w:val="24"/>
              </w:rPr>
            </w:pPr>
            <w:r>
              <w:rPr>
                <w:rFonts w:hint="eastAsia"/>
                <w:color w:val="auto"/>
                <w:sz w:val="24"/>
                <w:szCs w:val="24"/>
              </w:rPr>
              <w:t>（3）</w:t>
            </w:r>
            <w:r>
              <w:rPr>
                <w:color w:val="auto"/>
                <w:sz w:val="24"/>
                <w:szCs w:val="24"/>
              </w:rPr>
              <w:t>引用资料的有效性分析</w:t>
            </w:r>
          </w:p>
          <w:p w14:paraId="5F7F0F29">
            <w:pPr>
              <w:autoSpaceDE w:val="0"/>
              <w:autoSpaceDN w:val="0"/>
              <w:spacing w:line="360" w:lineRule="auto"/>
              <w:ind w:firstLine="480" w:firstLineChars="200"/>
              <w:textAlignment w:val="bottom"/>
              <w:rPr>
                <w:color w:val="auto"/>
                <w:sz w:val="24"/>
                <w:szCs w:val="24"/>
              </w:rPr>
            </w:pPr>
            <w:r>
              <w:rPr>
                <w:color w:val="auto"/>
                <w:sz w:val="24"/>
                <w:szCs w:val="24"/>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auto"/>
                <w:sz w:val="24"/>
                <w:szCs w:val="24"/>
              </w:rPr>
              <w:t>本次</w:t>
            </w:r>
            <w:r>
              <w:rPr>
                <w:color w:val="auto"/>
                <w:sz w:val="24"/>
                <w:szCs w:val="24"/>
              </w:rPr>
              <w:t>评价选取</w:t>
            </w:r>
            <w:r>
              <w:rPr>
                <w:rFonts w:hint="eastAsia" w:hAnsi="宋体"/>
                <w:color w:val="auto"/>
                <w:kern w:val="0"/>
                <w:sz w:val="24"/>
                <w:szCs w:val="24"/>
              </w:rPr>
              <w:t>福建省</w:t>
            </w:r>
            <w:r>
              <w:rPr>
                <w:rFonts w:hint="eastAsia"/>
                <w:color w:val="auto"/>
                <w:sz w:val="24"/>
                <w:szCs w:val="24"/>
              </w:rPr>
              <w:t>生态环境厅</w:t>
            </w:r>
            <w:r>
              <w:rPr>
                <w:color w:val="auto"/>
                <w:sz w:val="24"/>
                <w:szCs w:val="24"/>
              </w:rPr>
              <w:t>网站</w:t>
            </w:r>
            <w:r>
              <w:rPr>
                <w:rFonts w:hint="eastAsia"/>
                <w:color w:val="auto"/>
                <w:sz w:val="24"/>
                <w:szCs w:val="24"/>
              </w:rPr>
              <w:t>发布的</w:t>
            </w:r>
            <w:r>
              <w:rPr>
                <w:color w:val="auto"/>
                <w:sz w:val="24"/>
                <w:szCs w:val="24"/>
              </w:rPr>
              <w:t>水环境</w:t>
            </w:r>
            <w:r>
              <w:rPr>
                <w:rFonts w:hint="eastAsia"/>
                <w:color w:val="auto"/>
                <w:sz w:val="24"/>
                <w:szCs w:val="24"/>
              </w:rPr>
              <w:t>质量状况</w:t>
            </w:r>
            <w:r>
              <w:rPr>
                <w:color w:val="auto"/>
                <w:sz w:val="24"/>
                <w:szCs w:val="24"/>
              </w:rPr>
              <w:t>，符合《建设项目环境影响报告表编制技术指南</w:t>
            </w:r>
            <w:r>
              <w:rPr>
                <w:rFonts w:hint="eastAsia"/>
                <w:color w:val="auto"/>
                <w:sz w:val="24"/>
                <w:szCs w:val="24"/>
              </w:rPr>
              <w:t>(</w:t>
            </w:r>
            <w:r>
              <w:rPr>
                <w:color w:val="auto"/>
                <w:sz w:val="24"/>
                <w:szCs w:val="24"/>
              </w:rPr>
              <w:t>污染影响类</w:t>
            </w:r>
            <w:r>
              <w:rPr>
                <w:rFonts w:hint="eastAsia"/>
                <w:color w:val="auto"/>
                <w:sz w:val="24"/>
                <w:szCs w:val="24"/>
              </w:rPr>
              <w:t>)(</w:t>
            </w:r>
            <w:r>
              <w:rPr>
                <w:color w:val="auto"/>
                <w:sz w:val="24"/>
                <w:szCs w:val="24"/>
              </w:rPr>
              <w:t>试行</w:t>
            </w:r>
            <w:r>
              <w:rPr>
                <w:rFonts w:hint="eastAsia"/>
                <w:color w:val="auto"/>
                <w:sz w:val="24"/>
                <w:szCs w:val="24"/>
              </w:rPr>
              <w:t>)</w:t>
            </w:r>
            <w:r>
              <w:rPr>
                <w:color w:val="auto"/>
                <w:sz w:val="24"/>
                <w:szCs w:val="24"/>
              </w:rPr>
              <w:t>》</w:t>
            </w:r>
            <w:r>
              <w:rPr>
                <w:rFonts w:hint="eastAsia"/>
                <w:color w:val="auto"/>
                <w:sz w:val="24"/>
                <w:szCs w:val="24"/>
              </w:rPr>
              <w:t>(</w:t>
            </w:r>
            <w:r>
              <w:rPr>
                <w:color w:val="auto"/>
                <w:sz w:val="24"/>
                <w:szCs w:val="24"/>
              </w:rPr>
              <w:t>环办环评〔2020〕33号</w:t>
            </w:r>
            <w:r>
              <w:rPr>
                <w:rFonts w:hint="eastAsia"/>
                <w:color w:val="auto"/>
                <w:sz w:val="24"/>
                <w:szCs w:val="24"/>
              </w:rPr>
              <w:t>)的</w:t>
            </w:r>
            <w:r>
              <w:rPr>
                <w:color w:val="auto"/>
                <w:sz w:val="24"/>
                <w:szCs w:val="24"/>
              </w:rPr>
              <w:t>要求。</w:t>
            </w:r>
          </w:p>
          <w:p w14:paraId="2E04C07D">
            <w:pPr>
              <w:autoSpaceDE w:val="0"/>
              <w:autoSpaceDN w:val="0"/>
              <w:spacing w:line="360" w:lineRule="auto"/>
              <w:ind w:firstLine="480" w:firstLineChars="200"/>
              <w:textAlignment w:val="bottom"/>
              <w:rPr>
                <w:rFonts w:hint="eastAsia"/>
                <w:color w:val="auto"/>
                <w:sz w:val="24"/>
                <w:szCs w:val="24"/>
                <w:lang w:val="en-US" w:eastAsia="zh-CN"/>
              </w:rPr>
            </w:pPr>
          </w:p>
          <w:p w14:paraId="28757CF9">
            <w:pPr>
              <w:pStyle w:val="82"/>
              <w:rPr>
                <w:color w:val="auto"/>
                <w:sz w:val="24"/>
                <w:szCs w:val="24"/>
              </w:rPr>
            </w:pPr>
            <w:r>
              <w:rPr>
                <w:rFonts w:hint="eastAsia"/>
                <w:color w:val="auto"/>
                <w:sz w:val="24"/>
                <w:szCs w:val="24"/>
              </w:rPr>
              <w:t>3、声环境质量现状</w:t>
            </w:r>
          </w:p>
          <w:p w14:paraId="3E483792">
            <w:pPr>
              <w:widowControl/>
              <w:spacing w:line="360" w:lineRule="auto"/>
              <w:ind w:firstLine="480" w:firstLineChars="200"/>
              <w:jc w:val="left"/>
              <w:rPr>
                <w:rFonts w:eastAsiaTheme="minorEastAsia"/>
                <w:color w:val="auto"/>
                <w:kern w:val="0"/>
                <w:sz w:val="24"/>
                <w:szCs w:val="24"/>
              </w:rPr>
            </w:pPr>
            <w:r>
              <w:rPr>
                <w:rFonts w:hAnsiTheme="minorEastAsia" w:eastAsiaTheme="minorEastAsia"/>
                <w:color w:val="auto"/>
                <w:kern w:val="0"/>
                <w:sz w:val="24"/>
                <w:szCs w:val="24"/>
              </w:rPr>
              <w:t>（</w:t>
            </w:r>
            <w:r>
              <w:rPr>
                <w:rFonts w:eastAsiaTheme="minorEastAsia"/>
                <w:color w:val="auto"/>
                <w:kern w:val="0"/>
                <w:sz w:val="24"/>
                <w:szCs w:val="24"/>
              </w:rPr>
              <w:t>1</w:t>
            </w:r>
            <w:r>
              <w:rPr>
                <w:rFonts w:hAnsiTheme="minorEastAsia" w:eastAsiaTheme="minorEastAsia"/>
                <w:color w:val="auto"/>
                <w:kern w:val="0"/>
                <w:sz w:val="24"/>
                <w:szCs w:val="24"/>
              </w:rPr>
              <w:t>）声环境功能区划</w:t>
            </w:r>
          </w:p>
          <w:p w14:paraId="7388B114">
            <w:pPr>
              <w:spacing w:line="360" w:lineRule="auto"/>
              <w:ind w:firstLine="480" w:firstLineChars="200"/>
              <w:rPr>
                <w:rFonts w:hint="eastAsia" w:hAnsi="宋体"/>
                <w:color w:val="auto"/>
                <w:sz w:val="24"/>
                <w:szCs w:val="24"/>
              </w:rPr>
            </w:pPr>
            <w:r>
              <w:rPr>
                <w:rFonts w:hAnsi="宋体"/>
                <w:color w:val="auto"/>
                <w:sz w:val="24"/>
                <w:szCs w:val="24"/>
              </w:rPr>
              <w:t>本项目位于</w:t>
            </w:r>
            <w:r>
              <w:rPr>
                <w:rFonts w:hint="eastAsia"/>
                <w:color w:val="auto"/>
                <w:sz w:val="24"/>
                <w:szCs w:val="24"/>
                <w:lang w:eastAsia="zh-CN"/>
              </w:rPr>
              <w:t>福建（大田）机械铸造产业集聚区</w:t>
            </w:r>
            <w:r>
              <w:rPr>
                <w:rFonts w:hAnsi="宋体"/>
                <w:color w:val="auto"/>
                <w:sz w:val="24"/>
                <w:szCs w:val="24"/>
              </w:rPr>
              <w:t>，</w:t>
            </w:r>
            <w:r>
              <w:rPr>
                <w:rFonts w:hint="eastAsia" w:hAnsi="宋体"/>
                <w:color w:val="auto"/>
                <w:sz w:val="24"/>
                <w:szCs w:val="24"/>
                <w:lang w:val="en-US" w:eastAsia="zh-CN"/>
              </w:rPr>
              <w:t>周边主要为工业企业，</w:t>
            </w:r>
            <w:r>
              <w:rPr>
                <w:rFonts w:hAnsi="宋体"/>
                <w:color w:val="auto"/>
                <w:sz w:val="24"/>
                <w:szCs w:val="24"/>
              </w:rPr>
              <w:t>所在地为</w:t>
            </w:r>
            <w:r>
              <w:rPr>
                <w:color w:val="auto"/>
                <w:sz w:val="24"/>
                <w:szCs w:val="24"/>
              </w:rPr>
              <w:t>3</w:t>
            </w:r>
            <w:r>
              <w:rPr>
                <w:rFonts w:hAnsi="宋体"/>
                <w:color w:val="auto"/>
                <w:sz w:val="24"/>
                <w:szCs w:val="24"/>
              </w:rPr>
              <w:t>类声环境功能区，执行《声环境质量标准》（</w:t>
            </w:r>
            <w:r>
              <w:rPr>
                <w:color w:val="auto"/>
                <w:sz w:val="24"/>
                <w:szCs w:val="24"/>
              </w:rPr>
              <w:t>GB3096-2008</w:t>
            </w:r>
            <w:r>
              <w:rPr>
                <w:rFonts w:hAnsi="宋体"/>
                <w:color w:val="auto"/>
                <w:sz w:val="24"/>
                <w:szCs w:val="24"/>
              </w:rPr>
              <w:t>）中</w:t>
            </w:r>
            <w:r>
              <w:rPr>
                <w:color w:val="auto"/>
                <w:sz w:val="24"/>
                <w:szCs w:val="24"/>
              </w:rPr>
              <w:t>3</w:t>
            </w:r>
            <w:r>
              <w:rPr>
                <w:rFonts w:hAnsi="宋体"/>
                <w:color w:val="auto"/>
                <w:sz w:val="24"/>
                <w:szCs w:val="24"/>
              </w:rPr>
              <w:t>类标准。</w:t>
            </w:r>
          </w:p>
          <w:p w14:paraId="5DFE52AF">
            <w:pPr>
              <w:keepNext w:val="0"/>
              <w:keepLines w:val="0"/>
              <w:pageBreakBefore w:val="0"/>
              <w:widowControl w:val="0"/>
              <w:numPr>
                <w:ilvl w:val="4"/>
                <w:numId w:val="0"/>
              </w:numPr>
              <w:tabs>
                <w:tab w:val="left" w:pos="1369"/>
              </w:tabs>
              <w:kinsoku/>
              <w:wordWrap/>
              <w:overflowPunct/>
              <w:topLinePunct w:val="0"/>
              <w:autoSpaceDE/>
              <w:autoSpaceDN/>
              <w:bidi w:val="0"/>
              <w:adjustRightInd/>
              <w:snapToGrid/>
              <w:spacing w:line="360" w:lineRule="auto"/>
              <w:jc w:val="center"/>
              <w:textAlignment w:val="auto"/>
              <w:rPr>
                <w:b/>
                <w:color w:val="auto"/>
                <w:sz w:val="24"/>
                <w:szCs w:val="24"/>
              </w:rPr>
            </w:pPr>
            <w:bookmarkStart w:id="19" w:name="_Ref496017508"/>
            <w:r>
              <w:rPr>
                <w:rFonts w:hAnsi="宋体"/>
                <w:b/>
                <w:color w:val="auto"/>
                <w:sz w:val="24"/>
                <w:szCs w:val="24"/>
              </w:rPr>
              <w:t>表</w:t>
            </w:r>
            <w:r>
              <w:rPr>
                <w:rFonts w:hint="eastAsia" w:hAnsi="宋体"/>
                <w:b/>
                <w:color w:val="auto"/>
                <w:sz w:val="24"/>
                <w:szCs w:val="24"/>
              </w:rPr>
              <w:t>3-</w:t>
            </w:r>
            <w:r>
              <w:rPr>
                <w:rFonts w:hint="eastAsia" w:hAnsi="宋体"/>
                <w:b/>
                <w:color w:val="auto"/>
                <w:sz w:val="24"/>
                <w:szCs w:val="24"/>
                <w:lang w:val="en-US" w:eastAsia="zh-CN"/>
              </w:rPr>
              <w:t>5</w:t>
            </w:r>
            <w:r>
              <w:rPr>
                <w:rFonts w:hint="eastAsia" w:hAnsi="宋体"/>
                <w:b/>
                <w:color w:val="auto"/>
                <w:sz w:val="24"/>
                <w:szCs w:val="24"/>
              </w:rPr>
              <w:t xml:space="preserve"> </w:t>
            </w:r>
            <w:r>
              <w:rPr>
                <w:rFonts w:hint="eastAsia" w:hAnsi="宋体"/>
                <w:b/>
                <w:color w:val="auto"/>
                <w:sz w:val="24"/>
                <w:szCs w:val="24"/>
                <w:lang w:val="en-US" w:eastAsia="zh-CN"/>
              </w:rPr>
              <w:t xml:space="preserve"> </w:t>
            </w:r>
            <w:r>
              <w:rPr>
                <w:rFonts w:hAnsi="宋体"/>
                <w:b/>
                <w:color w:val="auto"/>
                <w:sz w:val="24"/>
                <w:szCs w:val="24"/>
              </w:rPr>
              <w:t>声环境质量标准</w:t>
            </w:r>
            <w:r>
              <w:rPr>
                <w:b/>
                <w:color w:val="auto"/>
                <w:sz w:val="24"/>
                <w:szCs w:val="24"/>
              </w:rPr>
              <w:t>(</w:t>
            </w:r>
            <w:r>
              <w:rPr>
                <w:rFonts w:hAnsi="宋体"/>
                <w:b/>
                <w:color w:val="auto"/>
                <w:sz w:val="24"/>
                <w:szCs w:val="24"/>
              </w:rPr>
              <w:t>摘录</w:t>
            </w:r>
            <w:r>
              <w:rPr>
                <w:b/>
                <w:color w:val="auto"/>
                <w:sz w:val="24"/>
                <w:szCs w:val="24"/>
              </w:rPr>
              <w:t xml:space="preserve">)    </w:t>
            </w:r>
            <w:r>
              <w:rPr>
                <w:rFonts w:hAnsi="宋体"/>
                <w:b/>
                <w:color w:val="auto"/>
                <w:sz w:val="24"/>
                <w:szCs w:val="24"/>
              </w:rPr>
              <w:t>单位：</w:t>
            </w:r>
            <w:r>
              <w:rPr>
                <w:b/>
                <w:color w:val="auto"/>
                <w:sz w:val="24"/>
                <w:szCs w:val="24"/>
              </w:rPr>
              <w:t>dB(A</w:t>
            </w:r>
            <w:bookmarkEnd w:id="19"/>
            <w:r>
              <w:rPr>
                <w:b/>
                <w:color w:val="auto"/>
                <w:sz w:val="24"/>
                <w:szCs w:val="24"/>
              </w:rPr>
              <w:t>)</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355"/>
              <w:gridCol w:w="2602"/>
              <w:gridCol w:w="2275"/>
              <w:gridCol w:w="2202"/>
            </w:tblGrid>
            <w:tr w14:paraId="657384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03" w:type="pct"/>
                  <w:vMerge w:val="restart"/>
                  <w:tcMar>
                    <w:left w:w="0" w:type="dxa"/>
                    <w:right w:w="0" w:type="dxa"/>
                  </w:tcMar>
                  <w:vAlign w:val="center"/>
                </w:tcPr>
                <w:p w14:paraId="00B6FEB0">
                  <w:pPr>
                    <w:tabs>
                      <w:tab w:val="left" w:pos="860"/>
                      <w:tab w:val="left" w:pos="1075"/>
                    </w:tabs>
                    <w:jc w:val="center"/>
                    <w:textAlignment w:val="center"/>
                    <w:rPr>
                      <w:b/>
                      <w:bCs/>
                      <w:color w:val="auto"/>
                      <w:sz w:val="18"/>
                      <w:szCs w:val="18"/>
                    </w:rPr>
                  </w:pPr>
                  <w:r>
                    <w:rPr>
                      <w:rFonts w:hAnsi="宋体"/>
                      <w:b/>
                      <w:bCs/>
                      <w:color w:val="auto"/>
                      <w:sz w:val="18"/>
                      <w:szCs w:val="18"/>
                    </w:rPr>
                    <w:t>类别</w:t>
                  </w:r>
                </w:p>
              </w:tc>
              <w:tc>
                <w:tcPr>
                  <w:tcW w:w="1542" w:type="pct"/>
                  <w:vMerge w:val="restart"/>
                  <w:vAlign w:val="center"/>
                </w:tcPr>
                <w:p w14:paraId="075543C3">
                  <w:pPr>
                    <w:tabs>
                      <w:tab w:val="left" w:pos="860"/>
                      <w:tab w:val="left" w:pos="1075"/>
                    </w:tabs>
                    <w:jc w:val="center"/>
                    <w:textAlignment w:val="center"/>
                    <w:rPr>
                      <w:b/>
                      <w:bCs/>
                      <w:color w:val="auto"/>
                      <w:sz w:val="18"/>
                      <w:szCs w:val="18"/>
                    </w:rPr>
                  </w:pPr>
                  <w:r>
                    <w:rPr>
                      <w:rFonts w:hAnsi="宋体"/>
                      <w:b/>
                      <w:bCs/>
                      <w:color w:val="auto"/>
                      <w:sz w:val="18"/>
                      <w:szCs w:val="18"/>
                    </w:rPr>
                    <w:t>适用区域</w:t>
                  </w:r>
                </w:p>
              </w:tc>
              <w:tc>
                <w:tcPr>
                  <w:tcW w:w="2653" w:type="pct"/>
                  <w:gridSpan w:val="2"/>
                  <w:vAlign w:val="center"/>
                </w:tcPr>
                <w:p w14:paraId="6D154E8E">
                  <w:pPr>
                    <w:tabs>
                      <w:tab w:val="left" w:pos="860"/>
                      <w:tab w:val="left" w:pos="1075"/>
                    </w:tabs>
                    <w:jc w:val="center"/>
                    <w:textAlignment w:val="center"/>
                    <w:rPr>
                      <w:b/>
                      <w:bCs/>
                      <w:color w:val="auto"/>
                      <w:sz w:val="18"/>
                      <w:szCs w:val="18"/>
                    </w:rPr>
                  </w:pPr>
                  <w:r>
                    <w:rPr>
                      <w:rFonts w:hAnsi="宋体"/>
                      <w:b/>
                      <w:bCs/>
                      <w:color w:val="auto"/>
                      <w:sz w:val="18"/>
                      <w:szCs w:val="18"/>
                    </w:rPr>
                    <w:t>执行标准（单位：</w:t>
                  </w:r>
                  <w:r>
                    <w:rPr>
                      <w:b/>
                      <w:bCs/>
                      <w:color w:val="auto"/>
                      <w:sz w:val="18"/>
                      <w:szCs w:val="18"/>
                    </w:rPr>
                    <w:t>dB(A)</w:t>
                  </w:r>
                  <w:r>
                    <w:rPr>
                      <w:rFonts w:hAnsi="宋体"/>
                      <w:b/>
                      <w:bCs/>
                      <w:color w:val="auto"/>
                      <w:sz w:val="18"/>
                      <w:szCs w:val="18"/>
                    </w:rPr>
                    <w:t>）</w:t>
                  </w:r>
                </w:p>
              </w:tc>
            </w:tr>
            <w:tr w14:paraId="29778C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03" w:type="pct"/>
                  <w:vMerge w:val="continue"/>
                  <w:tcMar>
                    <w:left w:w="0" w:type="dxa"/>
                    <w:right w:w="0" w:type="dxa"/>
                  </w:tcMar>
                  <w:vAlign w:val="center"/>
                </w:tcPr>
                <w:p w14:paraId="1BA37C42">
                  <w:pPr>
                    <w:tabs>
                      <w:tab w:val="left" w:pos="860"/>
                      <w:tab w:val="left" w:pos="1075"/>
                    </w:tabs>
                    <w:jc w:val="center"/>
                    <w:textAlignment w:val="center"/>
                    <w:rPr>
                      <w:b/>
                      <w:bCs/>
                      <w:color w:val="auto"/>
                      <w:sz w:val="18"/>
                      <w:szCs w:val="18"/>
                    </w:rPr>
                  </w:pPr>
                </w:p>
              </w:tc>
              <w:tc>
                <w:tcPr>
                  <w:tcW w:w="1542" w:type="pct"/>
                  <w:vMerge w:val="continue"/>
                  <w:vAlign w:val="center"/>
                </w:tcPr>
                <w:p w14:paraId="69E2C0BF">
                  <w:pPr>
                    <w:tabs>
                      <w:tab w:val="left" w:pos="860"/>
                      <w:tab w:val="left" w:pos="1075"/>
                    </w:tabs>
                    <w:jc w:val="center"/>
                    <w:textAlignment w:val="center"/>
                    <w:rPr>
                      <w:b/>
                      <w:bCs/>
                      <w:color w:val="auto"/>
                      <w:sz w:val="18"/>
                      <w:szCs w:val="18"/>
                    </w:rPr>
                  </w:pPr>
                </w:p>
              </w:tc>
              <w:tc>
                <w:tcPr>
                  <w:tcW w:w="1348" w:type="pct"/>
                  <w:vAlign w:val="center"/>
                </w:tcPr>
                <w:p w14:paraId="3B09583F">
                  <w:pPr>
                    <w:tabs>
                      <w:tab w:val="left" w:pos="860"/>
                      <w:tab w:val="left" w:pos="1075"/>
                    </w:tabs>
                    <w:jc w:val="center"/>
                    <w:textAlignment w:val="center"/>
                    <w:rPr>
                      <w:b/>
                      <w:bCs/>
                      <w:color w:val="auto"/>
                      <w:sz w:val="18"/>
                      <w:szCs w:val="18"/>
                    </w:rPr>
                  </w:pPr>
                  <w:r>
                    <w:rPr>
                      <w:rFonts w:hAnsi="宋体"/>
                      <w:b/>
                      <w:bCs/>
                      <w:color w:val="auto"/>
                      <w:sz w:val="18"/>
                      <w:szCs w:val="18"/>
                    </w:rPr>
                    <w:t>昼间</w:t>
                  </w:r>
                </w:p>
              </w:tc>
              <w:tc>
                <w:tcPr>
                  <w:tcW w:w="1305" w:type="pct"/>
                  <w:vAlign w:val="center"/>
                </w:tcPr>
                <w:p w14:paraId="708B4233">
                  <w:pPr>
                    <w:tabs>
                      <w:tab w:val="left" w:pos="860"/>
                      <w:tab w:val="left" w:pos="1075"/>
                    </w:tabs>
                    <w:jc w:val="center"/>
                    <w:textAlignment w:val="center"/>
                    <w:rPr>
                      <w:b/>
                      <w:bCs/>
                      <w:color w:val="auto"/>
                      <w:sz w:val="18"/>
                      <w:szCs w:val="18"/>
                    </w:rPr>
                  </w:pPr>
                  <w:r>
                    <w:rPr>
                      <w:rFonts w:hAnsi="宋体"/>
                      <w:b/>
                      <w:bCs/>
                      <w:color w:val="auto"/>
                      <w:sz w:val="18"/>
                      <w:szCs w:val="18"/>
                    </w:rPr>
                    <w:t>夜间</w:t>
                  </w:r>
                </w:p>
              </w:tc>
            </w:tr>
            <w:tr w14:paraId="5B5822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03" w:type="pct"/>
                  <w:tcMar>
                    <w:left w:w="0" w:type="dxa"/>
                    <w:right w:w="0" w:type="dxa"/>
                  </w:tcMar>
                  <w:vAlign w:val="center"/>
                </w:tcPr>
                <w:p w14:paraId="6A485DC0">
                  <w:pPr>
                    <w:tabs>
                      <w:tab w:val="left" w:pos="860"/>
                      <w:tab w:val="left" w:pos="1075"/>
                    </w:tabs>
                    <w:jc w:val="center"/>
                    <w:textAlignment w:val="center"/>
                    <w:rPr>
                      <w:color w:val="auto"/>
                      <w:sz w:val="18"/>
                      <w:szCs w:val="18"/>
                    </w:rPr>
                  </w:pPr>
                  <w:r>
                    <w:rPr>
                      <w:color w:val="auto"/>
                      <w:sz w:val="18"/>
                      <w:szCs w:val="18"/>
                    </w:rPr>
                    <w:t>3类</w:t>
                  </w:r>
                </w:p>
              </w:tc>
              <w:tc>
                <w:tcPr>
                  <w:tcW w:w="1542" w:type="pct"/>
                  <w:vAlign w:val="center"/>
                </w:tcPr>
                <w:p w14:paraId="754187AE">
                  <w:pPr>
                    <w:tabs>
                      <w:tab w:val="left" w:pos="860"/>
                      <w:tab w:val="left" w:pos="1075"/>
                    </w:tabs>
                    <w:jc w:val="center"/>
                    <w:textAlignment w:val="center"/>
                    <w:rPr>
                      <w:color w:val="auto"/>
                      <w:sz w:val="18"/>
                      <w:szCs w:val="18"/>
                    </w:rPr>
                  </w:pPr>
                  <w:r>
                    <w:rPr>
                      <w:rFonts w:hAnsi="宋体"/>
                      <w:color w:val="auto"/>
                      <w:sz w:val="18"/>
                      <w:szCs w:val="18"/>
                    </w:rPr>
                    <w:t>工业区</w:t>
                  </w:r>
                </w:p>
              </w:tc>
              <w:tc>
                <w:tcPr>
                  <w:tcW w:w="1348" w:type="pct"/>
                  <w:vAlign w:val="center"/>
                </w:tcPr>
                <w:p w14:paraId="6DFF24DB">
                  <w:pPr>
                    <w:tabs>
                      <w:tab w:val="left" w:pos="860"/>
                      <w:tab w:val="left" w:pos="1075"/>
                    </w:tabs>
                    <w:jc w:val="center"/>
                    <w:textAlignment w:val="center"/>
                    <w:rPr>
                      <w:color w:val="auto"/>
                      <w:sz w:val="18"/>
                      <w:szCs w:val="18"/>
                    </w:rPr>
                  </w:pPr>
                  <w:r>
                    <w:rPr>
                      <w:color w:val="auto"/>
                      <w:sz w:val="18"/>
                      <w:szCs w:val="18"/>
                    </w:rPr>
                    <w:t>65</w:t>
                  </w:r>
                </w:p>
              </w:tc>
              <w:tc>
                <w:tcPr>
                  <w:tcW w:w="1305" w:type="pct"/>
                  <w:vAlign w:val="center"/>
                </w:tcPr>
                <w:p w14:paraId="7035CF21">
                  <w:pPr>
                    <w:tabs>
                      <w:tab w:val="left" w:pos="860"/>
                      <w:tab w:val="left" w:pos="1075"/>
                    </w:tabs>
                    <w:jc w:val="center"/>
                    <w:textAlignment w:val="center"/>
                    <w:rPr>
                      <w:color w:val="auto"/>
                      <w:sz w:val="18"/>
                      <w:szCs w:val="18"/>
                    </w:rPr>
                  </w:pPr>
                  <w:r>
                    <w:rPr>
                      <w:color w:val="auto"/>
                      <w:sz w:val="18"/>
                      <w:szCs w:val="18"/>
                    </w:rPr>
                    <w:t>55</w:t>
                  </w:r>
                </w:p>
              </w:tc>
            </w:tr>
          </w:tbl>
          <w:p w14:paraId="5F35DEF1">
            <w:pPr>
              <w:widowControl/>
              <w:spacing w:before="120" w:beforeLines="50" w:line="360" w:lineRule="auto"/>
              <w:ind w:firstLine="480" w:firstLineChars="200"/>
              <w:jc w:val="left"/>
              <w:rPr>
                <w:rFonts w:eastAsiaTheme="minorEastAsia"/>
                <w:color w:val="auto"/>
                <w:kern w:val="0"/>
                <w:sz w:val="24"/>
                <w:szCs w:val="24"/>
              </w:rPr>
            </w:pPr>
            <w:r>
              <w:rPr>
                <w:rFonts w:hAnsiTheme="minorEastAsia" w:eastAsiaTheme="minorEastAsia"/>
                <w:color w:val="auto"/>
                <w:kern w:val="0"/>
                <w:sz w:val="24"/>
                <w:szCs w:val="24"/>
              </w:rPr>
              <w:t>（</w:t>
            </w:r>
            <w:r>
              <w:rPr>
                <w:rFonts w:eastAsiaTheme="minorEastAsia"/>
                <w:color w:val="auto"/>
                <w:kern w:val="0"/>
                <w:sz w:val="24"/>
                <w:szCs w:val="24"/>
              </w:rPr>
              <w:t>2</w:t>
            </w:r>
            <w:r>
              <w:rPr>
                <w:rFonts w:hAnsiTheme="minorEastAsia" w:eastAsiaTheme="minorEastAsia"/>
                <w:color w:val="auto"/>
                <w:kern w:val="0"/>
                <w:sz w:val="24"/>
                <w:szCs w:val="24"/>
              </w:rPr>
              <w:t>）声环境质量现状</w:t>
            </w:r>
          </w:p>
          <w:p w14:paraId="30B6BCF0">
            <w:pPr>
              <w:widowControl/>
              <w:spacing w:line="360" w:lineRule="auto"/>
              <w:ind w:firstLine="480" w:firstLineChars="200"/>
              <w:jc w:val="left"/>
              <w:rPr>
                <w:rFonts w:hint="eastAsia" w:hAnsi="宋体"/>
                <w:color w:val="auto"/>
                <w:sz w:val="24"/>
                <w:szCs w:val="24"/>
              </w:rPr>
            </w:pPr>
            <w:r>
              <w:rPr>
                <w:rFonts w:hint="eastAsia" w:hAnsi="宋体"/>
                <w:color w:val="auto"/>
                <w:sz w:val="24"/>
                <w:szCs w:val="24"/>
              </w:rPr>
              <w:t>项目</w:t>
            </w:r>
            <w:r>
              <w:rPr>
                <w:rFonts w:hint="eastAsia" w:hAnsi="宋体"/>
                <w:color w:val="auto"/>
                <w:sz w:val="24"/>
                <w:szCs w:val="24"/>
                <w:lang w:val="en-US" w:eastAsia="zh-CN"/>
              </w:rPr>
              <w:t>厂界</w:t>
            </w:r>
            <w:r>
              <w:rPr>
                <w:rFonts w:hint="eastAsia" w:hAnsi="宋体"/>
                <w:color w:val="auto"/>
                <w:sz w:val="24"/>
                <w:szCs w:val="24"/>
              </w:rPr>
              <w:t>周边50m范围内无声环境敏感目标，因此本评价可不开展声环境质量现状调查。</w:t>
            </w:r>
          </w:p>
          <w:p w14:paraId="6D7B008D">
            <w:pPr>
              <w:pStyle w:val="82"/>
              <w:rPr>
                <w:color w:val="auto"/>
                <w:sz w:val="24"/>
                <w:szCs w:val="24"/>
              </w:rPr>
            </w:pPr>
            <w:r>
              <w:rPr>
                <w:rFonts w:hint="eastAsia"/>
                <w:color w:val="auto"/>
                <w:sz w:val="24"/>
                <w:szCs w:val="24"/>
              </w:rPr>
              <w:t>4、土壤、地下水环境现状</w:t>
            </w:r>
          </w:p>
          <w:p w14:paraId="22D1185C">
            <w:pPr>
              <w:pStyle w:val="78"/>
              <w:tabs>
                <w:tab w:val="left" w:pos="343"/>
                <w:tab w:val="left" w:pos="1483"/>
              </w:tabs>
              <w:spacing w:line="360" w:lineRule="auto"/>
              <w:ind w:firstLine="480"/>
              <w:rPr>
                <w:rFonts w:hint="eastAsia" w:hAnsi="宋体"/>
                <w:color w:val="auto"/>
                <w:sz w:val="24"/>
                <w:szCs w:val="24"/>
              </w:rPr>
            </w:pPr>
            <w:r>
              <w:rPr>
                <w:rFonts w:hint="eastAsia" w:hAnsi="宋体"/>
                <w:color w:val="auto"/>
                <w:sz w:val="24"/>
                <w:szCs w:val="24"/>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4AA05411">
            <w:pPr>
              <w:pStyle w:val="78"/>
              <w:tabs>
                <w:tab w:val="left" w:pos="343"/>
                <w:tab w:val="left" w:pos="1483"/>
              </w:tabs>
              <w:spacing w:line="360" w:lineRule="auto"/>
              <w:ind w:firstLine="480"/>
              <w:rPr>
                <w:rFonts w:hint="eastAsia" w:hAnsi="宋体"/>
                <w:color w:val="auto"/>
                <w:sz w:val="24"/>
                <w:szCs w:val="24"/>
              </w:rPr>
            </w:pPr>
            <w:r>
              <w:rPr>
                <w:rFonts w:hint="eastAsia" w:hAnsi="宋体"/>
                <w:color w:val="auto"/>
                <w:sz w:val="24"/>
                <w:szCs w:val="24"/>
              </w:rPr>
              <w:t>根据现场勘查，</w:t>
            </w:r>
            <w:r>
              <w:rPr>
                <w:rFonts w:hint="eastAsia" w:hAnsi="宋体"/>
                <w:color w:val="auto"/>
                <w:sz w:val="24"/>
                <w:szCs w:val="24"/>
                <w:lang w:val="zh-CN"/>
              </w:rPr>
              <w:t>本项目</w:t>
            </w:r>
            <w:r>
              <w:rPr>
                <w:rFonts w:hint="eastAsia" w:hAnsi="宋体"/>
                <w:color w:val="auto"/>
                <w:sz w:val="24"/>
                <w:szCs w:val="24"/>
                <w:lang w:val="en-US" w:eastAsia="zh-CN"/>
              </w:rPr>
              <w:t>位</w:t>
            </w:r>
            <w:r>
              <w:rPr>
                <w:rFonts w:hint="eastAsia" w:hAnsi="宋体"/>
                <w:color w:val="auto"/>
                <w:sz w:val="24"/>
                <w:szCs w:val="24"/>
                <w:lang w:val="zh-CN"/>
              </w:rPr>
              <w:t>于工业园区内</w:t>
            </w:r>
            <w:r>
              <w:rPr>
                <w:rFonts w:hint="eastAsia" w:hAnsi="宋体"/>
                <w:color w:val="auto"/>
                <w:sz w:val="24"/>
                <w:szCs w:val="24"/>
              </w:rPr>
              <w:t>，生产过程不排放持久性污染物及重金属等污染物，严格按照要求对项目进行分区防渗防治后，项目对地下水、土壤环境影响很小，在严格环境管理，对土壤、地下水污染可控，因此，本评价不对地下水、土壤环境质量进行补充监测。</w:t>
            </w:r>
          </w:p>
          <w:p w14:paraId="03C5F76E">
            <w:pPr>
              <w:pStyle w:val="82"/>
              <w:rPr>
                <w:color w:val="auto"/>
                <w:sz w:val="24"/>
                <w:szCs w:val="24"/>
              </w:rPr>
            </w:pPr>
            <w:r>
              <w:rPr>
                <w:rFonts w:hint="eastAsia"/>
                <w:color w:val="auto"/>
                <w:sz w:val="24"/>
                <w:szCs w:val="24"/>
              </w:rPr>
              <w:t>5、生态环境</w:t>
            </w:r>
          </w:p>
          <w:p w14:paraId="5CB1F5F9">
            <w:pPr>
              <w:pStyle w:val="78"/>
              <w:tabs>
                <w:tab w:val="left" w:pos="343"/>
                <w:tab w:val="left" w:pos="1483"/>
              </w:tabs>
              <w:spacing w:line="360" w:lineRule="auto"/>
              <w:ind w:firstLine="480"/>
              <w:rPr>
                <w:rFonts w:hint="eastAsia" w:hAnsi="宋体"/>
                <w:color w:val="auto"/>
                <w:sz w:val="24"/>
                <w:szCs w:val="24"/>
              </w:rPr>
            </w:pPr>
            <w:r>
              <w:rPr>
                <w:rFonts w:hint="eastAsia" w:hAnsi="宋体"/>
                <w:color w:val="auto"/>
                <w:sz w:val="24"/>
                <w:szCs w:val="24"/>
              </w:rPr>
              <w:t>根据《建设项目环境影响报告表编制技术指南（污染影响类）</w:t>
            </w:r>
            <w:r>
              <w:rPr>
                <w:rFonts w:hint="eastAsia" w:hAnsi="宋体"/>
                <w:color w:val="auto"/>
                <w:sz w:val="24"/>
                <w:szCs w:val="24"/>
                <w:lang w:eastAsia="zh-CN"/>
              </w:rPr>
              <w:t>（试行）》</w:t>
            </w:r>
            <w:r>
              <w:rPr>
                <w:rFonts w:hint="eastAsia" w:hAnsi="宋体"/>
                <w:color w:val="auto"/>
                <w:sz w:val="24"/>
                <w:szCs w:val="24"/>
              </w:rPr>
              <w:t>：产业园区外建设项目新增用地且用地范围内含有生态环境保护目标时，应进行生态现状调查。本项目位于工业园区内，无新增用地，周边无生态环境保护目标，因此不进行生态现状调查。</w:t>
            </w:r>
          </w:p>
          <w:p w14:paraId="32364872">
            <w:pPr>
              <w:pStyle w:val="82"/>
              <w:rPr>
                <w:color w:val="auto"/>
                <w:sz w:val="24"/>
                <w:szCs w:val="24"/>
              </w:rPr>
            </w:pPr>
            <w:r>
              <w:rPr>
                <w:rFonts w:hint="eastAsia"/>
                <w:color w:val="auto"/>
                <w:sz w:val="24"/>
                <w:szCs w:val="24"/>
              </w:rPr>
              <w:t>6、电磁辐射</w:t>
            </w:r>
          </w:p>
          <w:p w14:paraId="4262B285">
            <w:pPr>
              <w:snapToGrid w:val="0"/>
              <w:spacing w:line="360" w:lineRule="auto"/>
              <w:ind w:firstLine="480" w:firstLineChars="200"/>
              <w:rPr>
                <w:rFonts w:hint="eastAsia"/>
                <w:color w:val="auto"/>
                <w:sz w:val="24"/>
                <w:szCs w:val="24"/>
              </w:rPr>
            </w:pPr>
            <w:r>
              <w:rPr>
                <w:rFonts w:hint="eastAsia"/>
                <w:color w:val="auto"/>
                <w:sz w:val="24"/>
                <w:szCs w:val="24"/>
              </w:rPr>
              <w:t>本项目不属于广播电台、差转台、电视塔台、卫星地球上行站、雷达等电磁辐射类项目，无需开展电磁辐射现状监测与评价。</w:t>
            </w:r>
          </w:p>
        </w:tc>
      </w:tr>
      <w:tr w14:paraId="38AA9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411" w:type="dxa"/>
            <w:vAlign w:val="center"/>
          </w:tcPr>
          <w:p w14:paraId="65A952F5">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2BE07E49">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保护</w:t>
            </w:r>
          </w:p>
          <w:p w14:paraId="5E5984F8">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目标</w:t>
            </w:r>
          </w:p>
        </w:tc>
        <w:tc>
          <w:tcPr>
            <w:tcW w:w="8650" w:type="dxa"/>
            <w:vAlign w:val="center"/>
          </w:tcPr>
          <w:p w14:paraId="2B4EFEC1">
            <w:pPr>
              <w:keepNext w:val="0"/>
              <w:keepLines w:val="0"/>
              <w:pageBreakBefore w:val="0"/>
              <w:widowControl/>
              <w:kinsoku/>
              <w:wordWrap/>
              <w:overflowPunct/>
              <w:topLinePunct w:val="0"/>
              <w:autoSpaceDE/>
              <w:autoSpaceDN/>
              <w:bidi w:val="0"/>
              <w:adjustRightInd/>
              <w:snapToGrid w:val="0"/>
              <w:spacing w:before="157" w:beforeLines="50" w:line="360" w:lineRule="auto"/>
              <w:ind w:firstLine="480" w:firstLineChars="200"/>
              <w:textAlignment w:val="auto"/>
              <w:rPr>
                <w:color w:val="auto"/>
                <w:sz w:val="24"/>
                <w:szCs w:val="24"/>
              </w:rPr>
            </w:pPr>
            <w:r>
              <w:rPr>
                <w:color w:val="auto"/>
                <w:sz w:val="24"/>
                <w:szCs w:val="24"/>
              </w:rPr>
              <w:t>根据《建设项目环境影响报告表编制技术指南（污染影响类）（试行）》要求，</w:t>
            </w:r>
            <w:r>
              <w:rPr>
                <w:rFonts w:hint="eastAsia"/>
                <w:color w:val="auto"/>
                <w:sz w:val="24"/>
                <w:szCs w:val="24"/>
              </w:rPr>
              <w:t>本项目涉及的环境保护目标如下：</w:t>
            </w:r>
          </w:p>
          <w:p w14:paraId="108FF1BB">
            <w:pPr>
              <w:pStyle w:val="82"/>
              <w:rPr>
                <w:color w:val="auto"/>
                <w:sz w:val="24"/>
                <w:szCs w:val="24"/>
              </w:rPr>
            </w:pPr>
            <w:r>
              <w:rPr>
                <w:rFonts w:hint="eastAsia"/>
                <w:color w:val="auto"/>
                <w:sz w:val="24"/>
                <w:szCs w:val="24"/>
              </w:rPr>
              <w:t>1、</w:t>
            </w:r>
            <w:r>
              <w:rPr>
                <w:color w:val="auto"/>
                <w:sz w:val="24"/>
                <w:szCs w:val="24"/>
              </w:rPr>
              <w:t>大气环境保护目标</w:t>
            </w:r>
          </w:p>
          <w:p w14:paraId="7D394E93">
            <w:pPr>
              <w:widowControl/>
              <w:snapToGrid w:val="0"/>
              <w:spacing w:line="360" w:lineRule="auto"/>
              <w:ind w:firstLine="480" w:firstLineChars="200"/>
              <w:rPr>
                <w:rFonts w:hint="default" w:eastAsia="宋体"/>
                <w:color w:val="auto"/>
                <w:sz w:val="24"/>
                <w:szCs w:val="24"/>
                <w:lang w:val="en-US" w:eastAsia="zh-CN"/>
              </w:rPr>
            </w:pPr>
            <w:r>
              <w:rPr>
                <w:color w:val="auto"/>
                <w:sz w:val="24"/>
                <w:szCs w:val="24"/>
              </w:rPr>
              <w:t>根据现场</w:t>
            </w:r>
            <w:r>
              <w:rPr>
                <w:rFonts w:hint="eastAsia"/>
                <w:color w:val="auto"/>
                <w:sz w:val="24"/>
                <w:szCs w:val="24"/>
                <w:lang w:val="en-US" w:eastAsia="zh-CN"/>
              </w:rPr>
              <w:t>调查</w:t>
            </w:r>
            <w:r>
              <w:rPr>
                <w:color w:val="auto"/>
                <w:sz w:val="24"/>
                <w:szCs w:val="24"/>
              </w:rPr>
              <w:t>，本项目厂界外500</w:t>
            </w:r>
            <w:r>
              <w:rPr>
                <w:rFonts w:hint="eastAsia"/>
                <w:color w:val="auto"/>
                <w:sz w:val="24"/>
                <w:szCs w:val="24"/>
              </w:rPr>
              <w:t>m</w:t>
            </w:r>
            <w:r>
              <w:rPr>
                <w:color w:val="auto"/>
                <w:sz w:val="24"/>
                <w:szCs w:val="24"/>
              </w:rPr>
              <w:t>范围</w:t>
            </w:r>
            <w:r>
              <w:rPr>
                <w:rFonts w:hint="eastAsia"/>
                <w:color w:val="auto"/>
                <w:sz w:val="24"/>
                <w:szCs w:val="24"/>
                <w:lang w:val="en-US" w:eastAsia="zh-CN"/>
              </w:rPr>
              <w:t>无居民区、学校、医院等敏感目标</w:t>
            </w:r>
            <w:r>
              <w:rPr>
                <w:rFonts w:hint="eastAsia"/>
                <w:color w:val="auto"/>
                <w:sz w:val="24"/>
                <w:szCs w:val="24"/>
              </w:rPr>
              <w:t>。</w:t>
            </w:r>
            <w:r>
              <w:rPr>
                <w:rFonts w:hint="eastAsia"/>
                <w:color w:val="auto"/>
                <w:sz w:val="24"/>
                <w:szCs w:val="24"/>
                <w:lang w:val="en-US" w:eastAsia="zh-CN"/>
              </w:rPr>
              <w:t>距离较近的大气环境保护目标主要为西南侧750m三阳村、北侧1450m灵川村，</w:t>
            </w:r>
            <w:r>
              <w:rPr>
                <w:rFonts w:hint="eastAsia"/>
                <w:color w:val="auto"/>
                <w:sz w:val="24"/>
                <w:szCs w:val="24"/>
              </w:rPr>
              <w:t>见表3-</w:t>
            </w:r>
            <w:r>
              <w:rPr>
                <w:rFonts w:hint="eastAsia"/>
                <w:color w:val="auto"/>
                <w:sz w:val="24"/>
                <w:szCs w:val="24"/>
                <w:lang w:val="en-US" w:eastAsia="zh-CN"/>
              </w:rPr>
              <w:t>6、附图3。</w:t>
            </w:r>
          </w:p>
          <w:p w14:paraId="5753C9CE">
            <w:pPr>
              <w:pStyle w:val="82"/>
              <w:spacing w:before="120" w:beforeLines="50"/>
              <w:rPr>
                <w:color w:val="auto"/>
                <w:sz w:val="24"/>
                <w:szCs w:val="24"/>
              </w:rPr>
            </w:pPr>
            <w:r>
              <w:rPr>
                <w:rFonts w:hint="eastAsia"/>
                <w:color w:val="auto"/>
                <w:sz w:val="24"/>
                <w:szCs w:val="24"/>
              </w:rPr>
              <w:t>2、水环境保护目标</w:t>
            </w:r>
          </w:p>
          <w:p w14:paraId="4471C64B">
            <w:pPr>
              <w:adjustRightInd w:val="0"/>
              <w:snapToGrid w:val="0"/>
              <w:spacing w:line="360" w:lineRule="auto"/>
              <w:ind w:firstLine="480" w:firstLineChars="200"/>
              <w:rPr>
                <w:color w:val="auto"/>
                <w:sz w:val="24"/>
                <w:szCs w:val="24"/>
              </w:rPr>
            </w:pPr>
            <w:r>
              <w:rPr>
                <w:rFonts w:hint="eastAsia"/>
                <w:color w:val="auto"/>
                <w:sz w:val="24"/>
                <w:szCs w:val="24"/>
              </w:rPr>
              <w:t>经调查，项目</w:t>
            </w:r>
            <w:r>
              <w:rPr>
                <w:rFonts w:hint="eastAsia"/>
                <w:color w:val="auto"/>
                <w:sz w:val="24"/>
                <w:szCs w:val="24"/>
                <w:lang w:val="en-US" w:eastAsia="zh-CN"/>
              </w:rPr>
              <w:t>周边地表水体主要为西侧980m三阳溪，属上京溪支流，周边水</w:t>
            </w:r>
            <w:r>
              <w:rPr>
                <w:rFonts w:hint="eastAsia"/>
                <w:color w:val="auto"/>
                <w:sz w:val="24"/>
                <w:szCs w:val="24"/>
              </w:rPr>
              <w:t>环境保护目标见表3-</w:t>
            </w:r>
            <w:r>
              <w:rPr>
                <w:rFonts w:hint="eastAsia"/>
                <w:color w:val="auto"/>
                <w:sz w:val="24"/>
                <w:szCs w:val="24"/>
                <w:lang w:val="en-US" w:eastAsia="zh-CN"/>
              </w:rPr>
              <w:t>6、附图4</w:t>
            </w:r>
            <w:r>
              <w:rPr>
                <w:rFonts w:hint="eastAsia"/>
                <w:color w:val="auto"/>
                <w:sz w:val="24"/>
                <w:szCs w:val="24"/>
              </w:rPr>
              <w:t>。</w:t>
            </w:r>
          </w:p>
          <w:p w14:paraId="5BD0F8A5">
            <w:pPr>
              <w:pStyle w:val="82"/>
              <w:rPr>
                <w:color w:val="auto"/>
                <w:sz w:val="24"/>
                <w:szCs w:val="24"/>
              </w:rPr>
            </w:pPr>
            <w:r>
              <w:rPr>
                <w:rFonts w:hint="eastAsia"/>
                <w:color w:val="auto"/>
                <w:sz w:val="24"/>
                <w:szCs w:val="24"/>
              </w:rPr>
              <w:t>3、</w:t>
            </w:r>
            <w:r>
              <w:rPr>
                <w:color w:val="auto"/>
                <w:sz w:val="24"/>
                <w:szCs w:val="24"/>
              </w:rPr>
              <w:t>声环境保护目标</w:t>
            </w:r>
          </w:p>
          <w:p w14:paraId="7ADFC421">
            <w:pPr>
              <w:widowControl/>
              <w:snapToGrid w:val="0"/>
              <w:spacing w:line="360" w:lineRule="auto"/>
              <w:ind w:firstLine="480" w:firstLineChars="200"/>
              <w:rPr>
                <w:color w:val="auto"/>
                <w:sz w:val="24"/>
                <w:szCs w:val="24"/>
              </w:rPr>
            </w:pPr>
            <w:r>
              <w:rPr>
                <w:color w:val="auto"/>
                <w:sz w:val="24"/>
                <w:szCs w:val="24"/>
              </w:rPr>
              <w:t>本项目</w:t>
            </w:r>
            <w:r>
              <w:rPr>
                <w:rFonts w:hint="eastAsia"/>
                <w:color w:val="auto"/>
                <w:sz w:val="24"/>
                <w:szCs w:val="24"/>
                <w:lang w:val="en-US" w:eastAsia="zh-CN"/>
              </w:rPr>
              <w:t>周边主要为工业企业，</w:t>
            </w:r>
            <w:r>
              <w:rPr>
                <w:color w:val="auto"/>
                <w:sz w:val="24"/>
                <w:szCs w:val="24"/>
              </w:rPr>
              <w:t>厂界外50</w:t>
            </w:r>
            <w:r>
              <w:rPr>
                <w:rFonts w:hint="eastAsia"/>
                <w:color w:val="auto"/>
                <w:sz w:val="24"/>
                <w:szCs w:val="24"/>
              </w:rPr>
              <w:t>m</w:t>
            </w:r>
            <w:r>
              <w:rPr>
                <w:color w:val="auto"/>
                <w:sz w:val="24"/>
                <w:szCs w:val="24"/>
              </w:rPr>
              <w:t>范围内无声环境保护目标。</w:t>
            </w:r>
          </w:p>
          <w:p w14:paraId="75741F4B">
            <w:pPr>
              <w:pStyle w:val="82"/>
              <w:rPr>
                <w:color w:val="auto"/>
                <w:sz w:val="24"/>
                <w:szCs w:val="24"/>
              </w:rPr>
            </w:pPr>
            <w:r>
              <w:rPr>
                <w:rFonts w:hint="eastAsia"/>
                <w:color w:val="auto"/>
                <w:sz w:val="24"/>
                <w:szCs w:val="24"/>
              </w:rPr>
              <w:t>4、</w:t>
            </w:r>
            <w:r>
              <w:rPr>
                <w:color w:val="auto"/>
                <w:sz w:val="24"/>
                <w:szCs w:val="24"/>
              </w:rPr>
              <w:t>地下水环境保护目标</w:t>
            </w:r>
          </w:p>
          <w:p w14:paraId="02E18373">
            <w:pPr>
              <w:widowControl/>
              <w:snapToGrid w:val="0"/>
              <w:spacing w:line="360" w:lineRule="auto"/>
              <w:ind w:firstLine="480" w:firstLineChars="200"/>
              <w:rPr>
                <w:color w:val="auto"/>
                <w:sz w:val="24"/>
                <w:szCs w:val="24"/>
              </w:rPr>
            </w:pPr>
            <w:r>
              <w:rPr>
                <w:color w:val="auto"/>
                <w:sz w:val="24"/>
                <w:szCs w:val="24"/>
              </w:rPr>
              <w:t>根据《建设项目环境影响报告表编制技术指南（污染影响类）（试行）》要求，</w:t>
            </w:r>
            <w:r>
              <w:rPr>
                <w:rFonts w:hint="eastAsia"/>
                <w:color w:val="auto"/>
                <w:sz w:val="24"/>
                <w:szCs w:val="24"/>
              </w:rPr>
              <w:t>本项目不需开展地下水环境保护目标调查。</w:t>
            </w:r>
            <w:r>
              <w:rPr>
                <w:color w:val="auto"/>
                <w:sz w:val="24"/>
                <w:szCs w:val="24"/>
              </w:rPr>
              <w:t>本项目厂界外500</w:t>
            </w:r>
            <w:r>
              <w:rPr>
                <w:rFonts w:hint="eastAsia"/>
                <w:color w:val="auto"/>
                <w:sz w:val="24"/>
                <w:szCs w:val="24"/>
              </w:rPr>
              <w:t>m</w:t>
            </w:r>
            <w:r>
              <w:rPr>
                <w:color w:val="auto"/>
                <w:sz w:val="24"/>
                <w:szCs w:val="24"/>
              </w:rPr>
              <w:t>范围内无地下水集中式饮用水源和热水、矿泉水、温泉等特殊地下水资源。</w:t>
            </w:r>
          </w:p>
          <w:p w14:paraId="207C885A">
            <w:pPr>
              <w:pStyle w:val="82"/>
              <w:rPr>
                <w:color w:val="auto"/>
                <w:sz w:val="24"/>
                <w:szCs w:val="24"/>
              </w:rPr>
            </w:pPr>
            <w:r>
              <w:rPr>
                <w:color w:val="auto"/>
                <w:sz w:val="24"/>
                <w:szCs w:val="24"/>
              </w:rPr>
              <w:t>5</w:t>
            </w:r>
            <w:r>
              <w:rPr>
                <w:rFonts w:hint="eastAsia"/>
                <w:color w:val="auto"/>
                <w:sz w:val="24"/>
                <w:szCs w:val="24"/>
              </w:rPr>
              <w:t>、土壤</w:t>
            </w:r>
            <w:r>
              <w:rPr>
                <w:color w:val="auto"/>
                <w:sz w:val="24"/>
                <w:szCs w:val="24"/>
              </w:rPr>
              <w:t>环境保护目标</w:t>
            </w:r>
          </w:p>
          <w:p w14:paraId="6487B9AA">
            <w:pPr>
              <w:widowControl/>
              <w:snapToGrid w:val="0"/>
              <w:spacing w:line="360" w:lineRule="auto"/>
              <w:ind w:firstLine="480" w:firstLineChars="200"/>
              <w:rPr>
                <w:color w:val="auto"/>
                <w:sz w:val="24"/>
                <w:szCs w:val="24"/>
              </w:rPr>
            </w:pPr>
            <w:r>
              <w:rPr>
                <w:color w:val="auto"/>
                <w:sz w:val="24"/>
                <w:szCs w:val="24"/>
              </w:rPr>
              <w:t>根据《建设项目环境影响报告表编制技术指南（污染影响类）（试行）》要求，</w:t>
            </w:r>
            <w:r>
              <w:rPr>
                <w:rFonts w:hint="eastAsia"/>
                <w:color w:val="auto"/>
                <w:sz w:val="24"/>
                <w:szCs w:val="24"/>
              </w:rPr>
              <w:t>本项目不需开展土壤环境保护目标调查。</w:t>
            </w:r>
          </w:p>
          <w:p w14:paraId="45EA9EDA">
            <w:pPr>
              <w:pStyle w:val="82"/>
              <w:rPr>
                <w:color w:val="auto"/>
                <w:sz w:val="24"/>
                <w:szCs w:val="24"/>
              </w:rPr>
            </w:pPr>
            <w:r>
              <w:rPr>
                <w:rFonts w:hint="eastAsia"/>
                <w:color w:val="auto"/>
                <w:sz w:val="24"/>
                <w:szCs w:val="24"/>
              </w:rPr>
              <w:t>6、</w:t>
            </w:r>
            <w:r>
              <w:rPr>
                <w:color w:val="auto"/>
                <w:sz w:val="24"/>
                <w:szCs w:val="24"/>
              </w:rPr>
              <w:t>生态环境保护目标</w:t>
            </w:r>
          </w:p>
          <w:p w14:paraId="1A8A13A6">
            <w:pPr>
              <w:pStyle w:val="58"/>
              <w:adjustRightInd w:val="0"/>
              <w:snapToGrid w:val="0"/>
              <w:ind w:firstLine="480" w:firstLineChars="200"/>
              <w:rPr>
                <w:rFonts w:hint="eastAsia"/>
                <w:color w:val="auto"/>
                <w:spacing w:val="0"/>
                <w:sz w:val="24"/>
                <w:szCs w:val="24"/>
              </w:rPr>
            </w:pPr>
            <w:r>
              <w:rPr>
                <w:rFonts w:hint="default" w:ascii="Times New Roman" w:hAnsi="Times New Roman" w:cs="Times New Roman"/>
                <w:color w:val="auto"/>
                <w:spacing w:val="0"/>
                <w:sz w:val="24"/>
                <w:szCs w:val="24"/>
              </w:rPr>
              <w:t>根据《建设项目环境影响报告表编制技术指南（污染影响类）</w:t>
            </w:r>
            <w:r>
              <w:rPr>
                <w:rFonts w:hint="eastAsia" w:ascii="Times New Roman" w:hAnsi="Times New Roman" w:cs="Times New Roman"/>
                <w:color w:val="auto"/>
                <w:spacing w:val="0"/>
                <w:sz w:val="24"/>
                <w:szCs w:val="24"/>
                <w:lang w:eastAsia="zh-CN"/>
              </w:rPr>
              <w:t>（试行）》</w:t>
            </w:r>
            <w:bookmarkStart w:id="44" w:name="_GoBack"/>
            <w:bookmarkEnd w:id="44"/>
            <w:r>
              <w:rPr>
                <w:rFonts w:hint="default" w:ascii="Times New Roman" w:hAnsi="Times New Roman" w:cs="Times New Roman"/>
                <w:color w:val="auto"/>
                <w:spacing w:val="0"/>
                <w:sz w:val="24"/>
                <w:szCs w:val="24"/>
              </w:rPr>
              <w:t>（环办环评〔2020〕33号）规定“产业园区外建设项目新增用地且用地范围内含有生态环境保护目标时，</w:t>
            </w:r>
            <w:r>
              <w:rPr>
                <w:rFonts w:hint="eastAsia"/>
                <w:color w:val="auto"/>
                <w:spacing w:val="0"/>
                <w:sz w:val="24"/>
                <w:szCs w:val="24"/>
              </w:rPr>
              <w:t>应进行生态现状调查。”</w:t>
            </w:r>
          </w:p>
          <w:p w14:paraId="54DCE0D8">
            <w:pPr>
              <w:pStyle w:val="58"/>
              <w:adjustRightInd w:val="0"/>
              <w:snapToGrid w:val="0"/>
              <w:ind w:firstLine="480" w:firstLineChars="200"/>
              <w:rPr>
                <w:rFonts w:hint="eastAsia"/>
                <w:color w:val="auto"/>
                <w:spacing w:val="0"/>
                <w:sz w:val="24"/>
                <w:szCs w:val="24"/>
              </w:rPr>
            </w:pPr>
            <w:r>
              <w:rPr>
                <w:rFonts w:hint="eastAsia"/>
                <w:color w:val="auto"/>
                <w:spacing w:val="0"/>
                <w:sz w:val="24"/>
                <w:szCs w:val="24"/>
              </w:rPr>
              <w:t>项目位于福建（大田）机械铸造产业集聚区，根据现场勘查，项目用地范围内</w:t>
            </w:r>
            <w:r>
              <w:rPr>
                <w:rFonts w:hint="eastAsia"/>
                <w:color w:val="auto"/>
                <w:spacing w:val="0"/>
                <w:sz w:val="24"/>
                <w:szCs w:val="24"/>
                <w:lang w:val="en-US" w:eastAsia="zh-CN"/>
              </w:rPr>
              <w:t>无</w:t>
            </w:r>
            <w:r>
              <w:rPr>
                <w:rFonts w:hint="eastAsia"/>
                <w:color w:val="auto"/>
                <w:spacing w:val="0"/>
                <w:sz w:val="24"/>
                <w:szCs w:val="24"/>
              </w:rPr>
              <w:t>生态环境保护目标，因此，本评价不对项目生态环境进行现状调查。</w:t>
            </w:r>
          </w:p>
          <w:p w14:paraId="295993EC">
            <w:pPr>
              <w:pStyle w:val="58"/>
              <w:adjustRightInd w:val="0"/>
              <w:snapToGrid w:val="0"/>
              <w:ind w:firstLine="480" w:firstLineChars="200"/>
              <w:rPr>
                <w:rFonts w:hint="eastAsia"/>
                <w:color w:val="auto"/>
                <w:spacing w:val="0"/>
                <w:sz w:val="24"/>
                <w:szCs w:val="24"/>
              </w:rPr>
            </w:pPr>
          </w:p>
          <w:p w14:paraId="52C34000">
            <w:pPr>
              <w:pStyle w:val="58"/>
              <w:adjustRightInd w:val="0"/>
              <w:snapToGrid w:val="0"/>
              <w:ind w:firstLine="480" w:firstLineChars="200"/>
              <w:rPr>
                <w:rFonts w:hint="eastAsia"/>
                <w:color w:val="auto"/>
                <w:spacing w:val="0"/>
                <w:sz w:val="24"/>
                <w:szCs w:val="24"/>
              </w:rPr>
            </w:pPr>
          </w:p>
          <w:p w14:paraId="66129C5D">
            <w:pPr>
              <w:pStyle w:val="58"/>
              <w:adjustRightInd w:val="0"/>
              <w:snapToGrid w:val="0"/>
              <w:ind w:firstLine="480" w:firstLineChars="200"/>
              <w:rPr>
                <w:rFonts w:hint="eastAsia"/>
                <w:color w:val="auto"/>
                <w:spacing w:val="0"/>
                <w:sz w:val="24"/>
                <w:szCs w:val="24"/>
              </w:rPr>
            </w:pPr>
          </w:p>
          <w:p w14:paraId="181C9E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b/>
                <w:color w:val="auto"/>
                <w:sz w:val="24"/>
                <w:szCs w:val="24"/>
                <w:lang w:val="zh-CN"/>
              </w:rPr>
            </w:pPr>
            <w:r>
              <w:rPr>
                <w:rFonts w:hAnsi="宋体"/>
                <w:b/>
                <w:color w:val="auto"/>
                <w:sz w:val="24"/>
                <w:szCs w:val="24"/>
                <w:lang w:val="zh-CN"/>
              </w:rPr>
              <w:t>表</w:t>
            </w:r>
            <w:r>
              <w:rPr>
                <w:rFonts w:hint="eastAsia" w:hAnsi="宋体"/>
                <w:b/>
                <w:color w:val="auto"/>
                <w:sz w:val="24"/>
                <w:szCs w:val="24"/>
              </w:rPr>
              <w:t>3-</w:t>
            </w:r>
            <w:r>
              <w:rPr>
                <w:rFonts w:hint="eastAsia" w:hAnsi="宋体"/>
                <w:b/>
                <w:color w:val="auto"/>
                <w:sz w:val="24"/>
                <w:szCs w:val="24"/>
                <w:lang w:val="en-US" w:eastAsia="zh-CN"/>
              </w:rPr>
              <w:t>6</w:t>
            </w:r>
            <w:r>
              <w:rPr>
                <w:rFonts w:hint="eastAsia" w:hAnsi="宋体"/>
                <w:b/>
                <w:color w:val="auto"/>
                <w:sz w:val="24"/>
                <w:szCs w:val="24"/>
              </w:rPr>
              <w:t xml:space="preserve"> </w:t>
            </w:r>
            <w:r>
              <w:rPr>
                <w:rFonts w:hAnsi="宋体"/>
                <w:b/>
                <w:color w:val="auto"/>
                <w:sz w:val="24"/>
                <w:szCs w:val="24"/>
                <w:lang w:val="zh-CN"/>
              </w:rPr>
              <w:t xml:space="preserve"> 主要环境</w:t>
            </w:r>
            <w:r>
              <w:rPr>
                <w:rFonts w:hint="eastAsia" w:hAnsi="宋体"/>
                <w:b/>
                <w:color w:val="auto"/>
                <w:sz w:val="24"/>
                <w:szCs w:val="24"/>
                <w:lang w:val="zh-CN"/>
              </w:rPr>
              <w:t>保护目标</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294"/>
              <w:gridCol w:w="1574"/>
              <w:gridCol w:w="1205"/>
              <w:gridCol w:w="1307"/>
              <w:gridCol w:w="2005"/>
            </w:tblGrid>
            <w:tr w14:paraId="48500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vAlign w:val="center"/>
                </w:tcPr>
                <w:p w14:paraId="1BFAD88C">
                  <w:pPr>
                    <w:jc w:val="center"/>
                    <w:rPr>
                      <w:b/>
                      <w:color w:val="auto"/>
                      <w:sz w:val="18"/>
                      <w:szCs w:val="18"/>
                    </w:rPr>
                  </w:pPr>
                  <w:r>
                    <w:rPr>
                      <w:b/>
                      <w:color w:val="auto"/>
                      <w:sz w:val="18"/>
                      <w:szCs w:val="18"/>
                    </w:rPr>
                    <w:t>类别</w:t>
                  </w:r>
                </w:p>
              </w:tc>
              <w:tc>
                <w:tcPr>
                  <w:tcW w:w="767" w:type="pct"/>
                  <w:tcBorders>
                    <w:tl2br w:val="nil"/>
                    <w:tr2bl w:val="nil"/>
                  </w:tcBorders>
                  <w:vAlign w:val="center"/>
                </w:tcPr>
                <w:p w14:paraId="6614ED91">
                  <w:pPr>
                    <w:jc w:val="center"/>
                    <w:rPr>
                      <w:b/>
                      <w:color w:val="auto"/>
                      <w:sz w:val="18"/>
                      <w:szCs w:val="18"/>
                    </w:rPr>
                  </w:pPr>
                  <w:r>
                    <w:rPr>
                      <w:b/>
                      <w:color w:val="auto"/>
                      <w:sz w:val="18"/>
                      <w:szCs w:val="18"/>
                    </w:rPr>
                    <w:t>保护目标名称</w:t>
                  </w:r>
                </w:p>
              </w:tc>
              <w:tc>
                <w:tcPr>
                  <w:tcW w:w="933" w:type="pct"/>
                  <w:tcBorders>
                    <w:tl2br w:val="nil"/>
                    <w:tr2bl w:val="nil"/>
                  </w:tcBorders>
                  <w:vAlign w:val="center"/>
                </w:tcPr>
                <w:p w14:paraId="5D7721DD">
                  <w:pPr>
                    <w:jc w:val="center"/>
                    <w:rPr>
                      <w:b/>
                      <w:color w:val="auto"/>
                      <w:sz w:val="18"/>
                      <w:szCs w:val="18"/>
                    </w:rPr>
                  </w:pPr>
                  <w:r>
                    <w:rPr>
                      <w:b/>
                      <w:bCs/>
                      <w:color w:val="auto"/>
                      <w:sz w:val="18"/>
                      <w:szCs w:val="18"/>
                    </w:rPr>
                    <w:t>相对项目的方位和最近距离</w:t>
                  </w:r>
                </w:p>
              </w:tc>
              <w:tc>
                <w:tcPr>
                  <w:tcW w:w="714" w:type="pct"/>
                  <w:tcBorders>
                    <w:tl2br w:val="nil"/>
                    <w:tr2bl w:val="nil"/>
                  </w:tcBorders>
                  <w:vAlign w:val="center"/>
                </w:tcPr>
                <w:p w14:paraId="72D932E3">
                  <w:pPr>
                    <w:jc w:val="center"/>
                    <w:rPr>
                      <w:rFonts w:hint="eastAsia" w:eastAsia="宋体"/>
                      <w:b/>
                      <w:color w:val="auto"/>
                      <w:sz w:val="18"/>
                      <w:szCs w:val="18"/>
                      <w:lang w:eastAsia="zh-CN"/>
                    </w:rPr>
                  </w:pPr>
                  <w:r>
                    <w:rPr>
                      <w:rFonts w:hint="eastAsia"/>
                      <w:b/>
                      <w:color w:val="auto"/>
                      <w:sz w:val="18"/>
                      <w:szCs w:val="18"/>
                      <w:lang w:val="en-US" w:eastAsia="zh-CN"/>
                    </w:rPr>
                    <w:t>规模</w:t>
                  </w:r>
                </w:p>
              </w:tc>
              <w:tc>
                <w:tcPr>
                  <w:tcW w:w="774" w:type="pct"/>
                  <w:tcBorders>
                    <w:tl2br w:val="nil"/>
                    <w:tr2bl w:val="nil"/>
                  </w:tcBorders>
                  <w:vAlign w:val="center"/>
                </w:tcPr>
                <w:p w14:paraId="7F78DF6A">
                  <w:pPr>
                    <w:jc w:val="center"/>
                    <w:rPr>
                      <w:rFonts w:hint="eastAsia" w:eastAsia="宋体"/>
                      <w:b/>
                      <w:color w:val="auto"/>
                      <w:sz w:val="18"/>
                      <w:szCs w:val="18"/>
                      <w:lang w:val="en-US" w:eastAsia="zh-CN"/>
                    </w:rPr>
                  </w:pPr>
                  <w:r>
                    <w:rPr>
                      <w:b/>
                      <w:color w:val="auto"/>
                      <w:sz w:val="18"/>
                      <w:szCs w:val="18"/>
                    </w:rPr>
                    <w:t>保护</w:t>
                  </w:r>
                  <w:r>
                    <w:rPr>
                      <w:rFonts w:hint="eastAsia"/>
                      <w:b/>
                      <w:color w:val="auto"/>
                      <w:sz w:val="18"/>
                      <w:szCs w:val="18"/>
                    </w:rPr>
                    <w:t>对象</w:t>
                  </w:r>
                  <w:r>
                    <w:rPr>
                      <w:rFonts w:hint="eastAsia"/>
                      <w:b/>
                      <w:color w:val="auto"/>
                      <w:sz w:val="18"/>
                      <w:szCs w:val="18"/>
                      <w:lang w:val="en-US" w:eastAsia="zh-CN"/>
                    </w:rPr>
                    <w:t>性质</w:t>
                  </w:r>
                </w:p>
              </w:tc>
              <w:tc>
                <w:tcPr>
                  <w:tcW w:w="1188" w:type="pct"/>
                  <w:tcBorders>
                    <w:tl2br w:val="nil"/>
                    <w:tr2bl w:val="nil"/>
                  </w:tcBorders>
                  <w:vAlign w:val="center"/>
                </w:tcPr>
                <w:p w14:paraId="281DF311">
                  <w:pPr>
                    <w:jc w:val="center"/>
                    <w:rPr>
                      <w:b/>
                      <w:color w:val="auto"/>
                      <w:sz w:val="18"/>
                      <w:szCs w:val="18"/>
                    </w:rPr>
                  </w:pPr>
                  <w:r>
                    <w:rPr>
                      <w:b/>
                      <w:color w:val="auto"/>
                      <w:sz w:val="18"/>
                      <w:szCs w:val="18"/>
                    </w:rPr>
                    <w:t>环境功能区</w:t>
                  </w:r>
                </w:p>
              </w:tc>
            </w:tr>
            <w:tr w14:paraId="32C0D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restart"/>
                  <w:tcBorders>
                    <w:tl2br w:val="nil"/>
                    <w:tr2bl w:val="nil"/>
                  </w:tcBorders>
                  <w:vAlign w:val="center"/>
                </w:tcPr>
                <w:p w14:paraId="7744D3E3">
                  <w:pPr>
                    <w:widowControl/>
                    <w:jc w:val="center"/>
                    <w:rPr>
                      <w:color w:val="auto"/>
                      <w:sz w:val="18"/>
                      <w:szCs w:val="18"/>
                    </w:rPr>
                  </w:pPr>
                  <w:r>
                    <w:rPr>
                      <w:color w:val="auto"/>
                      <w:sz w:val="18"/>
                      <w:szCs w:val="18"/>
                    </w:rPr>
                    <w:t>大气</w:t>
                  </w:r>
                  <w:r>
                    <w:rPr>
                      <w:rFonts w:hint="eastAsia"/>
                      <w:color w:val="auto"/>
                      <w:sz w:val="18"/>
                      <w:szCs w:val="18"/>
                    </w:rPr>
                    <w:t>环境</w:t>
                  </w:r>
                </w:p>
              </w:tc>
              <w:tc>
                <w:tcPr>
                  <w:tcW w:w="767" w:type="pct"/>
                  <w:tcBorders>
                    <w:tl2br w:val="nil"/>
                    <w:tr2bl w:val="nil"/>
                  </w:tcBorders>
                  <w:vAlign w:val="center"/>
                </w:tcPr>
                <w:p w14:paraId="36CB9AA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三阳村</w:t>
                  </w:r>
                </w:p>
              </w:tc>
              <w:tc>
                <w:tcPr>
                  <w:tcW w:w="933" w:type="pct"/>
                  <w:tcBorders>
                    <w:tl2br w:val="nil"/>
                    <w:tr2bl w:val="nil"/>
                  </w:tcBorders>
                  <w:vAlign w:val="center"/>
                </w:tcPr>
                <w:p w14:paraId="39AE9DBD">
                  <w:pPr>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西南</w:t>
                  </w:r>
                  <w:r>
                    <w:rPr>
                      <w:rFonts w:hint="eastAsia" w:cs="Times New Roman"/>
                      <w:color w:val="auto"/>
                      <w:kern w:val="0"/>
                      <w:sz w:val="18"/>
                      <w:szCs w:val="18"/>
                      <w:lang w:val="en-US" w:eastAsia="zh-CN" w:bidi="ar"/>
                    </w:rPr>
                    <w:t>75</w:t>
                  </w:r>
                  <w:r>
                    <w:rPr>
                      <w:rFonts w:hint="default" w:ascii="Times New Roman" w:hAnsi="Times New Roman" w:cs="Times New Roman"/>
                      <w:color w:val="auto"/>
                      <w:kern w:val="0"/>
                      <w:sz w:val="18"/>
                      <w:szCs w:val="18"/>
                      <w:lang w:val="en-US" w:eastAsia="zh-CN" w:bidi="ar"/>
                    </w:rPr>
                    <w:t>0m</w:t>
                  </w:r>
                </w:p>
              </w:tc>
              <w:tc>
                <w:tcPr>
                  <w:tcW w:w="714" w:type="pct"/>
                  <w:tcBorders>
                    <w:tl2br w:val="nil"/>
                    <w:tr2bl w:val="nil"/>
                  </w:tcBorders>
                  <w:vAlign w:val="center"/>
                </w:tcPr>
                <w:p w14:paraId="48C6BD47">
                  <w:pPr>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925人</w:t>
                  </w:r>
                </w:p>
              </w:tc>
              <w:tc>
                <w:tcPr>
                  <w:tcW w:w="774" w:type="pct"/>
                  <w:tcBorders>
                    <w:tl2br w:val="nil"/>
                    <w:tr2bl w:val="nil"/>
                  </w:tcBorders>
                  <w:vAlign w:val="center"/>
                </w:tcPr>
                <w:p w14:paraId="217B9BE0">
                  <w:pPr>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居民</w:t>
                  </w:r>
                </w:p>
              </w:tc>
              <w:tc>
                <w:tcPr>
                  <w:tcW w:w="1188" w:type="pct"/>
                  <w:vMerge w:val="restart"/>
                  <w:tcBorders>
                    <w:tl2br w:val="nil"/>
                    <w:tr2bl w:val="nil"/>
                  </w:tcBorders>
                  <w:vAlign w:val="center"/>
                </w:tcPr>
                <w:p w14:paraId="03EB69FF">
                  <w:pPr>
                    <w:jc w:val="center"/>
                    <w:rPr>
                      <w:rFonts w:ascii="宋体" w:hAnsi="宋体" w:cs="宋体"/>
                      <w:color w:val="auto"/>
                      <w:kern w:val="0"/>
                      <w:sz w:val="18"/>
                      <w:szCs w:val="18"/>
                      <w:lang w:bidi="ar"/>
                    </w:rPr>
                  </w:pPr>
                  <w:r>
                    <w:rPr>
                      <w:rFonts w:hint="eastAsia"/>
                      <w:color w:val="auto"/>
                      <w:sz w:val="18"/>
                      <w:szCs w:val="18"/>
                    </w:rPr>
                    <w:t>《环境空气质量标准》(GB3095-2012)二级标准</w:t>
                  </w:r>
                </w:p>
              </w:tc>
            </w:tr>
            <w:tr w14:paraId="569E2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vMerge w:val="continue"/>
                  <w:tcBorders>
                    <w:tl2br w:val="nil"/>
                    <w:tr2bl w:val="nil"/>
                  </w:tcBorders>
                  <w:vAlign w:val="center"/>
                </w:tcPr>
                <w:p w14:paraId="22971326">
                  <w:pPr>
                    <w:widowControl/>
                    <w:jc w:val="center"/>
                    <w:rPr>
                      <w:color w:val="auto"/>
                      <w:sz w:val="18"/>
                      <w:szCs w:val="18"/>
                    </w:rPr>
                  </w:pPr>
                </w:p>
              </w:tc>
              <w:tc>
                <w:tcPr>
                  <w:tcW w:w="767" w:type="pct"/>
                  <w:tcBorders>
                    <w:tl2br w:val="nil"/>
                    <w:tr2bl w:val="nil"/>
                  </w:tcBorders>
                  <w:vAlign w:val="center"/>
                </w:tcPr>
                <w:p w14:paraId="2903AD17">
                  <w:pPr>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灵川村</w:t>
                  </w:r>
                </w:p>
              </w:tc>
              <w:tc>
                <w:tcPr>
                  <w:tcW w:w="933" w:type="pct"/>
                  <w:tcBorders>
                    <w:tl2br w:val="nil"/>
                    <w:tr2bl w:val="nil"/>
                  </w:tcBorders>
                  <w:vAlign w:val="center"/>
                </w:tcPr>
                <w:p w14:paraId="4E86530F">
                  <w:pPr>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val="en-US" w:eastAsia="zh-CN" w:bidi="ar"/>
                    </w:rPr>
                    <w:t>北1450m</w:t>
                  </w:r>
                </w:p>
              </w:tc>
              <w:tc>
                <w:tcPr>
                  <w:tcW w:w="714" w:type="pct"/>
                  <w:tcBorders>
                    <w:tl2br w:val="nil"/>
                    <w:tr2bl w:val="nil"/>
                  </w:tcBorders>
                  <w:vAlign w:val="center"/>
                </w:tcPr>
                <w:p w14:paraId="7CEDA5F0">
                  <w:pPr>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700人</w:t>
                  </w:r>
                </w:p>
              </w:tc>
              <w:tc>
                <w:tcPr>
                  <w:tcW w:w="774" w:type="pct"/>
                  <w:tcBorders>
                    <w:tl2br w:val="nil"/>
                    <w:tr2bl w:val="nil"/>
                  </w:tcBorders>
                  <w:vAlign w:val="center"/>
                </w:tcPr>
                <w:p w14:paraId="048C2670">
                  <w:pPr>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val="en-US" w:eastAsia="zh-CN" w:bidi="ar"/>
                    </w:rPr>
                    <w:t>居民</w:t>
                  </w:r>
                </w:p>
              </w:tc>
              <w:tc>
                <w:tcPr>
                  <w:tcW w:w="1188" w:type="pct"/>
                  <w:vMerge w:val="continue"/>
                  <w:tcBorders>
                    <w:tl2br w:val="nil"/>
                    <w:tr2bl w:val="nil"/>
                  </w:tcBorders>
                  <w:vAlign w:val="center"/>
                </w:tcPr>
                <w:p w14:paraId="3A485219">
                  <w:pPr>
                    <w:jc w:val="center"/>
                    <w:rPr>
                      <w:rFonts w:ascii="宋体" w:hAnsi="宋体" w:cs="宋体"/>
                      <w:color w:val="auto"/>
                      <w:kern w:val="0"/>
                      <w:sz w:val="18"/>
                      <w:szCs w:val="18"/>
                      <w:lang w:bidi="ar"/>
                    </w:rPr>
                  </w:pPr>
                </w:p>
              </w:tc>
            </w:tr>
            <w:tr w14:paraId="52787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vAlign w:val="center"/>
                </w:tcPr>
                <w:p w14:paraId="7711EB16">
                  <w:pPr>
                    <w:widowControl/>
                    <w:jc w:val="center"/>
                    <w:rPr>
                      <w:rFonts w:hint="eastAsia" w:eastAsia="宋体"/>
                      <w:color w:val="auto"/>
                      <w:sz w:val="18"/>
                      <w:szCs w:val="18"/>
                      <w:lang w:val="en-US" w:eastAsia="zh-CN"/>
                    </w:rPr>
                  </w:pPr>
                  <w:r>
                    <w:rPr>
                      <w:rFonts w:hint="eastAsia"/>
                      <w:color w:val="auto"/>
                      <w:sz w:val="18"/>
                      <w:szCs w:val="18"/>
                      <w:lang w:val="en-US" w:eastAsia="zh-CN"/>
                    </w:rPr>
                    <w:t>水环境</w:t>
                  </w:r>
                </w:p>
              </w:tc>
              <w:tc>
                <w:tcPr>
                  <w:tcW w:w="767" w:type="pct"/>
                  <w:tcBorders>
                    <w:tl2br w:val="nil"/>
                    <w:tr2bl w:val="nil"/>
                  </w:tcBorders>
                  <w:vAlign w:val="center"/>
                </w:tcPr>
                <w:p w14:paraId="2DB34BBC">
                  <w:pPr>
                    <w:tabs>
                      <w:tab w:val="center" w:pos="4153"/>
                      <w:tab w:val="right" w:pos="8306"/>
                    </w:tabs>
                    <w:suppressAutoHyphens/>
                    <w:snapToGrid w:val="0"/>
                    <w:jc w:val="center"/>
                    <w:rPr>
                      <w:rFonts w:hint="default" w:eastAsia="宋体"/>
                      <w:color w:val="auto"/>
                      <w:sz w:val="18"/>
                      <w:szCs w:val="18"/>
                      <w:highlight w:val="none"/>
                      <w:lang w:val="en-US" w:eastAsia="zh-CN"/>
                    </w:rPr>
                  </w:pPr>
                  <w:r>
                    <w:rPr>
                      <w:rFonts w:hint="eastAsia" w:hAnsi="宋体"/>
                      <w:color w:val="auto"/>
                      <w:kern w:val="0"/>
                      <w:sz w:val="18"/>
                      <w:szCs w:val="18"/>
                      <w:lang w:val="en-US" w:eastAsia="zh-CN"/>
                    </w:rPr>
                    <w:t>三阳溪</w:t>
                  </w:r>
                </w:p>
              </w:tc>
              <w:tc>
                <w:tcPr>
                  <w:tcW w:w="933" w:type="pct"/>
                  <w:tcBorders>
                    <w:tl2br w:val="nil"/>
                    <w:tr2bl w:val="nil"/>
                  </w:tcBorders>
                  <w:vAlign w:val="center"/>
                </w:tcPr>
                <w:p w14:paraId="68B1923C">
                  <w:pPr>
                    <w:jc w:val="center"/>
                    <w:rPr>
                      <w:rFonts w:hint="default"/>
                      <w:color w:val="auto"/>
                      <w:sz w:val="18"/>
                      <w:szCs w:val="18"/>
                      <w:lang w:val="en-US" w:eastAsia="zh-CN"/>
                    </w:rPr>
                  </w:pPr>
                  <w:r>
                    <w:rPr>
                      <w:rFonts w:hint="eastAsia"/>
                      <w:color w:val="auto"/>
                      <w:sz w:val="18"/>
                      <w:szCs w:val="18"/>
                      <w:lang w:val="en-US" w:eastAsia="zh-CN"/>
                    </w:rPr>
                    <w:t>西980m</w:t>
                  </w:r>
                </w:p>
              </w:tc>
              <w:tc>
                <w:tcPr>
                  <w:tcW w:w="714" w:type="pct"/>
                  <w:tcBorders>
                    <w:tl2br w:val="nil"/>
                    <w:tr2bl w:val="nil"/>
                  </w:tcBorders>
                  <w:vAlign w:val="center"/>
                </w:tcPr>
                <w:p w14:paraId="63FE9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lang w:val="en-US" w:eastAsia="zh-CN"/>
                    </w:rPr>
                  </w:pPr>
                  <w:r>
                    <w:rPr>
                      <w:rFonts w:hint="eastAsia"/>
                      <w:color w:val="auto"/>
                      <w:sz w:val="18"/>
                      <w:szCs w:val="18"/>
                      <w:highlight w:val="none"/>
                      <w:lang w:val="en-US" w:eastAsia="zh-CN"/>
                    </w:rPr>
                    <w:t>小型</w:t>
                  </w:r>
                  <w:r>
                    <w:rPr>
                      <w:rFonts w:hint="eastAsia"/>
                      <w:color w:val="auto"/>
                      <w:sz w:val="18"/>
                      <w:szCs w:val="18"/>
                      <w:highlight w:val="none"/>
                      <w:lang w:eastAsia="zh-CN"/>
                    </w:rPr>
                    <w:t>河流</w:t>
                  </w:r>
                </w:p>
              </w:tc>
              <w:tc>
                <w:tcPr>
                  <w:tcW w:w="774" w:type="pct"/>
                  <w:tcBorders>
                    <w:tl2br w:val="nil"/>
                    <w:tr2bl w:val="nil"/>
                  </w:tcBorders>
                  <w:vAlign w:val="center"/>
                </w:tcPr>
                <w:p w14:paraId="284D98C0">
                  <w:pPr>
                    <w:jc w:val="center"/>
                    <w:rPr>
                      <w:rFonts w:hint="eastAsia" w:eastAsia="宋体"/>
                      <w:color w:val="auto"/>
                      <w:sz w:val="18"/>
                      <w:szCs w:val="18"/>
                      <w:lang w:val="en-US" w:eastAsia="zh-CN"/>
                    </w:rPr>
                  </w:pPr>
                  <w:r>
                    <w:rPr>
                      <w:rFonts w:hint="eastAsia"/>
                      <w:color w:val="auto"/>
                      <w:sz w:val="18"/>
                      <w:szCs w:val="18"/>
                      <w:lang w:val="en-US" w:eastAsia="zh-CN"/>
                    </w:rPr>
                    <w:t>地表水</w:t>
                  </w:r>
                </w:p>
              </w:tc>
              <w:tc>
                <w:tcPr>
                  <w:tcW w:w="1188" w:type="pct"/>
                  <w:tcBorders>
                    <w:tl2br w:val="nil"/>
                    <w:tr2bl w:val="nil"/>
                  </w:tcBorders>
                  <w:vAlign w:val="center"/>
                </w:tcPr>
                <w:p w14:paraId="1EF89833">
                  <w:pPr>
                    <w:jc w:val="center"/>
                    <w:rPr>
                      <w:color w:val="auto"/>
                      <w:sz w:val="18"/>
                      <w:szCs w:val="18"/>
                    </w:rPr>
                  </w:pPr>
                  <w:r>
                    <w:rPr>
                      <w:rFonts w:hint="eastAsia"/>
                      <w:color w:val="auto"/>
                      <w:sz w:val="18"/>
                      <w:szCs w:val="18"/>
                    </w:rPr>
                    <w:t>《地表水环境质量标准》(GB3838-2002)Ⅲ类</w:t>
                  </w:r>
                </w:p>
              </w:tc>
            </w:tr>
            <w:tr w14:paraId="0D80A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vAlign w:val="center"/>
                </w:tcPr>
                <w:p w14:paraId="162C73B6">
                  <w:pPr>
                    <w:tabs>
                      <w:tab w:val="center" w:pos="4153"/>
                      <w:tab w:val="right" w:pos="8306"/>
                    </w:tabs>
                    <w:suppressAutoHyphens/>
                    <w:snapToGrid w:val="0"/>
                    <w:jc w:val="center"/>
                    <w:rPr>
                      <w:color w:val="auto"/>
                      <w:sz w:val="18"/>
                      <w:szCs w:val="18"/>
                    </w:rPr>
                  </w:pPr>
                  <w:r>
                    <w:rPr>
                      <w:rFonts w:hint="eastAsia"/>
                      <w:color w:val="auto"/>
                      <w:sz w:val="18"/>
                      <w:szCs w:val="18"/>
                    </w:rPr>
                    <w:t>声环境</w:t>
                  </w:r>
                </w:p>
              </w:tc>
              <w:tc>
                <w:tcPr>
                  <w:tcW w:w="4378" w:type="pct"/>
                  <w:gridSpan w:val="5"/>
                  <w:tcBorders>
                    <w:tl2br w:val="nil"/>
                    <w:tr2bl w:val="nil"/>
                  </w:tcBorders>
                  <w:vAlign w:val="center"/>
                </w:tcPr>
                <w:p w14:paraId="53746FAD">
                  <w:pPr>
                    <w:tabs>
                      <w:tab w:val="center" w:pos="4153"/>
                      <w:tab w:val="right" w:pos="8306"/>
                    </w:tabs>
                    <w:suppressAutoHyphens/>
                    <w:snapToGrid w:val="0"/>
                    <w:jc w:val="center"/>
                    <w:rPr>
                      <w:color w:val="auto"/>
                      <w:sz w:val="18"/>
                      <w:szCs w:val="18"/>
                    </w:rPr>
                  </w:pPr>
                  <w:r>
                    <w:rPr>
                      <w:rFonts w:ascii="宋体" w:hAnsi="宋体" w:cs="宋体"/>
                      <w:color w:val="auto"/>
                      <w:kern w:val="0"/>
                      <w:sz w:val="18"/>
                      <w:szCs w:val="18"/>
                      <w:lang w:bidi="ar"/>
                    </w:rPr>
                    <w:t>项目</w:t>
                  </w:r>
                  <w:r>
                    <w:rPr>
                      <w:rFonts w:hint="eastAsia" w:ascii="宋体" w:hAnsi="宋体" w:cs="宋体"/>
                      <w:color w:val="auto"/>
                      <w:kern w:val="0"/>
                      <w:sz w:val="18"/>
                      <w:szCs w:val="18"/>
                      <w:lang w:bidi="ar"/>
                    </w:rPr>
                    <w:t>场</w:t>
                  </w:r>
                  <w:r>
                    <w:rPr>
                      <w:rFonts w:ascii="宋体" w:hAnsi="宋体" w:cs="宋体"/>
                      <w:color w:val="auto"/>
                      <w:kern w:val="0"/>
                      <w:sz w:val="18"/>
                      <w:szCs w:val="18"/>
                      <w:lang w:bidi="ar"/>
                    </w:rPr>
                    <w:t>界外</w:t>
                  </w:r>
                  <w:r>
                    <w:rPr>
                      <w:rFonts w:ascii="TimesNewRomanPSMT" w:hAnsi="TimesNewRomanPSMT" w:eastAsia="TimesNewRomanPSMT" w:cs="TimesNewRomanPSMT"/>
                      <w:color w:val="auto"/>
                      <w:kern w:val="0"/>
                      <w:sz w:val="18"/>
                      <w:szCs w:val="18"/>
                      <w:lang w:bidi="ar"/>
                    </w:rPr>
                    <w:t>50</w:t>
                  </w:r>
                  <w:r>
                    <w:rPr>
                      <w:rFonts w:ascii="宋体" w:hAnsi="宋体" w:cs="宋体"/>
                      <w:color w:val="auto"/>
                      <w:kern w:val="0"/>
                      <w:sz w:val="18"/>
                      <w:szCs w:val="18"/>
                      <w:lang w:bidi="ar"/>
                    </w:rPr>
                    <w:t>米范围内</w:t>
                  </w:r>
                  <w:r>
                    <w:rPr>
                      <w:rFonts w:hint="eastAsia"/>
                      <w:color w:val="auto"/>
                      <w:sz w:val="18"/>
                      <w:szCs w:val="18"/>
                    </w:rPr>
                    <w:t>无声环境保护目标</w:t>
                  </w:r>
                </w:p>
              </w:tc>
            </w:tr>
            <w:tr w14:paraId="66C1D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1" w:type="pct"/>
                  <w:tcBorders>
                    <w:tl2br w:val="nil"/>
                    <w:tr2bl w:val="nil"/>
                  </w:tcBorders>
                  <w:vAlign w:val="center"/>
                </w:tcPr>
                <w:p w14:paraId="655B5C98">
                  <w:pPr>
                    <w:tabs>
                      <w:tab w:val="center" w:pos="4153"/>
                      <w:tab w:val="right" w:pos="8306"/>
                    </w:tabs>
                    <w:suppressAutoHyphens/>
                    <w:snapToGrid w:val="0"/>
                    <w:jc w:val="center"/>
                    <w:rPr>
                      <w:color w:val="auto"/>
                      <w:sz w:val="18"/>
                      <w:szCs w:val="18"/>
                    </w:rPr>
                  </w:pPr>
                  <w:r>
                    <w:rPr>
                      <w:rFonts w:hint="eastAsia"/>
                      <w:color w:val="auto"/>
                      <w:sz w:val="18"/>
                      <w:szCs w:val="18"/>
                    </w:rPr>
                    <w:t>地下水环境</w:t>
                  </w:r>
                </w:p>
              </w:tc>
              <w:tc>
                <w:tcPr>
                  <w:tcW w:w="4378" w:type="pct"/>
                  <w:gridSpan w:val="5"/>
                  <w:tcBorders>
                    <w:tl2br w:val="nil"/>
                    <w:tr2bl w:val="nil"/>
                  </w:tcBorders>
                  <w:vAlign w:val="center"/>
                </w:tcPr>
                <w:p w14:paraId="75D2B06F">
                  <w:pPr>
                    <w:widowControl/>
                    <w:jc w:val="center"/>
                    <w:rPr>
                      <w:rFonts w:hint="eastAsia" w:eastAsia="宋体"/>
                      <w:color w:val="auto"/>
                      <w:sz w:val="18"/>
                      <w:szCs w:val="18"/>
                      <w:lang w:eastAsia="zh-CN"/>
                    </w:rPr>
                  </w:pPr>
                  <w:r>
                    <w:rPr>
                      <w:rFonts w:ascii="宋体" w:hAnsi="宋体" w:cs="宋体"/>
                      <w:color w:val="auto"/>
                      <w:kern w:val="0"/>
                      <w:sz w:val="18"/>
                      <w:szCs w:val="18"/>
                      <w:lang w:bidi="ar"/>
                    </w:rPr>
                    <w:t>项目</w:t>
                  </w:r>
                  <w:r>
                    <w:rPr>
                      <w:rFonts w:hint="eastAsia" w:ascii="宋体" w:hAnsi="宋体" w:cs="宋体"/>
                      <w:color w:val="auto"/>
                      <w:kern w:val="0"/>
                      <w:sz w:val="18"/>
                      <w:szCs w:val="18"/>
                      <w:lang w:bidi="ar"/>
                    </w:rPr>
                    <w:t>场</w:t>
                  </w:r>
                  <w:r>
                    <w:rPr>
                      <w:rFonts w:ascii="宋体" w:hAnsi="宋体" w:cs="宋体"/>
                      <w:color w:val="auto"/>
                      <w:kern w:val="0"/>
                      <w:sz w:val="18"/>
                      <w:szCs w:val="18"/>
                      <w:lang w:bidi="ar"/>
                    </w:rPr>
                    <w:t>界外</w:t>
                  </w:r>
                  <w:r>
                    <w:rPr>
                      <w:rFonts w:ascii="TimesNewRomanPSMT" w:hAnsi="TimesNewRomanPSMT" w:eastAsia="TimesNewRomanPSMT" w:cs="TimesNewRomanPSMT"/>
                      <w:color w:val="auto"/>
                      <w:kern w:val="0"/>
                      <w:sz w:val="18"/>
                      <w:szCs w:val="18"/>
                      <w:lang w:bidi="ar"/>
                    </w:rPr>
                    <w:t>500</w:t>
                  </w:r>
                  <w:r>
                    <w:rPr>
                      <w:rFonts w:ascii="宋体" w:hAnsi="宋体" w:cs="宋体"/>
                      <w:color w:val="auto"/>
                      <w:kern w:val="0"/>
                      <w:sz w:val="18"/>
                      <w:szCs w:val="18"/>
                      <w:lang w:bidi="ar"/>
                    </w:rPr>
                    <w:t>米范围内无地下水集中式饮用水水源和热水、矿泉水、温泉等特殊地下水资源</w:t>
                  </w:r>
                  <w:r>
                    <w:rPr>
                      <w:rFonts w:hint="eastAsia" w:ascii="宋体" w:hAnsi="宋体" w:cs="宋体"/>
                      <w:color w:val="auto"/>
                      <w:kern w:val="0"/>
                      <w:sz w:val="18"/>
                      <w:szCs w:val="18"/>
                      <w:lang w:eastAsia="zh-CN" w:bidi="ar"/>
                    </w:rPr>
                    <w:t>。</w:t>
                  </w:r>
                </w:p>
              </w:tc>
            </w:tr>
          </w:tbl>
          <w:p w14:paraId="4B75CE56">
            <w:pPr>
              <w:pStyle w:val="58"/>
              <w:adjustRightInd w:val="0"/>
              <w:snapToGrid w:val="0"/>
              <w:ind w:firstLine="480" w:firstLineChars="200"/>
              <w:rPr>
                <w:rFonts w:hint="eastAsia"/>
                <w:color w:val="auto"/>
                <w:spacing w:val="0"/>
                <w:sz w:val="24"/>
                <w:szCs w:val="24"/>
              </w:rPr>
            </w:pPr>
          </w:p>
        </w:tc>
      </w:tr>
      <w:tr w14:paraId="3C915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1" w:type="dxa"/>
            <w:vAlign w:val="center"/>
          </w:tcPr>
          <w:p w14:paraId="041D7AD0">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污染</w:t>
            </w:r>
          </w:p>
          <w:p w14:paraId="79FD3F32">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物排</w:t>
            </w:r>
          </w:p>
          <w:p w14:paraId="036E65DE">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放控</w:t>
            </w:r>
          </w:p>
          <w:p w14:paraId="3D469D23">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制标</w:t>
            </w:r>
          </w:p>
          <w:p w14:paraId="590716FD">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准</w:t>
            </w:r>
          </w:p>
        </w:tc>
        <w:tc>
          <w:tcPr>
            <w:tcW w:w="8650" w:type="dxa"/>
            <w:vAlign w:val="center"/>
          </w:tcPr>
          <w:p w14:paraId="0009C87F">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1、废气</w:t>
            </w:r>
          </w:p>
          <w:p w14:paraId="5059E0F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）有组织废气</w:t>
            </w:r>
          </w:p>
          <w:p w14:paraId="3832CD6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①燃气锅炉废气</w:t>
            </w:r>
          </w:p>
          <w:p w14:paraId="11A0F27B">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燃气锅炉废气执行《锅炉大气污染物排放标准》（GB13271-2014）表2标准；具体标准限值详见下表。</w:t>
            </w:r>
          </w:p>
          <w:p w14:paraId="582F442D">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表3-7  锅炉废气污染物排放标准一览表</w:t>
            </w:r>
          </w:p>
          <w:tbl>
            <w:tblPr>
              <w:tblStyle w:val="30"/>
              <w:tblW w:w="84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2573"/>
              <w:gridCol w:w="4716"/>
            </w:tblGrid>
            <w:tr w14:paraId="2195F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tcBorders>
                    <w:tl2br w:val="nil"/>
                    <w:tr2bl w:val="nil"/>
                  </w:tcBorders>
                  <w:vAlign w:val="center"/>
                </w:tcPr>
                <w:p w14:paraId="57B144EC">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序号</w:t>
                  </w:r>
                </w:p>
              </w:tc>
              <w:tc>
                <w:tcPr>
                  <w:tcW w:w="2573" w:type="dxa"/>
                  <w:tcBorders>
                    <w:tl2br w:val="nil"/>
                    <w:tr2bl w:val="nil"/>
                  </w:tcBorders>
                  <w:shd w:val="clear" w:color="auto" w:fill="auto"/>
                  <w:vAlign w:val="center"/>
                </w:tcPr>
                <w:p w14:paraId="3D99DE1E">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kern w:val="0"/>
                      <w:sz w:val="18"/>
                      <w:szCs w:val="18"/>
                      <w:highlight w:val="none"/>
                      <w:vertAlign w:val="baseline"/>
                      <w:lang w:val="en-US" w:eastAsia="zh-CN" w:bidi="ar-SA"/>
                    </w:rPr>
                  </w:pPr>
                  <w:r>
                    <w:rPr>
                      <w:rFonts w:hint="eastAsia"/>
                      <w:b/>
                      <w:bCs/>
                      <w:color w:val="auto"/>
                      <w:sz w:val="18"/>
                      <w:szCs w:val="18"/>
                      <w:highlight w:val="none"/>
                      <w:vertAlign w:val="baseline"/>
                      <w:lang w:val="en-US" w:eastAsia="zh-CN"/>
                    </w:rPr>
                    <w:t>污染物名称</w:t>
                  </w:r>
                </w:p>
              </w:tc>
              <w:tc>
                <w:tcPr>
                  <w:tcW w:w="4716" w:type="dxa"/>
                  <w:tcBorders>
                    <w:tl2br w:val="nil"/>
                    <w:tr2bl w:val="nil"/>
                  </w:tcBorders>
                  <w:vAlign w:val="center"/>
                </w:tcPr>
                <w:p w14:paraId="65FEDF71">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排放浓度限值（</w:t>
                  </w:r>
                  <w:r>
                    <w:rPr>
                      <w:b/>
                      <w:bCs/>
                      <w:color w:val="auto"/>
                      <w:sz w:val="18"/>
                      <w:szCs w:val="18"/>
                    </w:rPr>
                    <w:t>mg/m</w:t>
                  </w:r>
                  <w:r>
                    <w:rPr>
                      <w:b/>
                      <w:bCs/>
                      <w:color w:val="auto"/>
                      <w:sz w:val="18"/>
                      <w:szCs w:val="18"/>
                      <w:vertAlign w:val="superscript"/>
                    </w:rPr>
                    <w:t>3</w:t>
                  </w:r>
                  <w:r>
                    <w:rPr>
                      <w:rFonts w:hint="eastAsia"/>
                      <w:b/>
                      <w:bCs/>
                      <w:color w:val="auto"/>
                      <w:sz w:val="18"/>
                      <w:szCs w:val="18"/>
                      <w:highlight w:val="none"/>
                      <w:vertAlign w:val="baseline"/>
                      <w:lang w:val="en-US" w:eastAsia="zh-CN"/>
                    </w:rPr>
                    <w:t>）</w:t>
                  </w:r>
                </w:p>
              </w:tc>
            </w:tr>
            <w:tr w14:paraId="2C3A7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tcBorders>
                    <w:tl2br w:val="nil"/>
                    <w:tr2bl w:val="nil"/>
                  </w:tcBorders>
                  <w:vAlign w:val="center"/>
                </w:tcPr>
                <w:p w14:paraId="1FCFC1A6">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1</w:t>
                  </w:r>
                </w:p>
              </w:tc>
              <w:tc>
                <w:tcPr>
                  <w:tcW w:w="2573" w:type="dxa"/>
                  <w:tcBorders>
                    <w:tl2br w:val="nil"/>
                    <w:tr2bl w:val="nil"/>
                  </w:tcBorders>
                  <w:shd w:val="clear" w:color="auto" w:fill="auto"/>
                  <w:vAlign w:val="center"/>
                </w:tcPr>
                <w:p w14:paraId="797CE291">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18"/>
                      <w:szCs w:val="18"/>
                      <w:highlight w:val="none"/>
                      <w:vertAlign w:val="baseline"/>
                      <w:lang w:val="en-US" w:eastAsia="zh-CN" w:bidi="ar-SA"/>
                    </w:rPr>
                  </w:pPr>
                  <w:r>
                    <w:rPr>
                      <w:rFonts w:hint="eastAsia"/>
                      <w:color w:val="auto"/>
                      <w:sz w:val="18"/>
                      <w:szCs w:val="18"/>
                      <w:highlight w:val="none"/>
                      <w:vertAlign w:val="baseline"/>
                      <w:lang w:val="en-US" w:eastAsia="zh-CN"/>
                    </w:rPr>
                    <w:t>颗粒物</w:t>
                  </w:r>
                </w:p>
              </w:tc>
              <w:tc>
                <w:tcPr>
                  <w:tcW w:w="4716" w:type="dxa"/>
                  <w:tcBorders>
                    <w:tl2br w:val="nil"/>
                    <w:tr2bl w:val="nil"/>
                  </w:tcBorders>
                  <w:vAlign w:val="center"/>
                </w:tcPr>
                <w:p w14:paraId="1A158A28">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20</w:t>
                  </w:r>
                </w:p>
              </w:tc>
            </w:tr>
            <w:tr w14:paraId="5D7B4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tcBorders>
                    <w:tl2br w:val="nil"/>
                    <w:tr2bl w:val="nil"/>
                  </w:tcBorders>
                  <w:vAlign w:val="center"/>
                </w:tcPr>
                <w:p w14:paraId="2EE6FF2E">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2</w:t>
                  </w:r>
                </w:p>
              </w:tc>
              <w:tc>
                <w:tcPr>
                  <w:tcW w:w="2573" w:type="dxa"/>
                  <w:tcBorders>
                    <w:tl2br w:val="nil"/>
                    <w:tr2bl w:val="nil"/>
                  </w:tcBorders>
                  <w:shd w:val="clear" w:color="auto" w:fill="auto"/>
                  <w:vAlign w:val="center"/>
                </w:tcPr>
                <w:p w14:paraId="5B347412">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18"/>
                      <w:szCs w:val="18"/>
                      <w:highlight w:val="none"/>
                      <w:vertAlign w:val="baseline"/>
                      <w:lang w:val="en-US" w:eastAsia="zh-CN" w:bidi="ar-SA"/>
                    </w:rPr>
                  </w:pPr>
                  <w:r>
                    <w:rPr>
                      <w:rFonts w:hint="eastAsia"/>
                      <w:color w:val="auto"/>
                      <w:sz w:val="18"/>
                      <w:szCs w:val="18"/>
                      <w:highlight w:val="none"/>
                      <w:vertAlign w:val="baseline"/>
                      <w:lang w:val="en-US" w:eastAsia="zh-CN"/>
                    </w:rPr>
                    <w:t>二氧化硫</w:t>
                  </w:r>
                </w:p>
              </w:tc>
              <w:tc>
                <w:tcPr>
                  <w:tcW w:w="4716" w:type="dxa"/>
                  <w:tcBorders>
                    <w:tl2br w:val="nil"/>
                    <w:tr2bl w:val="nil"/>
                  </w:tcBorders>
                  <w:vAlign w:val="center"/>
                </w:tcPr>
                <w:p w14:paraId="68680D75">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50</w:t>
                  </w:r>
                </w:p>
              </w:tc>
            </w:tr>
            <w:tr w14:paraId="61D56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tcBorders>
                    <w:tl2br w:val="nil"/>
                    <w:tr2bl w:val="nil"/>
                  </w:tcBorders>
                  <w:vAlign w:val="center"/>
                </w:tcPr>
                <w:p w14:paraId="14F9DE61">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3</w:t>
                  </w:r>
                </w:p>
              </w:tc>
              <w:tc>
                <w:tcPr>
                  <w:tcW w:w="2573" w:type="dxa"/>
                  <w:tcBorders>
                    <w:tl2br w:val="nil"/>
                    <w:tr2bl w:val="nil"/>
                  </w:tcBorders>
                  <w:shd w:val="clear" w:color="auto" w:fill="auto"/>
                  <w:vAlign w:val="center"/>
                </w:tcPr>
                <w:p w14:paraId="518CC53B">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18"/>
                      <w:szCs w:val="18"/>
                      <w:highlight w:val="none"/>
                      <w:vertAlign w:val="baseline"/>
                      <w:lang w:val="en-US" w:eastAsia="zh-CN" w:bidi="ar-SA"/>
                    </w:rPr>
                  </w:pPr>
                  <w:r>
                    <w:rPr>
                      <w:rFonts w:hint="eastAsia"/>
                      <w:color w:val="auto"/>
                      <w:sz w:val="18"/>
                      <w:szCs w:val="18"/>
                      <w:highlight w:val="none"/>
                      <w:vertAlign w:val="baseline"/>
                      <w:lang w:val="en-US" w:eastAsia="zh-CN"/>
                    </w:rPr>
                    <w:t>氮氧化物</w:t>
                  </w:r>
                </w:p>
              </w:tc>
              <w:tc>
                <w:tcPr>
                  <w:tcW w:w="4716" w:type="dxa"/>
                  <w:tcBorders>
                    <w:tl2br w:val="nil"/>
                    <w:tr2bl w:val="nil"/>
                  </w:tcBorders>
                  <w:vAlign w:val="center"/>
                </w:tcPr>
                <w:p w14:paraId="4DB7A31B">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200</w:t>
                  </w:r>
                </w:p>
              </w:tc>
            </w:tr>
            <w:tr w14:paraId="3C4A4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dxa"/>
                  <w:tcBorders>
                    <w:tl2br w:val="nil"/>
                    <w:tr2bl w:val="nil"/>
                  </w:tcBorders>
                  <w:vAlign w:val="center"/>
                </w:tcPr>
                <w:p w14:paraId="788D6EE9">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4</w:t>
                  </w:r>
                </w:p>
              </w:tc>
              <w:tc>
                <w:tcPr>
                  <w:tcW w:w="2573" w:type="dxa"/>
                  <w:tcBorders>
                    <w:tl2br w:val="nil"/>
                    <w:tr2bl w:val="nil"/>
                  </w:tcBorders>
                  <w:vAlign w:val="center"/>
                </w:tcPr>
                <w:p w14:paraId="3C5AA20C">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烟气黑度（林格曼黑度，级）</w:t>
                  </w:r>
                </w:p>
              </w:tc>
              <w:tc>
                <w:tcPr>
                  <w:tcW w:w="4716" w:type="dxa"/>
                  <w:tcBorders>
                    <w:tl2br w:val="nil"/>
                    <w:tr2bl w:val="nil"/>
                  </w:tcBorders>
                  <w:vAlign w:val="center"/>
                </w:tcPr>
                <w:p w14:paraId="3D50D05F">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≤1</w:t>
                  </w:r>
                </w:p>
              </w:tc>
            </w:tr>
          </w:tbl>
          <w:p w14:paraId="6E5DD3CF">
            <w:pPr>
              <w:pStyle w:val="11"/>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②消防栓箱生产工艺废气</w:t>
            </w:r>
          </w:p>
          <w:p w14:paraId="404AED1A">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消防软管卷盘使用PVC为原料，根据《排污许可证申请与核发技术规范-橡胶和塑料制品工业》（HJ1122-2020）：使用聚氯乙烯树脂生产塑料制品的排污单位执行GB16297，故本项目消防软管卷盘生产过程中投料拌料、造粒、挤出废气的颗粒物、非甲烷总烃排放执行《大气污染物综合排放标准》（GB16297-1996）表2二级标准。</w:t>
            </w:r>
          </w:p>
          <w:p w14:paraId="02D12E16">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消防水带使用TPU（聚氨酯树脂）为原料，生产过程产生的有机废气有组织排放执行《合成树脂工业污染物排放标准》（GB31572-2015）及2024年修改单，挤出成型过程产生的臭气浓度有组织排放执行《恶臭污染物排放标准》 （GB14554-93）表2排放标准值。根据工程分析，消防软管造粒、挤出和消防水带挤出工序有机废气经收集后合并至一套废气治理设施处理后排放，因此有机废气排放标准从严执行。</w:t>
            </w:r>
          </w:p>
          <w:p w14:paraId="5916BFDF">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olor w:val="auto"/>
                <w:sz w:val="24"/>
                <w:szCs w:val="24"/>
                <w:highlight w:val="none"/>
                <w:lang w:val="en-US" w:eastAsia="zh-CN"/>
              </w:rPr>
            </w:pPr>
            <w:r>
              <w:rPr>
                <w:rFonts w:hint="eastAsia"/>
                <w:b/>
                <w:bCs/>
                <w:color w:val="auto"/>
                <w:sz w:val="24"/>
                <w:szCs w:val="24"/>
                <w:highlight w:val="none"/>
                <w:lang w:val="en-US" w:eastAsia="zh-CN"/>
              </w:rPr>
              <w:t>表3-8  消防栓箱生产过程废气（颗粒物、非甲烷总烃）排放标准一览表</w:t>
            </w:r>
          </w:p>
          <w:tbl>
            <w:tblPr>
              <w:tblStyle w:val="29"/>
              <w:tblW w:w="84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12"/>
              <w:gridCol w:w="1069"/>
              <w:gridCol w:w="1226"/>
              <w:gridCol w:w="1487"/>
              <w:gridCol w:w="1539"/>
              <w:gridCol w:w="1109"/>
              <w:gridCol w:w="1414"/>
            </w:tblGrid>
            <w:tr w14:paraId="5F19E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81" w:type="dxa"/>
                  <w:gridSpan w:val="2"/>
                  <w:vMerge w:val="restart"/>
                  <w:tcBorders>
                    <w:tl2br w:val="nil"/>
                    <w:tr2bl w:val="nil"/>
                  </w:tcBorders>
                  <w:noWrap w:val="0"/>
                  <w:vAlign w:val="center"/>
                </w:tcPr>
                <w:p w14:paraId="62F03434">
                  <w:pPr>
                    <w:pStyle w:val="157"/>
                    <w:ind w:firstLine="0" w:firstLineChars="0"/>
                    <w:jc w:val="center"/>
                    <w:rPr>
                      <w:rFonts w:hint="eastAsia"/>
                      <w:b/>
                      <w:bCs/>
                      <w:color w:val="auto"/>
                      <w:sz w:val="18"/>
                      <w:szCs w:val="18"/>
                      <w:lang w:val="en-US" w:eastAsia="zh-CN"/>
                    </w:rPr>
                  </w:pPr>
                  <w:r>
                    <w:rPr>
                      <w:rFonts w:hint="eastAsia"/>
                      <w:b/>
                      <w:bCs/>
                      <w:color w:val="auto"/>
                      <w:sz w:val="18"/>
                      <w:szCs w:val="18"/>
                      <w:lang w:val="en-US" w:eastAsia="zh-CN"/>
                    </w:rPr>
                    <w:t>工序</w:t>
                  </w:r>
                </w:p>
              </w:tc>
              <w:tc>
                <w:tcPr>
                  <w:tcW w:w="1226" w:type="dxa"/>
                  <w:vMerge w:val="restart"/>
                  <w:tcBorders>
                    <w:tl2br w:val="nil"/>
                    <w:tr2bl w:val="nil"/>
                  </w:tcBorders>
                  <w:shd w:val="clear" w:color="auto" w:fill="auto"/>
                  <w:noWrap w:val="0"/>
                  <w:vAlign w:val="center"/>
                </w:tcPr>
                <w:p w14:paraId="482E60CA">
                  <w:pPr>
                    <w:pStyle w:val="157"/>
                    <w:ind w:firstLine="0" w:firstLineChars="0"/>
                    <w:jc w:val="center"/>
                    <w:rPr>
                      <w:b/>
                      <w:bCs/>
                      <w:color w:val="auto"/>
                      <w:sz w:val="18"/>
                      <w:szCs w:val="18"/>
                    </w:rPr>
                  </w:pPr>
                  <w:r>
                    <w:rPr>
                      <w:b/>
                      <w:bCs/>
                      <w:color w:val="auto"/>
                      <w:sz w:val="18"/>
                      <w:szCs w:val="18"/>
                    </w:rPr>
                    <w:t>污染物</w:t>
                  </w:r>
                </w:p>
              </w:tc>
              <w:tc>
                <w:tcPr>
                  <w:tcW w:w="1487" w:type="dxa"/>
                  <w:vMerge w:val="restart"/>
                  <w:tcBorders>
                    <w:tl2br w:val="nil"/>
                    <w:tr2bl w:val="nil"/>
                  </w:tcBorders>
                  <w:noWrap w:val="0"/>
                  <w:vAlign w:val="center"/>
                </w:tcPr>
                <w:p w14:paraId="0572082B">
                  <w:pPr>
                    <w:pStyle w:val="157"/>
                    <w:ind w:firstLine="0" w:firstLineChars="0"/>
                    <w:rPr>
                      <w:rFonts w:hint="default" w:eastAsia="宋体"/>
                      <w:b/>
                      <w:bCs/>
                      <w:color w:val="auto"/>
                      <w:sz w:val="18"/>
                      <w:szCs w:val="18"/>
                      <w:lang w:val="en-US" w:eastAsia="zh-CN"/>
                    </w:rPr>
                  </w:pPr>
                  <w:r>
                    <w:rPr>
                      <w:rFonts w:hint="eastAsia"/>
                      <w:b/>
                      <w:bCs/>
                      <w:color w:val="auto"/>
                      <w:sz w:val="18"/>
                      <w:szCs w:val="18"/>
                      <w:lang w:val="en-US" w:eastAsia="zh-CN"/>
                    </w:rPr>
                    <w:t>最高允许排放浓度限值</w:t>
                  </w:r>
                  <w:r>
                    <w:rPr>
                      <w:b/>
                      <w:bCs/>
                      <w:color w:val="auto"/>
                      <w:sz w:val="18"/>
                      <w:szCs w:val="18"/>
                    </w:rPr>
                    <w:t>（mg/m</w:t>
                  </w:r>
                  <w:r>
                    <w:rPr>
                      <w:b/>
                      <w:bCs/>
                      <w:color w:val="auto"/>
                      <w:sz w:val="18"/>
                      <w:szCs w:val="18"/>
                      <w:vertAlign w:val="superscript"/>
                    </w:rPr>
                    <w:t>3</w:t>
                  </w:r>
                  <w:r>
                    <w:rPr>
                      <w:b/>
                      <w:bCs/>
                      <w:color w:val="auto"/>
                      <w:sz w:val="18"/>
                      <w:szCs w:val="18"/>
                    </w:rPr>
                    <w:t>）</w:t>
                  </w:r>
                </w:p>
              </w:tc>
              <w:tc>
                <w:tcPr>
                  <w:tcW w:w="2648" w:type="dxa"/>
                  <w:gridSpan w:val="2"/>
                  <w:tcBorders>
                    <w:tl2br w:val="nil"/>
                    <w:tr2bl w:val="nil"/>
                  </w:tcBorders>
                  <w:noWrap w:val="0"/>
                  <w:vAlign w:val="center"/>
                </w:tcPr>
                <w:p w14:paraId="3378AF03">
                  <w:pPr>
                    <w:pStyle w:val="157"/>
                    <w:ind w:firstLine="0" w:firstLineChars="0"/>
                    <w:rPr>
                      <w:rFonts w:hint="eastAsia"/>
                      <w:b/>
                      <w:bCs/>
                      <w:color w:val="auto"/>
                      <w:sz w:val="18"/>
                      <w:szCs w:val="18"/>
                      <w:lang w:val="en-US" w:eastAsia="zh-CN"/>
                    </w:rPr>
                  </w:pPr>
                  <w:r>
                    <w:rPr>
                      <w:rFonts w:hint="eastAsia"/>
                      <w:b/>
                      <w:bCs/>
                      <w:color w:val="auto"/>
                      <w:sz w:val="18"/>
                      <w:szCs w:val="18"/>
                      <w:lang w:val="en-US" w:eastAsia="zh-CN"/>
                    </w:rPr>
                    <w:t>最高允许排放速率（二级）</w:t>
                  </w:r>
                </w:p>
              </w:tc>
              <w:tc>
                <w:tcPr>
                  <w:tcW w:w="1414" w:type="dxa"/>
                  <w:vMerge w:val="restart"/>
                  <w:tcBorders>
                    <w:tl2br w:val="nil"/>
                    <w:tr2bl w:val="nil"/>
                  </w:tcBorders>
                  <w:noWrap w:val="0"/>
                  <w:vAlign w:val="center"/>
                </w:tcPr>
                <w:p w14:paraId="285AE1FC">
                  <w:pPr>
                    <w:pStyle w:val="157"/>
                    <w:keepNext w:val="0"/>
                    <w:keepLines w:val="0"/>
                    <w:pageBreakBefore w:val="0"/>
                    <w:widowControl/>
                    <w:kinsoku/>
                    <w:wordWrap/>
                    <w:overflowPunct/>
                    <w:topLinePunct w:val="0"/>
                    <w:autoSpaceDE/>
                    <w:autoSpaceDN/>
                    <w:bidi w:val="0"/>
                    <w:adjustRightInd/>
                    <w:snapToGrid/>
                    <w:ind w:firstLine="0" w:firstLineChars="0"/>
                    <w:textAlignment w:val="auto"/>
                    <w:rPr>
                      <w:b/>
                      <w:bCs/>
                      <w:color w:val="auto"/>
                      <w:sz w:val="18"/>
                      <w:szCs w:val="18"/>
                    </w:rPr>
                  </w:pPr>
                  <w:r>
                    <w:rPr>
                      <w:rFonts w:hint="eastAsia" w:cs="Times New Roman"/>
                      <w:b/>
                      <w:bCs/>
                      <w:color w:val="auto"/>
                      <w:sz w:val="18"/>
                      <w:szCs w:val="18"/>
                      <w:highlight w:val="none"/>
                      <w:vertAlign w:val="baseline"/>
                      <w:lang w:val="en-US" w:eastAsia="zh-CN"/>
                    </w:rPr>
                    <w:t>标准</w:t>
                  </w:r>
                  <w:r>
                    <w:rPr>
                      <w:rFonts w:hint="default" w:ascii="Times New Roman" w:hAnsi="Times New Roman" w:eastAsia="宋体" w:cs="Times New Roman"/>
                      <w:b/>
                      <w:bCs/>
                      <w:color w:val="auto"/>
                      <w:sz w:val="18"/>
                      <w:szCs w:val="18"/>
                      <w:highlight w:val="none"/>
                      <w:vertAlign w:val="baseline"/>
                      <w:lang w:eastAsia="zh-CN"/>
                    </w:rPr>
                    <w:t>来源</w:t>
                  </w:r>
                </w:p>
              </w:tc>
            </w:tr>
            <w:tr w14:paraId="3D12A3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81" w:type="dxa"/>
                  <w:gridSpan w:val="2"/>
                  <w:vMerge w:val="continue"/>
                  <w:tcBorders>
                    <w:tl2br w:val="nil"/>
                    <w:tr2bl w:val="nil"/>
                  </w:tcBorders>
                  <w:noWrap w:val="0"/>
                  <w:vAlign w:val="center"/>
                </w:tcPr>
                <w:p w14:paraId="314EC455">
                  <w:pPr>
                    <w:pStyle w:val="157"/>
                    <w:ind w:firstLine="0" w:firstLineChars="0"/>
                    <w:rPr>
                      <w:b/>
                      <w:bCs/>
                      <w:color w:val="auto"/>
                      <w:sz w:val="18"/>
                      <w:szCs w:val="18"/>
                    </w:rPr>
                  </w:pPr>
                </w:p>
              </w:tc>
              <w:tc>
                <w:tcPr>
                  <w:tcW w:w="1226" w:type="dxa"/>
                  <w:vMerge w:val="continue"/>
                  <w:tcBorders>
                    <w:tl2br w:val="nil"/>
                    <w:tr2bl w:val="nil"/>
                  </w:tcBorders>
                  <w:noWrap w:val="0"/>
                  <w:vAlign w:val="center"/>
                </w:tcPr>
                <w:p w14:paraId="3F3EF6DA">
                  <w:pPr>
                    <w:pStyle w:val="157"/>
                    <w:ind w:firstLine="0" w:firstLineChars="0"/>
                    <w:rPr>
                      <w:b/>
                      <w:bCs/>
                      <w:color w:val="auto"/>
                      <w:sz w:val="18"/>
                      <w:szCs w:val="18"/>
                    </w:rPr>
                  </w:pPr>
                </w:p>
              </w:tc>
              <w:tc>
                <w:tcPr>
                  <w:tcW w:w="1487" w:type="dxa"/>
                  <w:vMerge w:val="continue"/>
                  <w:tcBorders>
                    <w:tl2br w:val="nil"/>
                    <w:tr2bl w:val="nil"/>
                  </w:tcBorders>
                  <w:noWrap w:val="0"/>
                  <w:vAlign w:val="center"/>
                </w:tcPr>
                <w:p w14:paraId="6055B59A">
                  <w:pPr>
                    <w:pStyle w:val="157"/>
                    <w:keepNext w:val="0"/>
                    <w:keepLines w:val="0"/>
                    <w:pageBreakBefore w:val="0"/>
                    <w:widowControl/>
                    <w:kinsoku/>
                    <w:wordWrap/>
                    <w:overflowPunct/>
                    <w:topLinePunct w:val="0"/>
                    <w:autoSpaceDE/>
                    <w:autoSpaceDN/>
                    <w:bidi w:val="0"/>
                    <w:adjustRightInd/>
                    <w:snapToGrid/>
                    <w:ind w:firstLine="0" w:firstLineChars="0"/>
                    <w:textAlignment w:val="auto"/>
                    <w:rPr>
                      <w:b/>
                      <w:bCs/>
                      <w:color w:val="auto"/>
                      <w:sz w:val="18"/>
                      <w:szCs w:val="18"/>
                    </w:rPr>
                  </w:pPr>
                </w:p>
              </w:tc>
              <w:tc>
                <w:tcPr>
                  <w:tcW w:w="1539" w:type="dxa"/>
                  <w:tcBorders>
                    <w:tl2br w:val="nil"/>
                    <w:tr2bl w:val="nil"/>
                  </w:tcBorders>
                  <w:noWrap w:val="0"/>
                  <w:vAlign w:val="center"/>
                </w:tcPr>
                <w:p w14:paraId="6016EDCE">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default" w:eastAsia="宋体"/>
                      <w:b/>
                      <w:bCs/>
                      <w:color w:val="auto"/>
                      <w:sz w:val="18"/>
                      <w:szCs w:val="18"/>
                      <w:lang w:val="en-US" w:eastAsia="zh-CN"/>
                    </w:rPr>
                  </w:pPr>
                  <w:r>
                    <w:rPr>
                      <w:rFonts w:hint="eastAsia"/>
                      <w:b/>
                      <w:bCs/>
                      <w:color w:val="auto"/>
                      <w:sz w:val="18"/>
                      <w:szCs w:val="18"/>
                      <w:lang w:val="en-US" w:eastAsia="zh-CN"/>
                    </w:rPr>
                    <w:t>排气筒高度（m）</w:t>
                  </w:r>
                </w:p>
              </w:tc>
              <w:tc>
                <w:tcPr>
                  <w:tcW w:w="1109" w:type="dxa"/>
                  <w:tcBorders>
                    <w:tl2br w:val="nil"/>
                    <w:tr2bl w:val="nil"/>
                  </w:tcBorders>
                  <w:noWrap w:val="0"/>
                  <w:vAlign w:val="center"/>
                </w:tcPr>
                <w:p w14:paraId="065EFD61">
                  <w:pPr>
                    <w:pStyle w:val="157"/>
                    <w:keepNext w:val="0"/>
                    <w:keepLines w:val="0"/>
                    <w:pageBreakBefore w:val="0"/>
                    <w:widowControl/>
                    <w:kinsoku/>
                    <w:wordWrap/>
                    <w:overflowPunct/>
                    <w:topLinePunct w:val="0"/>
                    <w:autoSpaceDE/>
                    <w:autoSpaceDN/>
                    <w:bidi w:val="0"/>
                    <w:adjustRightInd/>
                    <w:snapToGrid/>
                    <w:ind w:firstLine="0" w:firstLineChars="0"/>
                    <w:textAlignment w:val="auto"/>
                    <w:rPr>
                      <w:b/>
                      <w:bCs/>
                      <w:color w:val="auto"/>
                      <w:sz w:val="18"/>
                      <w:szCs w:val="18"/>
                    </w:rPr>
                  </w:pPr>
                  <w:r>
                    <w:rPr>
                      <w:rFonts w:hint="eastAsia"/>
                      <w:b/>
                      <w:bCs/>
                      <w:color w:val="auto"/>
                      <w:sz w:val="18"/>
                      <w:szCs w:val="18"/>
                      <w:lang w:val="en-US" w:eastAsia="zh-CN"/>
                    </w:rPr>
                    <w:t>速率</w:t>
                  </w:r>
                  <w:r>
                    <w:rPr>
                      <w:b/>
                      <w:bCs/>
                      <w:color w:val="auto"/>
                      <w:sz w:val="18"/>
                      <w:szCs w:val="18"/>
                    </w:rPr>
                    <w:t>（</w:t>
                  </w:r>
                  <w:r>
                    <w:rPr>
                      <w:rFonts w:hint="eastAsia"/>
                      <w:b/>
                      <w:bCs/>
                      <w:color w:val="auto"/>
                      <w:sz w:val="18"/>
                      <w:szCs w:val="18"/>
                      <w:lang w:val="en-US" w:eastAsia="zh-CN"/>
                    </w:rPr>
                    <w:t>kg/h</w:t>
                  </w:r>
                  <w:r>
                    <w:rPr>
                      <w:b/>
                      <w:bCs/>
                      <w:color w:val="auto"/>
                      <w:sz w:val="18"/>
                      <w:szCs w:val="18"/>
                    </w:rPr>
                    <w:t>）</w:t>
                  </w:r>
                </w:p>
              </w:tc>
              <w:tc>
                <w:tcPr>
                  <w:tcW w:w="1414" w:type="dxa"/>
                  <w:vMerge w:val="continue"/>
                  <w:tcBorders>
                    <w:tl2br w:val="nil"/>
                    <w:tr2bl w:val="nil"/>
                  </w:tcBorders>
                  <w:noWrap w:val="0"/>
                  <w:vAlign w:val="center"/>
                </w:tcPr>
                <w:p w14:paraId="51118664">
                  <w:pPr>
                    <w:pStyle w:val="157"/>
                    <w:ind w:firstLine="0" w:firstLineChars="0"/>
                    <w:rPr>
                      <w:b/>
                      <w:bCs/>
                      <w:color w:val="auto"/>
                      <w:sz w:val="18"/>
                      <w:szCs w:val="18"/>
                    </w:rPr>
                  </w:pPr>
                </w:p>
              </w:tc>
            </w:tr>
            <w:tr w14:paraId="3744F6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2" w:type="dxa"/>
                  <w:vMerge w:val="restart"/>
                  <w:tcBorders>
                    <w:right w:val="single" w:color="auto" w:sz="4" w:space="0"/>
                    <w:tl2br w:val="nil"/>
                    <w:tr2bl w:val="nil"/>
                  </w:tcBorders>
                  <w:noWrap w:val="0"/>
                  <w:vAlign w:val="center"/>
                </w:tcPr>
                <w:p w14:paraId="106B58C2">
                  <w:pPr>
                    <w:widowControl/>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消防软管</w:t>
                  </w:r>
                </w:p>
              </w:tc>
              <w:tc>
                <w:tcPr>
                  <w:tcW w:w="1069" w:type="dxa"/>
                  <w:tcBorders>
                    <w:left w:val="single" w:color="auto" w:sz="4" w:space="0"/>
                    <w:bottom w:val="single" w:color="auto" w:sz="4" w:space="0"/>
                    <w:tl2br w:val="nil"/>
                    <w:tr2bl w:val="nil"/>
                  </w:tcBorders>
                  <w:noWrap w:val="0"/>
                  <w:vAlign w:val="center"/>
                </w:tcPr>
                <w:p w14:paraId="54B65586">
                  <w:pPr>
                    <w:widowControl/>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混料拌料</w:t>
                  </w:r>
                </w:p>
              </w:tc>
              <w:tc>
                <w:tcPr>
                  <w:tcW w:w="1226" w:type="dxa"/>
                  <w:tcBorders>
                    <w:bottom w:val="single" w:color="auto" w:sz="4" w:space="0"/>
                    <w:tl2br w:val="nil"/>
                    <w:tr2bl w:val="nil"/>
                  </w:tcBorders>
                  <w:shd w:val="clear" w:color="auto" w:fill="auto"/>
                  <w:noWrap w:val="0"/>
                  <w:vAlign w:val="center"/>
                </w:tcPr>
                <w:p w14:paraId="08AB9AB6">
                  <w:pPr>
                    <w:widowControl/>
                    <w:spacing w:line="240" w:lineRule="auto"/>
                    <w:ind w:firstLine="0" w:firstLineChars="0"/>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颗粒物</w:t>
                  </w:r>
                </w:p>
              </w:tc>
              <w:tc>
                <w:tcPr>
                  <w:tcW w:w="1487" w:type="dxa"/>
                  <w:tcBorders>
                    <w:tl2br w:val="nil"/>
                    <w:tr2bl w:val="nil"/>
                  </w:tcBorders>
                  <w:noWrap w:val="0"/>
                  <w:vAlign w:val="center"/>
                </w:tcPr>
                <w:p w14:paraId="22932CF7">
                  <w:pPr>
                    <w:pStyle w:val="157"/>
                    <w:ind w:firstLine="0" w:firstLineChars="0"/>
                    <w:rPr>
                      <w:rFonts w:hint="default" w:eastAsia="宋体"/>
                      <w:color w:val="auto"/>
                      <w:sz w:val="18"/>
                      <w:szCs w:val="18"/>
                      <w:lang w:val="en-US" w:eastAsia="zh-CN"/>
                    </w:rPr>
                  </w:pPr>
                  <w:r>
                    <w:rPr>
                      <w:rFonts w:hint="eastAsia"/>
                      <w:color w:val="auto"/>
                      <w:sz w:val="18"/>
                      <w:szCs w:val="18"/>
                      <w:lang w:val="en-US" w:eastAsia="zh-CN"/>
                    </w:rPr>
                    <w:t>120</w:t>
                  </w:r>
                </w:p>
              </w:tc>
              <w:tc>
                <w:tcPr>
                  <w:tcW w:w="1539" w:type="dxa"/>
                  <w:tcBorders>
                    <w:tl2br w:val="nil"/>
                    <w:tr2bl w:val="nil"/>
                  </w:tcBorders>
                  <w:noWrap w:val="0"/>
                  <w:vAlign w:val="center"/>
                </w:tcPr>
                <w:p w14:paraId="4621C198">
                  <w:pPr>
                    <w:pStyle w:val="157"/>
                    <w:ind w:firstLine="0" w:firstLineChars="0"/>
                    <w:rPr>
                      <w:rFonts w:hint="default" w:eastAsia="宋体"/>
                      <w:color w:val="auto"/>
                      <w:sz w:val="18"/>
                      <w:szCs w:val="18"/>
                      <w:lang w:val="en-US" w:eastAsia="zh-CN"/>
                    </w:rPr>
                  </w:pPr>
                  <w:r>
                    <w:rPr>
                      <w:rFonts w:hint="eastAsia"/>
                      <w:color w:val="auto"/>
                      <w:sz w:val="18"/>
                      <w:szCs w:val="18"/>
                      <w:lang w:val="en-US" w:eastAsia="zh-CN"/>
                    </w:rPr>
                    <w:t>15</w:t>
                  </w:r>
                </w:p>
              </w:tc>
              <w:tc>
                <w:tcPr>
                  <w:tcW w:w="1109" w:type="dxa"/>
                  <w:tcBorders>
                    <w:tl2br w:val="nil"/>
                    <w:tr2bl w:val="nil"/>
                  </w:tcBorders>
                  <w:noWrap w:val="0"/>
                  <w:vAlign w:val="center"/>
                </w:tcPr>
                <w:p w14:paraId="4CAC800D">
                  <w:pPr>
                    <w:pStyle w:val="157"/>
                    <w:ind w:firstLine="0" w:firstLineChars="0"/>
                    <w:rPr>
                      <w:rFonts w:hint="default" w:eastAsia="宋体"/>
                      <w:color w:val="auto"/>
                      <w:sz w:val="18"/>
                      <w:szCs w:val="18"/>
                      <w:lang w:val="en-US" w:eastAsia="zh-CN"/>
                    </w:rPr>
                  </w:pPr>
                  <w:r>
                    <w:rPr>
                      <w:rFonts w:hint="eastAsia"/>
                      <w:color w:val="auto"/>
                      <w:sz w:val="18"/>
                      <w:szCs w:val="18"/>
                      <w:lang w:val="en-US" w:eastAsia="zh-CN"/>
                    </w:rPr>
                    <w:t>3.5</w:t>
                  </w:r>
                </w:p>
              </w:tc>
              <w:tc>
                <w:tcPr>
                  <w:tcW w:w="1414" w:type="dxa"/>
                  <w:vMerge w:val="restart"/>
                  <w:tcBorders>
                    <w:tl2br w:val="nil"/>
                    <w:tr2bl w:val="nil"/>
                  </w:tcBorders>
                  <w:noWrap w:val="0"/>
                  <w:vAlign w:val="center"/>
                </w:tcPr>
                <w:p w14:paraId="4548D0D9">
                  <w:pPr>
                    <w:pStyle w:val="157"/>
                    <w:ind w:firstLine="0" w:firstLineChars="0"/>
                    <w:rPr>
                      <w:rFonts w:hint="eastAsia"/>
                      <w:color w:val="auto"/>
                      <w:sz w:val="18"/>
                      <w:szCs w:val="18"/>
                      <w:lang w:val="en-US" w:eastAsia="zh-CN"/>
                    </w:rPr>
                  </w:pPr>
                  <w:r>
                    <w:rPr>
                      <w:rFonts w:hint="eastAsia"/>
                      <w:color w:val="auto"/>
                      <w:sz w:val="18"/>
                      <w:szCs w:val="18"/>
                      <w:lang w:val="en-US" w:eastAsia="zh-CN"/>
                    </w:rPr>
                    <w:t>GB16297-1996</w:t>
                  </w:r>
                </w:p>
              </w:tc>
            </w:tr>
            <w:tr w14:paraId="620E0D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2" w:type="dxa"/>
                  <w:vMerge w:val="continue"/>
                  <w:tcBorders>
                    <w:right w:val="single" w:color="auto" w:sz="4" w:space="0"/>
                    <w:tl2br w:val="nil"/>
                    <w:tr2bl w:val="nil"/>
                  </w:tcBorders>
                  <w:noWrap w:val="0"/>
                  <w:vAlign w:val="center"/>
                </w:tcPr>
                <w:p w14:paraId="776F45B4">
                  <w:pPr>
                    <w:widowControl/>
                    <w:spacing w:line="240" w:lineRule="auto"/>
                    <w:ind w:firstLine="0" w:firstLineChars="0"/>
                    <w:jc w:val="center"/>
                    <w:rPr>
                      <w:rFonts w:ascii="Times New Roman" w:hAnsi="Times New Roman"/>
                      <w:color w:val="auto"/>
                      <w:sz w:val="18"/>
                      <w:szCs w:val="18"/>
                    </w:rPr>
                  </w:pPr>
                </w:p>
              </w:tc>
              <w:tc>
                <w:tcPr>
                  <w:tcW w:w="1069" w:type="dxa"/>
                  <w:tcBorders>
                    <w:top w:val="single" w:color="auto" w:sz="4" w:space="0"/>
                    <w:left w:val="single" w:color="auto" w:sz="4" w:space="0"/>
                    <w:tl2br w:val="nil"/>
                    <w:tr2bl w:val="nil"/>
                  </w:tcBorders>
                  <w:noWrap w:val="0"/>
                  <w:vAlign w:val="center"/>
                </w:tcPr>
                <w:p w14:paraId="596ABFD2">
                  <w:pPr>
                    <w:widowControl/>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造粒、挤出</w:t>
                  </w:r>
                </w:p>
              </w:tc>
              <w:tc>
                <w:tcPr>
                  <w:tcW w:w="1226" w:type="dxa"/>
                  <w:tcBorders>
                    <w:top w:val="single" w:color="auto" w:sz="4" w:space="0"/>
                    <w:tl2br w:val="nil"/>
                    <w:tr2bl w:val="nil"/>
                  </w:tcBorders>
                  <w:shd w:val="clear" w:color="auto" w:fill="auto"/>
                  <w:noWrap w:val="0"/>
                  <w:vAlign w:val="center"/>
                </w:tcPr>
                <w:p w14:paraId="2EE51B92">
                  <w:pPr>
                    <w:widowControl/>
                    <w:spacing w:line="240" w:lineRule="auto"/>
                    <w:ind w:firstLine="0" w:firstLineChars="0"/>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非甲烷总烃</w:t>
                  </w:r>
                </w:p>
              </w:tc>
              <w:tc>
                <w:tcPr>
                  <w:tcW w:w="1487" w:type="dxa"/>
                  <w:tcBorders>
                    <w:tl2br w:val="nil"/>
                    <w:tr2bl w:val="nil"/>
                  </w:tcBorders>
                  <w:noWrap w:val="0"/>
                  <w:vAlign w:val="center"/>
                </w:tcPr>
                <w:p w14:paraId="5EEB6AE9">
                  <w:pPr>
                    <w:pStyle w:val="157"/>
                    <w:ind w:firstLine="0" w:firstLineChars="0"/>
                    <w:rPr>
                      <w:rFonts w:hint="default" w:eastAsia="宋体"/>
                      <w:color w:val="auto"/>
                      <w:sz w:val="18"/>
                      <w:szCs w:val="18"/>
                      <w:lang w:val="en-US" w:eastAsia="zh-CN"/>
                    </w:rPr>
                  </w:pPr>
                  <w:r>
                    <w:rPr>
                      <w:rFonts w:hint="eastAsia"/>
                      <w:color w:val="auto"/>
                      <w:sz w:val="18"/>
                      <w:szCs w:val="18"/>
                      <w:lang w:val="en-US" w:eastAsia="zh-CN"/>
                    </w:rPr>
                    <w:t>120</w:t>
                  </w:r>
                </w:p>
              </w:tc>
              <w:tc>
                <w:tcPr>
                  <w:tcW w:w="1539" w:type="dxa"/>
                  <w:tcBorders>
                    <w:tl2br w:val="nil"/>
                    <w:tr2bl w:val="nil"/>
                  </w:tcBorders>
                  <w:noWrap w:val="0"/>
                  <w:vAlign w:val="center"/>
                </w:tcPr>
                <w:p w14:paraId="55343BFC">
                  <w:pPr>
                    <w:pStyle w:val="157"/>
                    <w:ind w:firstLine="0" w:firstLineChars="0"/>
                    <w:rPr>
                      <w:rFonts w:hint="default" w:eastAsia="宋体"/>
                      <w:color w:val="auto"/>
                      <w:sz w:val="18"/>
                      <w:szCs w:val="18"/>
                      <w:lang w:val="en-US" w:eastAsia="zh-CN"/>
                    </w:rPr>
                  </w:pPr>
                  <w:r>
                    <w:rPr>
                      <w:rFonts w:hint="eastAsia"/>
                      <w:color w:val="auto"/>
                      <w:sz w:val="18"/>
                      <w:szCs w:val="18"/>
                      <w:lang w:val="en-US" w:eastAsia="zh-CN"/>
                    </w:rPr>
                    <w:t>15</w:t>
                  </w:r>
                </w:p>
              </w:tc>
              <w:tc>
                <w:tcPr>
                  <w:tcW w:w="1109" w:type="dxa"/>
                  <w:tcBorders>
                    <w:tl2br w:val="nil"/>
                    <w:tr2bl w:val="nil"/>
                  </w:tcBorders>
                  <w:noWrap w:val="0"/>
                  <w:vAlign w:val="center"/>
                </w:tcPr>
                <w:p w14:paraId="7B4D0B20">
                  <w:pPr>
                    <w:pStyle w:val="157"/>
                    <w:ind w:firstLine="0" w:firstLineChars="0"/>
                    <w:rPr>
                      <w:rFonts w:hint="default" w:eastAsia="宋体"/>
                      <w:color w:val="auto"/>
                      <w:sz w:val="18"/>
                      <w:szCs w:val="18"/>
                      <w:lang w:val="en-US" w:eastAsia="zh-CN"/>
                    </w:rPr>
                  </w:pPr>
                  <w:r>
                    <w:rPr>
                      <w:rFonts w:hint="eastAsia"/>
                      <w:color w:val="auto"/>
                      <w:sz w:val="18"/>
                      <w:szCs w:val="18"/>
                      <w:lang w:val="en-US" w:eastAsia="zh-CN"/>
                    </w:rPr>
                    <w:t>10</w:t>
                  </w:r>
                </w:p>
              </w:tc>
              <w:tc>
                <w:tcPr>
                  <w:tcW w:w="1414" w:type="dxa"/>
                  <w:vMerge w:val="continue"/>
                  <w:tcBorders>
                    <w:tl2br w:val="nil"/>
                    <w:tr2bl w:val="nil"/>
                  </w:tcBorders>
                  <w:noWrap w:val="0"/>
                  <w:vAlign w:val="center"/>
                </w:tcPr>
                <w:p w14:paraId="1F0FEEDF">
                  <w:pPr>
                    <w:pStyle w:val="157"/>
                    <w:ind w:firstLine="0" w:firstLineChars="0"/>
                    <w:rPr>
                      <w:rFonts w:hint="eastAsia"/>
                      <w:color w:val="auto"/>
                      <w:sz w:val="18"/>
                      <w:szCs w:val="18"/>
                      <w:lang w:val="en-US" w:eastAsia="zh-CN"/>
                    </w:rPr>
                  </w:pPr>
                </w:p>
              </w:tc>
            </w:tr>
            <w:tr w14:paraId="2F101A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2" w:type="dxa"/>
                  <w:vMerge w:val="restart"/>
                  <w:tcBorders>
                    <w:right w:val="single" w:color="auto" w:sz="4" w:space="0"/>
                    <w:tl2br w:val="nil"/>
                    <w:tr2bl w:val="nil"/>
                  </w:tcBorders>
                  <w:noWrap w:val="0"/>
                  <w:vAlign w:val="center"/>
                </w:tcPr>
                <w:p w14:paraId="6EE33863">
                  <w:pPr>
                    <w:widowControl/>
                    <w:spacing w:line="240" w:lineRule="auto"/>
                    <w:ind w:firstLine="0" w:firstLineChars="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消防水带</w:t>
                  </w:r>
                </w:p>
              </w:tc>
              <w:tc>
                <w:tcPr>
                  <w:tcW w:w="1069" w:type="dxa"/>
                  <w:vMerge w:val="restart"/>
                  <w:tcBorders>
                    <w:left w:val="single" w:color="auto" w:sz="4" w:space="0"/>
                    <w:tl2br w:val="nil"/>
                    <w:tr2bl w:val="nil"/>
                  </w:tcBorders>
                  <w:noWrap w:val="0"/>
                  <w:vAlign w:val="center"/>
                </w:tcPr>
                <w:p w14:paraId="0CC14DA8">
                  <w:pPr>
                    <w:widowControl/>
                    <w:spacing w:line="240" w:lineRule="auto"/>
                    <w:ind w:firstLine="0" w:firstLineChars="0"/>
                    <w:jc w:val="center"/>
                    <w:rPr>
                      <w:rFonts w:hint="eastAsia"/>
                      <w:color w:val="auto"/>
                      <w:sz w:val="18"/>
                      <w:szCs w:val="18"/>
                      <w:lang w:val="en-US" w:eastAsia="zh-CN"/>
                    </w:rPr>
                  </w:pPr>
                  <w:r>
                    <w:rPr>
                      <w:rFonts w:hint="eastAsia"/>
                      <w:color w:val="auto"/>
                      <w:sz w:val="18"/>
                      <w:szCs w:val="18"/>
                      <w:lang w:val="en-US" w:eastAsia="zh-CN"/>
                    </w:rPr>
                    <w:t>挤出</w:t>
                  </w:r>
                </w:p>
              </w:tc>
              <w:tc>
                <w:tcPr>
                  <w:tcW w:w="1226" w:type="dxa"/>
                  <w:tcBorders>
                    <w:tl2br w:val="nil"/>
                    <w:tr2bl w:val="nil"/>
                  </w:tcBorders>
                  <w:shd w:val="clear" w:color="auto" w:fill="auto"/>
                  <w:noWrap w:val="0"/>
                  <w:vAlign w:val="center"/>
                </w:tcPr>
                <w:p w14:paraId="12A57AC1">
                  <w:pPr>
                    <w:widowControl/>
                    <w:spacing w:line="240" w:lineRule="auto"/>
                    <w:ind w:firstLine="0" w:firstLineChars="0"/>
                    <w:jc w:val="center"/>
                    <w:rPr>
                      <w:rFonts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非甲烷总烃</w:t>
                  </w:r>
                </w:p>
              </w:tc>
              <w:tc>
                <w:tcPr>
                  <w:tcW w:w="1487" w:type="dxa"/>
                  <w:tcBorders>
                    <w:tl2br w:val="nil"/>
                    <w:tr2bl w:val="nil"/>
                  </w:tcBorders>
                  <w:shd w:val="clear" w:color="auto" w:fill="auto"/>
                  <w:noWrap w:val="0"/>
                  <w:vAlign w:val="center"/>
                </w:tcPr>
                <w:p w14:paraId="342D49B9">
                  <w:pPr>
                    <w:pStyle w:val="157"/>
                    <w:ind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100</w:t>
                  </w:r>
                </w:p>
              </w:tc>
              <w:tc>
                <w:tcPr>
                  <w:tcW w:w="1539" w:type="dxa"/>
                  <w:tcBorders>
                    <w:tl2br w:val="nil"/>
                    <w:tr2bl w:val="nil"/>
                  </w:tcBorders>
                  <w:shd w:val="clear" w:color="auto" w:fill="auto"/>
                  <w:noWrap w:val="0"/>
                  <w:vAlign w:val="center"/>
                </w:tcPr>
                <w:p w14:paraId="1AFA4AF7">
                  <w:pPr>
                    <w:pStyle w:val="157"/>
                    <w:ind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109" w:type="dxa"/>
                  <w:tcBorders>
                    <w:tl2br w:val="nil"/>
                    <w:tr2bl w:val="nil"/>
                  </w:tcBorders>
                  <w:shd w:val="clear" w:color="auto" w:fill="auto"/>
                  <w:noWrap w:val="0"/>
                  <w:vAlign w:val="center"/>
                </w:tcPr>
                <w:p w14:paraId="6608FC35">
                  <w:pPr>
                    <w:pStyle w:val="157"/>
                    <w:ind w:firstLine="0" w:firstLineChars="0"/>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1414" w:type="dxa"/>
                  <w:tcBorders>
                    <w:tl2br w:val="nil"/>
                    <w:tr2bl w:val="nil"/>
                  </w:tcBorders>
                  <w:noWrap w:val="0"/>
                  <w:vAlign w:val="center"/>
                </w:tcPr>
                <w:p w14:paraId="611E9EA3">
                  <w:pPr>
                    <w:pStyle w:val="157"/>
                    <w:ind w:firstLine="0" w:firstLineChars="0"/>
                    <w:rPr>
                      <w:rFonts w:hint="eastAsia"/>
                      <w:color w:val="auto"/>
                      <w:sz w:val="18"/>
                      <w:szCs w:val="18"/>
                      <w:lang w:val="en-US" w:eastAsia="zh-CN"/>
                    </w:rPr>
                  </w:pPr>
                  <w:r>
                    <w:rPr>
                      <w:rFonts w:hint="eastAsia"/>
                      <w:color w:val="auto"/>
                      <w:sz w:val="18"/>
                      <w:szCs w:val="18"/>
                      <w:lang w:val="en-US" w:eastAsia="zh-CN"/>
                    </w:rPr>
                    <w:t>GB31572-2015</w:t>
                  </w:r>
                </w:p>
              </w:tc>
            </w:tr>
            <w:tr w14:paraId="1D1A38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2" w:type="dxa"/>
                  <w:vMerge w:val="continue"/>
                  <w:tcBorders>
                    <w:right w:val="single" w:color="auto" w:sz="4" w:space="0"/>
                    <w:tl2br w:val="nil"/>
                    <w:tr2bl w:val="nil"/>
                  </w:tcBorders>
                  <w:noWrap w:val="0"/>
                  <w:vAlign w:val="center"/>
                </w:tcPr>
                <w:p w14:paraId="13EA8F0E">
                  <w:pPr>
                    <w:widowControl/>
                    <w:spacing w:line="240" w:lineRule="auto"/>
                    <w:ind w:firstLine="0" w:firstLineChars="0"/>
                    <w:jc w:val="center"/>
                    <w:rPr>
                      <w:rFonts w:hint="eastAsia"/>
                      <w:color w:val="auto"/>
                      <w:sz w:val="18"/>
                      <w:szCs w:val="18"/>
                      <w:lang w:val="en-US" w:eastAsia="zh-CN"/>
                    </w:rPr>
                  </w:pPr>
                </w:p>
              </w:tc>
              <w:tc>
                <w:tcPr>
                  <w:tcW w:w="1069" w:type="dxa"/>
                  <w:vMerge w:val="continue"/>
                  <w:tcBorders>
                    <w:left w:val="single" w:color="auto" w:sz="4" w:space="0"/>
                    <w:tl2br w:val="nil"/>
                    <w:tr2bl w:val="nil"/>
                  </w:tcBorders>
                  <w:noWrap w:val="0"/>
                  <w:vAlign w:val="center"/>
                </w:tcPr>
                <w:p w14:paraId="088DF68F">
                  <w:pPr>
                    <w:widowControl/>
                    <w:spacing w:line="240" w:lineRule="auto"/>
                    <w:ind w:firstLine="0" w:firstLineChars="0"/>
                    <w:jc w:val="center"/>
                    <w:rPr>
                      <w:rFonts w:hint="eastAsia"/>
                      <w:color w:val="auto"/>
                      <w:sz w:val="18"/>
                      <w:szCs w:val="18"/>
                      <w:lang w:val="en-US" w:eastAsia="zh-CN"/>
                    </w:rPr>
                  </w:pPr>
                </w:p>
              </w:tc>
              <w:tc>
                <w:tcPr>
                  <w:tcW w:w="1226" w:type="dxa"/>
                  <w:tcBorders>
                    <w:tl2br w:val="nil"/>
                    <w:tr2bl w:val="nil"/>
                  </w:tcBorders>
                  <w:shd w:val="clear" w:color="auto" w:fill="auto"/>
                  <w:noWrap w:val="0"/>
                  <w:vAlign w:val="center"/>
                </w:tcPr>
                <w:p w14:paraId="7F336A06">
                  <w:pPr>
                    <w:widowControl/>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臭气浓度</w:t>
                  </w:r>
                </w:p>
              </w:tc>
              <w:tc>
                <w:tcPr>
                  <w:tcW w:w="1487" w:type="dxa"/>
                  <w:tcBorders>
                    <w:tl2br w:val="nil"/>
                    <w:tr2bl w:val="nil"/>
                  </w:tcBorders>
                  <w:shd w:val="clear" w:color="auto" w:fill="auto"/>
                  <w:noWrap w:val="0"/>
                  <w:vAlign w:val="center"/>
                </w:tcPr>
                <w:p w14:paraId="4E2116A2">
                  <w:pPr>
                    <w:pStyle w:val="157"/>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2000（无量纲）</w:t>
                  </w:r>
                </w:p>
              </w:tc>
              <w:tc>
                <w:tcPr>
                  <w:tcW w:w="1539" w:type="dxa"/>
                  <w:tcBorders>
                    <w:tl2br w:val="nil"/>
                    <w:tr2bl w:val="nil"/>
                  </w:tcBorders>
                  <w:shd w:val="clear" w:color="auto" w:fill="auto"/>
                  <w:noWrap w:val="0"/>
                  <w:vAlign w:val="center"/>
                </w:tcPr>
                <w:p w14:paraId="1A59D97D">
                  <w:pPr>
                    <w:pStyle w:val="157"/>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1109" w:type="dxa"/>
                  <w:tcBorders>
                    <w:tl2br w:val="nil"/>
                    <w:tr2bl w:val="nil"/>
                  </w:tcBorders>
                  <w:shd w:val="clear" w:color="auto" w:fill="auto"/>
                  <w:noWrap w:val="0"/>
                  <w:vAlign w:val="center"/>
                </w:tcPr>
                <w:p w14:paraId="0E9985AA">
                  <w:pPr>
                    <w:pStyle w:val="157"/>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1414" w:type="dxa"/>
                  <w:tcBorders>
                    <w:tl2br w:val="nil"/>
                    <w:tr2bl w:val="nil"/>
                  </w:tcBorders>
                  <w:noWrap w:val="0"/>
                  <w:vAlign w:val="center"/>
                </w:tcPr>
                <w:p w14:paraId="48998A93">
                  <w:pPr>
                    <w:pStyle w:val="157"/>
                    <w:ind w:firstLine="0" w:firstLineChars="0"/>
                    <w:rPr>
                      <w:rFonts w:hint="default"/>
                      <w:color w:val="auto"/>
                      <w:sz w:val="18"/>
                      <w:szCs w:val="18"/>
                      <w:lang w:val="en-US" w:eastAsia="zh-CN"/>
                    </w:rPr>
                  </w:pPr>
                  <w:r>
                    <w:rPr>
                      <w:rFonts w:hint="eastAsia"/>
                      <w:color w:val="auto"/>
                      <w:sz w:val="18"/>
                      <w:szCs w:val="18"/>
                      <w:lang w:val="en-US" w:eastAsia="zh-CN"/>
                    </w:rPr>
                    <w:t>GB14554-1993</w:t>
                  </w:r>
                </w:p>
              </w:tc>
            </w:tr>
            <w:tr w14:paraId="7FB398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2" w:type="dxa"/>
                  <w:vMerge w:val="restart"/>
                  <w:tcBorders>
                    <w:right w:val="single" w:color="auto" w:sz="4" w:space="0"/>
                    <w:tl2br w:val="nil"/>
                    <w:tr2bl w:val="nil"/>
                  </w:tcBorders>
                  <w:noWrap w:val="0"/>
                  <w:vAlign w:val="center"/>
                </w:tcPr>
                <w:p w14:paraId="7A01149C">
                  <w:pPr>
                    <w:widowControl/>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本项目执行</w:t>
                  </w:r>
                </w:p>
              </w:tc>
              <w:tc>
                <w:tcPr>
                  <w:tcW w:w="1069" w:type="dxa"/>
                  <w:tcBorders>
                    <w:left w:val="single" w:color="auto" w:sz="4" w:space="0"/>
                    <w:bottom w:val="single" w:color="auto" w:sz="4" w:space="0"/>
                    <w:tl2br w:val="nil"/>
                    <w:tr2bl w:val="nil"/>
                  </w:tcBorders>
                  <w:noWrap w:val="0"/>
                  <w:vAlign w:val="center"/>
                </w:tcPr>
                <w:p w14:paraId="42342327">
                  <w:pPr>
                    <w:widowControl/>
                    <w:spacing w:line="240" w:lineRule="auto"/>
                    <w:ind w:firstLine="0" w:firstLineChars="0"/>
                    <w:jc w:val="center"/>
                    <w:rPr>
                      <w:rFonts w:hint="eastAsia"/>
                      <w:color w:val="auto"/>
                      <w:sz w:val="18"/>
                      <w:szCs w:val="18"/>
                      <w:lang w:val="en-US" w:eastAsia="zh-CN"/>
                    </w:rPr>
                  </w:pPr>
                  <w:r>
                    <w:rPr>
                      <w:rFonts w:hint="eastAsia"/>
                      <w:color w:val="auto"/>
                      <w:sz w:val="18"/>
                      <w:szCs w:val="18"/>
                      <w:lang w:val="en-US" w:eastAsia="zh-CN"/>
                    </w:rPr>
                    <w:t>混料搅拌</w:t>
                  </w:r>
                </w:p>
              </w:tc>
              <w:tc>
                <w:tcPr>
                  <w:tcW w:w="1226" w:type="dxa"/>
                  <w:tcBorders>
                    <w:tl2br w:val="nil"/>
                    <w:tr2bl w:val="nil"/>
                  </w:tcBorders>
                  <w:shd w:val="clear" w:color="auto" w:fill="auto"/>
                  <w:noWrap w:val="0"/>
                  <w:vAlign w:val="center"/>
                </w:tcPr>
                <w:p w14:paraId="60F42550">
                  <w:pPr>
                    <w:widowControl/>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颗粒物</w:t>
                  </w:r>
                </w:p>
              </w:tc>
              <w:tc>
                <w:tcPr>
                  <w:tcW w:w="1487" w:type="dxa"/>
                  <w:tcBorders>
                    <w:tl2br w:val="nil"/>
                    <w:tr2bl w:val="nil"/>
                  </w:tcBorders>
                  <w:shd w:val="clear" w:color="auto" w:fill="auto"/>
                  <w:noWrap w:val="0"/>
                  <w:vAlign w:val="center"/>
                </w:tcPr>
                <w:p w14:paraId="23A4793D">
                  <w:pPr>
                    <w:pStyle w:val="157"/>
                    <w:ind w:firstLine="0" w:firstLineChars="0"/>
                    <w:rPr>
                      <w:rFonts w:hint="eastAsia" w:cs="Times New Roman"/>
                      <w:color w:val="auto"/>
                      <w:kern w:val="2"/>
                      <w:sz w:val="18"/>
                      <w:szCs w:val="18"/>
                      <w:lang w:val="en-US" w:eastAsia="zh-CN" w:bidi="ar-SA"/>
                    </w:rPr>
                  </w:pPr>
                  <w:r>
                    <w:rPr>
                      <w:rFonts w:hint="eastAsia"/>
                      <w:color w:val="auto"/>
                      <w:sz w:val="18"/>
                      <w:szCs w:val="18"/>
                      <w:lang w:val="en-US" w:eastAsia="zh-CN"/>
                    </w:rPr>
                    <w:t>120</w:t>
                  </w:r>
                </w:p>
              </w:tc>
              <w:tc>
                <w:tcPr>
                  <w:tcW w:w="1539" w:type="dxa"/>
                  <w:vMerge w:val="restart"/>
                  <w:tcBorders>
                    <w:tl2br w:val="nil"/>
                    <w:tr2bl w:val="nil"/>
                  </w:tcBorders>
                  <w:shd w:val="clear" w:color="auto" w:fill="auto"/>
                  <w:noWrap w:val="0"/>
                  <w:vAlign w:val="center"/>
                </w:tcPr>
                <w:p w14:paraId="3E664B4F">
                  <w:pPr>
                    <w:pStyle w:val="157"/>
                    <w:ind w:firstLine="0" w:firstLineChars="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1109" w:type="dxa"/>
                  <w:tcBorders>
                    <w:tl2br w:val="nil"/>
                    <w:tr2bl w:val="nil"/>
                  </w:tcBorders>
                  <w:shd w:val="clear" w:color="auto" w:fill="auto"/>
                  <w:noWrap w:val="0"/>
                  <w:vAlign w:val="center"/>
                </w:tcPr>
                <w:p w14:paraId="566D9A13">
                  <w:pPr>
                    <w:pStyle w:val="157"/>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3.5</w:t>
                  </w:r>
                </w:p>
              </w:tc>
              <w:tc>
                <w:tcPr>
                  <w:tcW w:w="1414" w:type="dxa"/>
                  <w:tcBorders>
                    <w:tl2br w:val="nil"/>
                    <w:tr2bl w:val="nil"/>
                  </w:tcBorders>
                  <w:noWrap w:val="0"/>
                  <w:vAlign w:val="center"/>
                </w:tcPr>
                <w:p w14:paraId="39AA8320">
                  <w:pPr>
                    <w:pStyle w:val="157"/>
                    <w:ind w:firstLine="0" w:firstLineChars="0"/>
                    <w:rPr>
                      <w:rFonts w:hint="eastAsia"/>
                      <w:color w:val="auto"/>
                      <w:sz w:val="18"/>
                      <w:szCs w:val="18"/>
                      <w:lang w:val="en-US" w:eastAsia="zh-CN"/>
                    </w:rPr>
                  </w:pPr>
                  <w:r>
                    <w:rPr>
                      <w:rFonts w:hint="eastAsia"/>
                      <w:color w:val="auto"/>
                      <w:sz w:val="18"/>
                      <w:szCs w:val="18"/>
                      <w:lang w:val="en-US" w:eastAsia="zh-CN"/>
                    </w:rPr>
                    <w:t>GB16297-1996</w:t>
                  </w:r>
                </w:p>
              </w:tc>
            </w:tr>
            <w:tr w14:paraId="60EDC2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2" w:type="dxa"/>
                  <w:vMerge w:val="continue"/>
                  <w:tcBorders>
                    <w:right w:val="single" w:color="auto" w:sz="4" w:space="0"/>
                    <w:tl2br w:val="nil"/>
                    <w:tr2bl w:val="nil"/>
                  </w:tcBorders>
                  <w:noWrap w:val="0"/>
                  <w:vAlign w:val="center"/>
                </w:tcPr>
                <w:p w14:paraId="7CC5D8CC">
                  <w:pPr>
                    <w:widowControl/>
                    <w:spacing w:line="240" w:lineRule="auto"/>
                    <w:ind w:firstLine="0" w:firstLineChars="0"/>
                    <w:jc w:val="center"/>
                    <w:rPr>
                      <w:rFonts w:hint="eastAsia"/>
                      <w:color w:val="auto"/>
                      <w:sz w:val="18"/>
                      <w:szCs w:val="18"/>
                      <w:lang w:val="en-US" w:eastAsia="zh-CN"/>
                    </w:rPr>
                  </w:pPr>
                </w:p>
              </w:tc>
              <w:tc>
                <w:tcPr>
                  <w:tcW w:w="1069" w:type="dxa"/>
                  <w:vMerge w:val="restart"/>
                  <w:tcBorders>
                    <w:top w:val="single" w:color="auto" w:sz="4" w:space="0"/>
                    <w:left w:val="single" w:color="auto" w:sz="4" w:space="0"/>
                    <w:tl2br w:val="nil"/>
                    <w:tr2bl w:val="nil"/>
                  </w:tcBorders>
                  <w:shd w:val="clear" w:color="auto" w:fill="auto"/>
                  <w:noWrap w:val="0"/>
                  <w:vAlign w:val="center"/>
                </w:tcPr>
                <w:p w14:paraId="2DB4E9DC">
                  <w:pPr>
                    <w:widowControl/>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造粒、挤出</w:t>
                  </w:r>
                </w:p>
              </w:tc>
              <w:tc>
                <w:tcPr>
                  <w:tcW w:w="1226" w:type="dxa"/>
                  <w:tcBorders>
                    <w:tl2br w:val="nil"/>
                    <w:tr2bl w:val="nil"/>
                  </w:tcBorders>
                  <w:shd w:val="clear" w:color="auto" w:fill="auto"/>
                  <w:noWrap w:val="0"/>
                  <w:vAlign w:val="center"/>
                </w:tcPr>
                <w:p w14:paraId="6B51D8D8">
                  <w:pPr>
                    <w:widowControl/>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非甲烷总烃</w:t>
                  </w:r>
                </w:p>
              </w:tc>
              <w:tc>
                <w:tcPr>
                  <w:tcW w:w="1487" w:type="dxa"/>
                  <w:tcBorders>
                    <w:tl2br w:val="nil"/>
                    <w:tr2bl w:val="nil"/>
                  </w:tcBorders>
                  <w:shd w:val="clear" w:color="auto" w:fill="auto"/>
                  <w:noWrap w:val="0"/>
                  <w:vAlign w:val="center"/>
                </w:tcPr>
                <w:p w14:paraId="15E173A3">
                  <w:pPr>
                    <w:pStyle w:val="157"/>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100</w:t>
                  </w:r>
                </w:p>
              </w:tc>
              <w:tc>
                <w:tcPr>
                  <w:tcW w:w="1539" w:type="dxa"/>
                  <w:vMerge w:val="continue"/>
                  <w:tcBorders>
                    <w:tl2br w:val="nil"/>
                    <w:tr2bl w:val="nil"/>
                  </w:tcBorders>
                  <w:shd w:val="clear" w:color="auto" w:fill="auto"/>
                  <w:noWrap w:val="0"/>
                  <w:vAlign w:val="center"/>
                </w:tcPr>
                <w:p w14:paraId="00008010">
                  <w:pPr>
                    <w:pStyle w:val="157"/>
                    <w:ind w:firstLine="0" w:firstLineChars="0"/>
                    <w:rPr>
                      <w:rFonts w:hint="eastAsia" w:cs="Times New Roman"/>
                      <w:color w:val="auto"/>
                      <w:kern w:val="2"/>
                      <w:sz w:val="18"/>
                      <w:szCs w:val="18"/>
                      <w:lang w:val="en-US" w:eastAsia="zh-CN" w:bidi="ar-SA"/>
                    </w:rPr>
                  </w:pPr>
                </w:p>
              </w:tc>
              <w:tc>
                <w:tcPr>
                  <w:tcW w:w="1109" w:type="dxa"/>
                  <w:tcBorders>
                    <w:tl2br w:val="nil"/>
                    <w:tr2bl w:val="nil"/>
                  </w:tcBorders>
                  <w:shd w:val="clear" w:color="auto" w:fill="auto"/>
                  <w:noWrap w:val="0"/>
                  <w:vAlign w:val="center"/>
                </w:tcPr>
                <w:p w14:paraId="21AAA344">
                  <w:pPr>
                    <w:pStyle w:val="157"/>
                    <w:ind w:firstLine="0" w:firstLineChars="0"/>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w:t>
                  </w:r>
                </w:p>
              </w:tc>
              <w:tc>
                <w:tcPr>
                  <w:tcW w:w="1414" w:type="dxa"/>
                  <w:tcBorders>
                    <w:tl2br w:val="nil"/>
                    <w:tr2bl w:val="nil"/>
                  </w:tcBorders>
                  <w:noWrap w:val="0"/>
                  <w:vAlign w:val="center"/>
                </w:tcPr>
                <w:p w14:paraId="731B7461">
                  <w:pPr>
                    <w:pStyle w:val="157"/>
                    <w:ind w:firstLine="0" w:firstLineChars="0"/>
                    <w:rPr>
                      <w:rFonts w:hint="eastAsia"/>
                      <w:color w:val="auto"/>
                      <w:sz w:val="18"/>
                      <w:szCs w:val="18"/>
                      <w:lang w:val="en-US" w:eastAsia="zh-CN"/>
                    </w:rPr>
                  </w:pPr>
                  <w:r>
                    <w:rPr>
                      <w:rFonts w:hint="eastAsia"/>
                      <w:color w:val="auto"/>
                      <w:sz w:val="18"/>
                      <w:szCs w:val="18"/>
                      <w:lang w:val="en-US" w:eastAsia="zh-CN"/>
                    </w:rPr>
                    <w:t>GB31572-2015</w:t>
                  </w:r>
                </w:p>
              </w:tc>
            </w:tr>
            <w:tr w14:paraId="0050CF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2" w:type="dxa"/>
                  <w:vMerge w:val="continue"/>
                  <w:tcBorders>
                    <w:right w:val="single" w:color="auto" w:sz="4" w:space="0"/>
                    <w:tl2br w:val="nil"/>
                    <w:tr2bl w:val="nil"/>
                  </w:tcBorders>
                  <w:noWrap w:val="0"/>
                  <w:vAlign w:val="center"/>
                </w:tcPr>
                <w:p w14:paraId="1CB5373E">
                  <w:pPr>
                    <w:widowControl/>
                    <w:spacing w:line="240" w:lineRule="auto"/>
                    <w:ind w:firstLine="0" w:firstLineChars="0"/>
                    <w:jc w:val="center"/>
                    <w:rPr>
                      <w:rFonts w:hint="eastAsia"/>
                      <w:color w:val="auto"/>
                      <w:sz w:val="18"/>
                      <w:szCs w:val="18"/>
                      <w:lang w:val="en-US" w:eastAsia="zh-CN"/>
                    </w:rPr>
                  </w:pPr>
                </w:p>
              </w:tc>
              <w:tc>
                <w:tcPr>
                  <w:tcW w:w="1069" w:type="dxa"/>
                  <w:vMerge w:val="continue"/>
                  <w:tcBorders>
                    <w:left w:val="single" w:color="auto" w:sz="4" w:space="0"/>
                    <w:tl2br w:val="nil"/>
                    <w:tr2bl w:val="nil"/>
                  </w:tcBorders>
                  <w:noWrap w:val="0"/>
                  <w:vAlign w:val="center"/>
                </w:tcPr>
                <w:p w14:paraId="188AD47F">
                  <w:pPr>
                    <w:widowControl/>
                    <w:spacing w:line="240" w:lineRule="auto"/>
                    <w:ind w:firstLine="0" w:firstLineChars="0"/>
                    <w:jc w:val="center"/>
                    <w:rPr>
                      <w:rFonts w:hint="eastAsia"/>
                      <w:color w:val="auto"/>
                      <w:sz w:val="18"/>
                      <w:szCs w:val="18"/>
                      <w:lang w:val="en-US" w:eastAsia="zh-CN"/>
                    </w:rPr>
                  </w:pPr>
                </w:p>
              </w:tc>
              <w:tc>
                <w:tcPr>
                  <w:tcW w:w="1226" w:type="dxa"/>
                  <w:tcBorders>
                    <w:tl2br w:val="nil"/>
                    <w:tr2bl w:val="nil"/>
                  </w:tcBorders>
                  <w:shd w:val="clear" w:color="auto" w:fill="auto"/>
                  <w:noWrap w:val="0"/>
                  <w:vAlign w:val="center"/>
                </w:tcPr>
                <w:p w14:paraId="4EF6078B">
                  <w:pPr>
                    <w:widowControl/>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臭气浓度</w:t>
                  </w:r>
                </w:p>
              </w:tc>
              <w:tc>
                <w:tcPr>
                  <w:tcW w:w="1487" w:type="dxa"/>
                  <w:tcBorders>
                    <w:tl2br w:val="nil"/>
                    <w:tr2bl w:val="nil"/>
                  </w:tcBorders>
                  <w:shd w:val="clear" w:color="auto" w:fill="auto"/>
                  <w:noWrap w:val="0"/>
                  <w:vAlign w:val="center"/>
                </w:tcPr>
                <w:p w14:paraId="056217C0">
                  <w:pPr>
                    <w:pStyle w:val="157"/>
                    <w:ind w:firstLine="0" w:firstLineChars="0"/>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2000（无量纲）</w:t>
                  </w:r>
                </w:p>
              </w:tc>
              <w:tc>
                <w:tcPr>
                  <w:tcW w:w="1539" w:type="dxa"/>
                  <w:vMerge w:val="continue"/>
                  <w:tcBorders>
                    <w:tl2br w:val="nil"/>
                    <w:tr2bl w:val="nil"/>
                  </w:tcBorders>
                  <w:shd w:val="clear" w:color="auto" w:fill="auto"/>
                  <w:noWrap w:val="0"/>
                  <w:vAlign w:val="center"/>
                </w:tcPr>
                <w:p w14:paraId="03BE0E5E">
                  <w:pPr>
                    <w:pStyle w:val="157"/>
                    <w:ind w:firstLine="0" w:firstLineChars="0"/>
                    <w:rPr>
                      <w:rFonts w:hint="eastAsia" w:cs="Times New Roman"/>
                      <w:color w:val="auto"/>
                      <w:kern w:val="2"/>
                      <w:sz w:val="18"/>
                      <w:szCs w:val="18"/>
                      <w:lang w:val="en-US" w:eastAsia="zh-CN" w:bidi="ar-SA"/>
                    </w:rPr>
                  </w:pPr>
                </w:p>
              </w:tc>
              <w:tc>
                <w:tcPr>
                  <w:tcW w:w="1109" w:type="dxa"/>
                  <w:tcBorders>
                    <w:tl2br w:val="nil"/>
                    <w:tr2bl w:val="nil"/>
                  </w:tcBorders>
                  <w:shd w:val="clear" w:color="auto" w:fill="auto"/>
                  <w:noWrap w:val="0"/>
                  <w:vAlign w:val="center"/>
                </w:tcPr>
                <w:p w14:paraId="7515C05C">
                  <w:pPr>
                    <w:pStyle w:val="157"/>
                    <w:ind w:firstLine="0" w:firstLineChars="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1414" w:type="dxa"/>
                  <w:tcBorders>
                    <w:tl2br w:val="nil"/>
                    <w:tr2bl w:val="nil"/>
                  </w:tcBorders>
                  <w:noWrap w:val="0"/>
                  <w:vAlign w:val="center"/>
                </w:tcPr>
                <w:p w14:paraId="2F4EA71A">
                  <w:pPr>
                    <w:pStyle w:val="157"/>
                    <w:ind w:firstLine="0" w:firstLineChars="0"/>
                    <w:rPr>
                      <w:rFonts w:hint="eastAsia"/>
                      <w:color w:val="auto"/>
                      <w:sz w:val="18"/>
                      <w:szCs w:val="18"/>
                      <w:lang w:val="en-US" w:eastAsia="zh-CN"/>
                    </w:rPr>
                  </w:pPr>
                  <w:r>
                    <w:rPr>
                      <w:rFonts w:hint="eastAsia"/>
                      <w:color w:val="auto"/>
                      <w:sz w:val="18"/>
                      <w:szCs w:val="18"/>
                      <w:lang w:val="en-US" w:eastAsia="zh-CN"/>
                    </w:rPr>
                    <w:t>GB14554-1993</w:t>
                  </w:r>
                </w:p>
              </w:tc>
            </w:tr>
          </w:tbl>
          <w:p w14:paraId="34160CA4">
            <w:pPr>
              <w:pStyle w:val="11"/>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③铸造、压铸工艺废气排放执行标准</w:t>
            </w:r>
          </w:p>
          <w:p w14:paraId="03F02D11">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粘土砂铸造、树脂砂铸造、压铸生产线废气排放执行《铸造工业大气污染物排放标准》（GB39726-2020）表1中相关规定的排放限值。鉴于《铸造工业大气污染物排放标准》（GB39726-2020）中造型、制芯、浇注等工序无非甲烷总烃、甲醛等废气污染物的排放限值，本项目上述废气非甲烷总烃、甲醛参照执行《工业企业挥发性有机物排放标准》（DB35/1782-2018）表1（“其他行业”标准）的排放限值；《铸造工业大气污染物排放标准》（GB39726-2020）无熔模铸造工艺型壳制备工艺废气污染物排放限值，因此该过程产生的废气执行《熔模铸造工艺 污染物的控制》（GB/T32251-2024）。根据《排污单位自行监测技术指南 金属铸造工业》（HJ1251-2022），三乙胺射芯设备污染物控制指标为臭气浓度，其排放限值执行《恶臭污染物排放标准》（GB14554-1993）相应标准要求</w:t>
            </w:r>
          </w:p>
          <w:p w14:paraId="1665A803">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表3-9  铸造、压铸废气排放标准一览表</w:t>
            </w:r>
          </w:p>
          <w:tbl>
            <w:tblPr>
              <w:tblStyle w:val="30"/>
              <w:tblW w:w="83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73"/>
              <w:gridCol w:w="1627"/>
              <w:gridCol w:w="1096"/>
              <w:gridCol w:w="1273"/>
              <w:gridCol w:w="1672"/>
            </w:tblGrid>
            <w:tr w14:paraId="11036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tcBorders>
                    <w:tl2br w:val="nil"/>
                    <w:tr2bl w:val="nil"/>
                  </w:tcBorders>
                  <w:noWrap w:val="0"/>
                  <w:vAlign w:val="center"/>
                </w:tcPr>
                <w:p w14:paraId="53D8CA3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生产</w:t>
                  </w:r>
                  <w:r>
                    <w:rPr>
                      <w:rFonts w:hint="eastAsia" w:ascii="Times New Roman" w:hAnsi="Times New Roman" w:eastAsia="宋体" w:cs="Times New Roman"/>
                      <w:b/>
                      <w:bCs/>
                      <w:color w:val="auto"/>
                      <w:sz w:val="21"/>
                      <w:szCs w:val="21"/>
                      <w:highlight w:val="none"/>
                      <w:vertAlign w:val="baseline"/>
                      <w:lang w:val="en-US" w:eastAsia="zh-CN"/>
                    </w:rPr>
                    <w:t>过程</w:t>
                  </w:r>
                </w:p>
              </w:tc>
              <w:tc>
                <w:tcPr>
                  <w:tcW w:w="1373" w:type="dxa"/>
                  <w:tcBorders>
                    <w:tl2br w:val="nil"/>
                    <w:tr2bl w:val="nil"/>
                  </w:tcBorders>
                  <w:noWrap w:val="0"/>
                  <w:vAlign w:val="center"/>
                </w:tcPr>
                <w:p w14:paraId="378C605C">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污染物</w:t>
                  </w:r>
                </w:p>
              </w:tc>
              <w:tc>
                <w:tcPr>
                  <w:tcW w:w="1627" w:type="dxa"/>
                  <w:tcBorders>
                    <w:tl2br w:val="nil"/>
                    <w:tr2bl w:val="nil"/>
                  </w:tcBorders>
                  <w:noWrap w:val="0"/>
                  <w:vAlign w:val="center"/>
                </w:tcPr>
                <w:p w14:paraId="6917F29C">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排放浓度（</w:t>
                  </w:r>
                  <w:r>
                    <w:rPr>
                      <w:rFonts w:hint="default" w:ascii="Times New Roman" w:hAnsi="Times New Roman" w:eastAsia="宋体" w:cs="Times New Roman"/>
                      <w:b/>
                      <w:bCs/>
                      <w:color w:val="auto"/>
                      <w:sz w:val="21"/>
                      <w:szCs w:val="21"/>
                      <w:highlight w:val="none"/>
                      <w:vertAlign w:val="baseli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eastAsia="zh-CN"/>
                    </w:rPr>
                    <w:t>）</w:t>
                  </w:r>
                </w:p>
              </w:tc>
              <w:tc>
                <w:tcPr>
                  <w:tcW w:w="1096" w:type="dxa"/>
                  <w:tcBorders>
                    <w:tl2br w:val="nil"/>
                    <w:tr2bl w:val="nil"/>
                  </w:tcBorders>
                  <w:noWrap w:val="0"/>
                  <w:vAlign w:val="center"/>
                </w:tcPr>
                <w:p w14:paraId="627834E7">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排放速率（kg/h）</w:t>
                  </w:r>
                </w:p>
              </w:tc>
              <w:tc>
                <w:tcPr>
                  <w:tcW w:w="1273" w:type="dxa"/>
                  <w:tcBorders>
                    <w:tl2br w:val="nil"/>
                    <w:tr2bl w:val="nil"/>
                  </w:tcBorders>
                  <w:noWrap w:val="0"/>
                  <w:vAlign w:val="center"/>
                </w:tcPr>
                <w:p w14:paraId="70EC3F3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排放高度（</w:t>
                  </w:r>
                  <w:r>
                    <w:rPr>
                      <w:rFonts w:hint="default" w:ascii="Times New Roman" w:hAnsi="Times New Roman" w:eastAsia="宋体" w:cs="Times New Roman"/>
                      <w:b/>
                      <w:bCs/>
                      <w:color w:val="auto"/>
                      <w:sz w:val="21"/>
                      <w:szCs w:val="21"/>
                      <w:highlight w:val="none"/>
                      <w:vertAlign w:val="baseline"/>
                      <w:lang w:val="en-US" w:eastAsia="zh-CN"/>
                    </w:rPr>
                    <w:t>m</w:t>
                  </w:r>
                  <w:r>
                    <w:rPr>
                      <w:rFonts w:hint="default" w:ascii="Times New Roman" w:hAnsi="Times New Roman" w:eastAsia="宋体" w:cs="Times New Roman"/>
                      <w:b/>
                      <w:bCs/>
                      <w:color w:val="auto"/>
                      <w:sz w:val="21"/>
                      <w:szCs w:val="21"/>
                      <w:highlight w:val="none"/>
                      <w:vertAlign w:val="baseline"/>
                      <w:lang w:eastAsia="zh-CN"/>
                    </w:rPr>
                    <w:t>）</w:t>
                  </w:r>
                </w:p>
              </w:tc>
              <w:tc>
                <w:tcPr>
                  <w:tcW w:w="1672" w:type="dxa"/>
                  <w:tcBorders>
                    <w:tl2br w:val="nil"/>
                    <w:tr2bl w:val="nil"/>
                  </w:tcBorders>
                  <w:noWrap w:val="0"/>
                  <w:vAlign w:val="center"/>
                </w:tcPr>
                <w:p w14:paraId="2BBA8D6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标准</w:t>
                  </w:r>
                  <w:r>
                    <w:rPr>
                      <w:rFonts w:hint="default" w:ascii="Times New Roman" w:hAnsi="Times New Roman" w:eastAsia="宋体" w:cs="Times New Roman"/>
                      <w:b/>
                      <w:bCs/>
                      <w:color w:val="auto"/>
                      <w:sz w:val="21"/>
                      <w:szCs w:val="21"/>
                      <w:highlight w:val="none"/>
                      <w:vertAlign w:val="baseline"/>
                      <w:lang w:eastAsia="zh-CN"/>
                    </w:rPr>
                    <w:t>来源</w:t>
                  </w:r>
                </w:p>
              </w:tc>
            </w:tr>
            <w:tr w14:paraId="3F299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tcBorders>
                    <w:tl2br w:val="nil"/>
                    <w:tr2bl w:val="nil"/>
                  </w:tcBorders>
                  <w:noWrap w:val="0"/>
                  <w:vAlign w:val="center"/>
                </w:tcPr>
                <w:p w14:paraId="104438AA">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b w:val="0"/>
                      <w:bCs w:val="0"/>
                      <w:color w:val="auto"/>
                      <w:sz w:val="21"/>
                      <w:szCs w:val="21"/>
                      <w:highlight w:val="none"/>
                      <w:vertAlign w:val="baseline"/>
                      <w:lang w:val="en-US" w:eastAsia="zh-CN"/>
                    </w:rPr>
                    <w:t>金属</w:t>
                  </w:r>
                  <w:r>
                    <w:rPr>
                      <w:rFonts w:hint="eastAsia" w:ascii="Times New Roman" w:hAnsi="Times New Roman" w:eastAsia="宋体" w:cs="Times New Roman"/>
                      <w:b w:val="0"/>
                      <w:bCs w:val="0"/>
                      <w:color w:val="auto"/>
                      <w:sz w:val="21"/>
                      <w:szCs w:val="21"/>
                      <w:highlight w:val="none"/>
                      <w:vertAlign w:val="baseline"/>
                      <w:lang w:val="en-US" w:eastAsia="zh-CN"/>
                    </w:rPr>
                    <w:t>熔化</w:t>
                  </w:r>
                </w:p>
              </w:tc>
              <w:tc>
                <w:tcPr>
                  <w:tcW w:w="1373" w:type="dxa"/>
                  <w:tcBorders>
                    <w:tl2br w:val="nil"/>
                    <w:tr2bl w:val="nil"/>
                  </w:tcBorders>
                  <w:noWrap w:val="0"/>
                  <w:vAlign w:val="center"/>
                </w:tcPr>
                <w:p w14:paraId="2F5A783A">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颗粒物</w:t>
                  </w:r>
                </w:p>
              </w:tc>
              <w:tc>
                <w:tcPr>
                  <w:tcW w:w="1627" w:type="dxa"/>
                  <w:tcBorders>
                    <w:tl2br w:val="nil"/>
                    <w:tr2bl w:val="nil"/>
                  </w:tcBorders>
                  <w:noWrap w:val="0"/>
                  <w:vAlign w:val="center"/>
                </w:tcPr>
                <w:p w14:paraId="2B795E9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w:t>
                  </w:r>
                </w:p>
              </w:tc>
              <w:tc>
                <w:tcPr>
                  <w:tcW w:w="1096" w:type="dxa"/>
                  <w:tcBorders>
                    <w:tl2br w:val="nil"/>
                    <w:tr2bl w:val="nil"/>
                  </w:tcBorders>
                  <w:noWrap w:val="0"/>
                  <w:vAlign w:val="center"/>
                </w:tcPr>
                <w:p w14:paraId="31D78CC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273" w:type="dxa"/>
                  <w:tcBorders>
                    <w:tl2br w:val="nil"/>
                    <w:tr2bl w:val="nil"/>
                  </w:tcBorders>
                  <w:noWrap w:val="0"/>
                  <w:vAlign w:val="center"/>
                </w:tcPr>
                <w:p w14:paraId="2499FD3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672" w:type="dxa"/>
                  <w:tcBorders>
                    <w:tl2br w:val="nil"/>
                    <w:tr2bl w:val="nil"/>
                  </w:tcBorders>
                  <w:noWrap w:val="0"/>
                  <w:vAlign w:val="center"/>
                </w:tcPr>
                <w:p w14:paraId="5550283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GB39726-2020</w:t>
                  </w:r>
                </w:p>
              </w:tc>
            </w:tr>
            <w:tr w14:paraId="40849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tcBorders>
                    <w:tl2br w:val="nil"/>
                    <w:tr2bl w:val="nil"/>
                  </w:tcBorders>
                  <w:noWrap w:val="0"/>
                  <w:vAlign w:val="center"/>
                </w:tcPr>
                <w:p w14:paraId="79828BC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造型</w:t>
                  </w:r>
                </w:p>
              </w:tc>
              <w:tc>
                <w:tcPr>
                  <w:tcW w:w="1373" w:type="dxa"/>
                  <w:tcBorders>
                    <w:tl2br w:val="nil"/>
                    <w:tr2bl w:val="nil"/>
                  </w:tcBorders>
                  <w:shd w:val="clear" w:color="auto" w:fill="auto"/>
                  <w:noWrap w:val="0"/>
                  <w:vAlign w:val="center"/>
                </w:tcPr>
                <w:p w14:paraId="405D17F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eastAsia="zh-CN"/>
                    </w:rPr>
                    <w:t>颗粒物</w:t>
                  </w:r>
                </w:p>
              </w:tc>
              <w:tc>
                <w:tcPr>
                  <w:tcW w:w="1627" w:type="dxa"/>
                  <w:tcBorders>
                    <w:tl2br w:val="nil"/>
                    <w:tr2bl w:val="nil"/>
                  </w:tcBorders>
                  <w:noWrap w:val="0"/>
                  <w:vAlign w:val="center"/>
                </w:tcPr>
                <w:p w14:paraId="6DA553C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w:t>
                  </w:r>
                </w:p>
              </w:tc>
              <w:tc>
                <w:tcPr>
                  <w:tcW w:w="1096" w:type="dxa"/>
                  <w:tcBorders>
                    <w:tl2br w:val="nil"/>
                    <w:tr2bl w:val="nil"/>
                  </w:tcBorders>
                  <w:shd w:val="clear" w:color="auto" w:fill="auto"/>
                  <w:noWrap w:val="0"/>
                  <w:vAlign w:val="center"/>
                </w:tcPr>
                <w:p w14:paraId="6C5C01E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5EE54D9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672" w:type="dxa"/>
                  <w:tcBorders>
                    <w:tl2br w:val="nil"/>
                    <w:tr2bl w:val="nil"/>
                  </w:tcBorders>
                  <w:noWrap w:val="0"/>
                  <w:vAlign w:val="center"/>
                </w:tcPr>
                <w:p w14:paraId="269DB45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GB39726-2020</w:t>
                  </w:r>
                </w:p>
              </w:tc>
            </w:tr>
            <w:tr w14:paraId="221E6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tcBorders>
                    <w:tl2br w:val="nil"/>
                    <w:tr2bl w:val="nil"/>
                  </w:tcBorders>
                  <w:noWrap w:val="0"/>
                  <w:vAlign w:val="center"/>
                </w:tcPr>
                <w:p w14:paraId="2840187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落砂、清理</w:t>
                  </w:r>
                </w:p>
              </w:tc>
              <w:tc>
                <w:tcPr>
                  <w:tcW w:w="1373" w:type="dxa"/>
                  <w:tcBorders>
                    <w:tl2br w:val="nil"/>
                    <w:tr2bl w:val="nil"/>
                  </w:tcBorders>
                  <w:shd w:val="clear" w:color="auto" w:fill="auto"/>
                  <w:noWrap w:val="0"/>
                  <w:vAlign w:val="center"/>
                </w:tcPr>
                <w:p w14:paraId="536038C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颗粒物</w:t>
                  </w:r>
                </w:p>
              </w:tc>
              <w:tc>
                <w:tcPr>
                  <w:tcW w:w="1627" w:type="dxa"/>
                  <w:tcBorders>
                    <w:tl2br w:val="nil"/>
                    <w:tr2bl w:val="nil"/>
                  </w:tcBorders>
                  <w:noWrap w:val="0"/>
                  <w:vAlign w:val="center"/>
                </w:tcPr>
                <w:p w14:paraId="3273387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w:t>
                  </w:r>
                </w:p>
              </w:tc>
              <w:tc>
                <w:tcPr>
                  <w:tcW w:w="1096" w:type="dxa"/>
                  <w:tcBorders>
                    <w:tl2br w:val="nil"/>
                    <w:tr2bl w:val="nil"/>
                  </w:tcBorders>
                  <w:shd w:val="clear" w:color="auto" w:fill="auto"/>
                  <w:noWrap w:val="0"/>
                  <w:vAlign w:val="center"/>
                </w:tcPr>
                <w:p w14:paraId="26BCB85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2446CCF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672" w:type="dxa"/>
                  <w:tcBorders>
                    <w:tl2br w:val="nil"/>
                    <w:tr2bl w:val="nil"/>
                  </w:tcBorders>
                  <w:noWrap w:val="0"/>
                  <w:vAlign w:val="center"/>
                </w:tcPr>
                <w:p w14:paraId="3F02599C">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GB39726-2020</w:t>
                  </w:r>
                </w:p>
              </w:tc>
            </w:tr>
            <w:tr w14:paraId="1D9EF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vMerge w:val="restart"/>
                  <w:tcBorders>
                    <w:tl2br w:val="nil"/>
                    <w:tr2bl w:val="nil"/>
                  </w:tcBorders>
                  <w:noWrap w:val="0"/>
                  <w:vAlign w:val="center"/>
                </w:tcPr>
                <w:p w14:paraId="752B0FD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制芯、</w:t>
                  </w:r>
                  <w:r>
                    <w:rPr>
                      <w:rFonts w:hint="eastAsia" w:cs="Times New Roman"/>
                      <w:b w:val="0"/>
                      <w:bCs w:val="0"/>
                      <w:color w:val="auto"/>
                      <w:sz w:val="21"/>
                      <w:szCs w:val="21"/>
                      <w:highlight w:val="none"/>
                      <w:vertAlign w:val="baseline"/>
                      <w:lang w:val="en-US" w:eastAsia="zh-CN"/>
                    </w:rPr>
                    <w:t>造型、</w:t>
                  </w:r>
                  <w:r>
                    <w:rPr>
                      <w:rFonts w:hint="eastAsia" w:ascii="Times New Roman" w:hAnsi="Times New Roman" w:eastAsia="宋体" w:cs="Times New Roman"/>
                      <w:b w:val="0"/>
                      <w:bCs w:val="0"/>
                      <w:color w:val="auto"/>
                      <w:sz w:val="21"/>
                      <w:szCs w:val="21"/>
                      <w:highlight w:val="none"/>
                      <w:vertAlign w:val="baseline"/>
                      <w:lang w:val="en-US" w:eastAsia="zh-CN"/>
                    </w:rPr>
                    <w:t>浇注</w:t>
                  </w:r>
                </w:p>
              </w:tc>
              <w:tc>
                <w:tcPr>
                  <w:tcW w:w="1373" w:type="dxa"/>
                  <w:tcBorders>
                    <w:tl2br w:val="nil"/>
                    <w:tr2bl w:val="nil"/>
                  </w:tcBorders>
                  <w:noWrap w:val="0"/>
                  <w:vAlign w:val="center"/>
                </w:tcPr>
                <w:p w14:paraId="09955F1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颗粒物</w:t>
                  </w:r>
                </w:p>
              </w:tc>
              <w:tc>
                <w:tcPr>
                  <w:tcW w:w="1627" w:type="dxa"/>
                  <w:tcBorders>
                    <w:tl2br w:val="nil"/>
                    <w:tr2bl w:val="nil"/>
                  </w:tcBorders>
                  <w:noWrap w:val="0"/>
                  <w:vAlign w:val="center"/>
                </w:tcPr>
                <w:p w14:paraId="574CBCC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30</w:t>
                  </w:r>
                </w:p>
              </w:tc>
              <w:tc>
                <w:tcPr>
                  <w:tcW w:w="1096" w:type="dxa"/>
                  <w:tcBorders>
                    <w:tl2br w:val="nil"/>
                    <w:tr2bl w:val="nil"/>
                  </w:tcBorders>
                  <w:noWrap w:val="0"/>
                  <w:vAlign w:val="center"/>
                </w:tcPr>
                <w:p w14:paraId="79F7690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273" w:type="dxa"/>
                  <w:tcBorders>
                    <w:tl2br w:val="nil"/>
                    <w:tr2bl w:val="nil"/>
                  </w:tcBorders>
                  <w:noWrap w:val="0"/>
                  <w:vAlign w:val="center"/>
                </w:tcPr>
                <w:p w14:paraId="316C28F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672" w:type="dxa"/>
                  <w:tcBorders>
                    <w:tl2br w:val="nil"/>
                    <w:tr2bl w:val="nil"/>
                  </w:tcBorders>
                  <w:noWrap w:val="0"/>
                  <w:vAlign w:val="center"/>
                </w:tcPr>
                <w:p w14:paraId="7395622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GB39726-2020</w:t>
                  </w:r>
                </w:p>
              </w:tc>
            </w:tr>
            <w:tr w14:paraId="20A83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vMerge w:val="continue"/>
                  <w:tcBorders>
                    <w:tl2br w:val="nil"/>
                    <w:tr2bl w:val="nil"/>
                  </w:tcBorders>
                  <w:noWrap w:val="0"/>
                  <w:vAlign w:val="center"/>
                </w:tcPr>
                <w:p w14:paraId="323B27E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1373" w:type="dxa"/>
                  <w:tcBorders>
                    <w:tl2br w:val="nil"/>
                    <w:tr2bl w:val="nil"/>
                  </w:tcBorders>
                  <w:noWrap w:val="0"/>
                  <w:vAlign w:val="center"/>
                </w:tcPr>
                <w:p w14:paraId="50369AAA">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非甲烷总烃</w:t>
                  </w:r>
                </w:p>
              </w:tc>
              <w:tc>
                <w:tcPr>
                  <w:tcW w:w="1627" w:type="dxa"/>
                  <w:tcBorders>
                    <w:tl2br w:val="nil"/>
                    <w:tr2bl w:val="nil"/>
                  </w:tcBorders>
                  <w:noWrap w:val="0"/>
                  <w:vAlign w:val="center"/>
                </w:tcPr>
                <w:p w14:paraId="68791EC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100</w:t>
                  </w:r>
                </w:p>
              </w:tc>
              <w:tc>
                <w:tcPr>
                  <w:tcW w:w="1096" w:type="dxa"/>
                  <w:tcBorders>
                    <w:tl2br w:val="nil"/>
                    <w:tr2bl w:val="nil"/>
                  </w:tcBorders>
                  <w:noWrap w:val="0"/>
                  <w:vAlign w:val="center"/>
                </w:tcPr>
                <w:p w14:paraId="2085328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1.8</w:t>
                  </w:r>
                </w:p>
              </w:tc>
              <w:tc>
                <w:tcPr>
                  <w:tcW w:w="1273" w:type="dxa"/>
                  <w:tcBorders>
                    <w:tl2br w:val="nil"/>
                    <w:tr2bl w:val="nil"/>
                  </w:tcBorders>
                  <w:noWrap w:val="0"/>
                  <w:vAlign w:val="center"/>
                </w:tcPr>
                <w:p w14:paraId="3CF89AD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1672" w:type="dxa"/>
                  <w:vMerge w:val="restart"/>
                  <w:tcBorders>
                    <w:tl2br w:val="nil"/>
                    <w:tr2bl w:val="nil"/>
                  </w:tcBorders>
                  <w:noWrap w:val="0"/>
                  <w:vAlign w:val="center"/>
                </w:tcPr>
                <w:p w14:paraId="06326D6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DB35/1782-2018</w:t>
                  </w:r>
                </w:p>
              </w:tc>
            </w:tr>
            <w:tr w14:paraId="3D9E1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vMerge w:val="continue"/>
                  <w:tcBorders>
                    <w:tl2br w:val="nil"/>
                    <w:tr2bl w:val="nil"/>
                  </w:tcBorders>
                  <w:noWrap w:val="0"/>
                  <w:vAlign w:val="center"/>
                </w:tcPr>
                <w:p w14:paraId="304247C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val="0"/>
                      <w:color w:val="auto"/>
                      <w:sz w:val="21"/>
                      <w:szCs w:val="21"/>
                      <w:highlight w:val="none"/>
                      <w:vertAlign w:val="baseline"/>
                      <w:lang w:val="en-US" w:eastAsia="zh-CN"/>
                    </w:rPr>
                  </w:pPr>
                </w:p>
              </w:tc>
              <w:tc>
                <w:tcPr>
                  <w:tcW w:w="1373" w:type="dxa"/>
                  <w:tcBorders>
                    <w:tl2br w:val="nil"/>
                    <w:tr2bl w:val="nil"/>
                  </w:tcBorders>
                  <w:noWrap w:val="0"/>
                  <w:vAlign w:val="center"/>
                </w:tcPr>
                <w:p w14:paraId="14E0E9A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甲醛</w:t>
                  </w:r>
                </w:p>
              </w:tc>
              <w:tc>
                <w:tcPr>
                  <w:tcW w:w="1627" w:type="dxa"/>
                  <w:tcBorders>
                    <w:tl2br w:val="nil"/>
                    <w:tr2bl w:val="nil"/>
                  </w:tcBorders>
                  <w:noWrap w:val="0"/>
                  <w:vAlign w:val="center"/>
                </w:tcPr>
                <w:p w14:paraId="48187AE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1096" w:type="dxa"/>
                  <w:tcBorders>
                    <w:tl2br w:val="nil"/>
                    <w:tr2bl w:val="nil"/>
                  </w:tcBorders>
                  <w:noWrap w:val="0"/>
                  <w:vAlign w:val="center"/>
                </w:tcPr>
                <w:p w14:paraId="5E19FE0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0.18</w:t>
                  </w:r>
                </w:p>
              </w:tc>
              <w:tc>
                <w:tcPr>
                  <w:tcW w:w="1273" w:type="dxa"/>
                  <w:tcBorders>
                    <w:tl2br w:val="nil"/>
                    <w:tr2bl w:val="nil"/>
                  </w:tcBorders>
                  <w:noWrap w:val="0"/>
                  <w:vAlign w:val="center"/>
                </w:tcPr>
                <w:p w14:paraId="17FA2BB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1672" w:type="dxa"/>
                  <w:vMerge w:val="continue"/>
                  <w:tcBorders>
                    <w:tl2br w:val="nil"/>
                    <w:tr2bl w:val="nil"/>
                  </w:tcBorders>
                  <w:noWrap w:val="0"/>
                  <w:vAlign w:val="center"/>
                </w:tcPr>
                <w:p w14:paraId="4FF4C1C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p>
              </w:tc>
            </w:tr>
            <w:tr w14:paraId="6581C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tcBorders>
                    <w:tl2br w:val="nil"/>
                    <w:tr2bl w:val="nil"/>
                  </w:tcBorders>
                  <w:noWrap w:val="0"/>
                  <w:vAlign w:val="center"/>
                </w:tcPr>
                <w:p w14:paraId="082C75E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冷芯盒制芯</w:t>
                  </w:r>
                </w:p>
              </w:tc>
              <w:tc>
                <w:tcPr>
                  <w:tcW w:w="1373" w:type="dxa"/>
                  <w:tcBorders>
                    <w:tl2br w:val="nil"/>
                    <w:tr2bl w:val="nil"/>
                  </w:tcBorders>
                  <w:noWrap w:val="0"/>
                  <w:vAlign w:val="center"/>
                </w:tcPr>
                <w:p w14:paraId="76BDED4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臭气浓度</w:t>
                  </w:r>
                </w:p>
              </w:tc>
              <w:tc>
                <w:tcPr>
                  <w:tcW w:w="1627" w:type="dxa"/>
                  <w:tcBorders>
                    <w:tl2br w:val="nil"/>
                    <w:tr2bl w:val="nil"/>
                  </w:tcBorders>
                  <w:noWrap w:val="0"/>
                  <w:vAlign w:val="center"/>
                </w:tcPr>
                <w:p w14:paraId="0CDF8D6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2000（无量纲）</w:t>
                  </w:r>
                </w:p>
              </w:tc>
              <w:tc>
                <w:tcPr>
                  <w:tcW w:w="1096" w:type="dxa"/>
                  <w:tcBorders>
                    <w:tl2br w:val="nil"/>
                    <w:tr2bl w:val="nil"/>
                  </w:tcBorders>
                  <w:noWrap w:val="0"/>
                  <w:vAlign w:val="center"/>
                </w:tcPr>
                <w:p w14:paraId="0436D61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noWrap w:val="0"/>
                  <w:vAlign w:val="center"/>
                </w:tcPr>
                <w:p w14:paraId="71D637F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w:t>
                  </w:r>
                </w:p>
              </w:tc>
              <w:tc>
                <w:tcPr>
                  <w:tcW w:w="1672" w:type="dxa"/>
                  <w:tcBorders>
                    <w:tl2br w:val="nil"/>
                    <w:tr2bl w:val="nil"/>
                  </w:tcBorders>
                  <w:noWrap w:val="0"/>
                  <w:vAlign w:val="center"/>
                </w:tcPr>
                <w:p w14:paraId="6598476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GB14554-1993</w:t>
                  </w:r>
                </w:p>
              </w:tc>
            </w:tr>
            <w:tr w14:paraId="48090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tcBorders>
                    <w:tl2br w:val="nil"/>
                    <w:tr2bl w:val="nil"/>
                  </w:tcBorders>
                  <w:noWrap w:val="0"/>
                  <w:vAlign w:val="center"/>
                </w:tcPr>
                <w:p w14:paraId="349D964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砂处理、废砂再生</w:t>
                  </w:r>
                </w:p>
              </w:tc>
              <w:tc>
                <w:tcPr>
                  <w:tcW w:w="1373" w:type="dxa"/>
                  <w:tcBorders>
                    <w:tl2br w:val="nil"/>
                    <w:tr2bl w:val="nil"/>
                  </w:tcBorders>
                  <w:shd w:val="clear" w:color="auto" w:fill="auto"/>
                  <w:noWrap w:val="0"/>
                  <w:vAlign w:val="center"/>
                </w:tcPr>
                <w:p w14:paraId="67AC0F7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eastAsia="zh-CN"/>
                    </w:rPr>
                    <w:t>颗粒物</w:t>
                  </w:r>
                </w:p>
              </w:tc>
              <w:tc>
                <w:tcPr>
                  <w:tcW w:w="1627" w:type="dxa"/>
                  <w:tcBorders>
                    <w:tl2br w:val="nil"/>
                    <w:tr2bl w:val="nil"/>
                  </w:tcBorders>
                  <w:noWrap w:val="0"/>
                  <w:vAlign w:val="center"/>
                </w:tcPr>
                <w:p w14:paraId="3ED0781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30</w:t>
                  </w:r>
                </w:p>
              </w:tc>
              <w:tc>
                <w:tcPr>
                  <w:tcW w:w="1096" w:type="dxa"/>
                  <w:tcBorders>
                    <w:tl2br w:val="nil"/>
                    <w:tr2bl w:val="nil"/>
                  </w:tcBorders>
                  <w:noWrap w:val="0"/>
                  <w:vAlign w:val="center"/>
                </w:tcPr>
                <w:p w14:paraId="366ACE4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noWrap w:val="0"/>
                  <w:vAlign w:val="center"/>
                </w:tcPr>
                <w:p w14:paraId="605F4BD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1672" w:type="dxa"/>
                  <w:tcBorders>
                    <w:tl2br w:val="nil"/>
                    <w:tr2bl w:val="nil"/>
                  </w:tcBorders>
                  <w:noWrap w:val="0"/>
                  <w:vAlign w:val="center"/>
                </w:tcPr>
                <w:p w14:paraId="54D211D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GB39726-2020</w:t>
                  </w:r>
                </w:p>
              </w:tc>
            </w:tr>
            <w:tr w14:paraId="2D470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vMerge w:val="restart"/>
                  <w:tcBorders>
                    <w:tl2br w:val="nil"/>
                    <w:tr2bl w:val="nil"/>
                  </w:tcBorders>
                  <w:noWrap w:val="0"/>
                  <w:vAlign w:val="center"/>
                </w:tcPr>
                <w:p w14:paraId="4AE7C52C">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退火</w:t>
                  </w:r>
                </w:p>
              </w:tc>
              <w:tc>
                <w:tcPr>
                  <w:tcW w:w="1373" w:type="dxa"/>
                  <w:tcBorders>
                    <w:tl2br w:val="nil"/>
                    <w:tr2bl w:val="nil"/>
                  </w:tcBorders>
                  <w:shd w:val="clear" w:color="auto" w:fill="auto"/>
                  <w:noWrap w:val="0"/>
                  <w:vAlign w:val="center"/>
                </w:tcPr>
                <w:p w14:paraId="6F2A19F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颗粒物</w:t>
                  </w:r>
                </w:p>
              </w:tc>
              <w:tc>
                <w:tcPr>
                  <w:tcW w:w="1627" w:type="dxa"/>
                  <w:tcBorders>
                    <w:tl2br w:val="nil"/>
                    <w:tr2bl w:val="nil"/>
                  </w:tcBorders>
                  <w:noWrap w:val="0"/>
                  <w:vAlign w:val="center"/>
                </w:tcPr>
                <w:p w14:paraId="79BA578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w:t>
                  </w:r>
                </w:p>
              </w:tc>
              <w:tc>
                <w:tcPr>
                  <w:tcW w:w="1096" w:type="dxa"/>
                  <w:tcBorders>
                    <w:tl2br w:val="nil"/>
                    <w:tr2bl w:val="nil"/>
                  </w:tcBorders>
                  <w:shd w:val="clear" w:color="auto" w:fill="auto"/>
                  <w:noWrap w:val="0"/>
                  <w:vAlign w:val="center"/>
                </w:tcPr>
                <w:p w14:paraId="2D72D9A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7FF5DD8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restart"/>
                  <w:tcBorders>
                    <w:tl2br w:val="nil"/>
                    <w:tr2bl w:val="nil"/>
                  </w:tcBorders>
                  <w:noWrap w:val="0"/>
                  <w:vAlign w:val="center"/>
                </w:tcPr>
                <w:p w14:paraId="41710DF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GB39726-2020</w:t>
                  </w:r>
                </w:p>
              </w:tc>
            </w:tr>
            <w:tr w14:paraId="02F90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vMerge w:val="continue"/>
                  <w:tcBorders>
                    <w:tl2br w:val="nil"/>
                    <w:tr2bl w:val="nil"/>
                  </w:tcBorders>
                  <w:noWrap w:val="0"/>
                  <w:vAlign w:val="center"/>
                </w:tcPr>
                <w:p w14:paraId="78E0E7B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72B8E8F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二氧化硫</w:t>
                  </w:r>
                </w:p>
              </w:tc>
              <w:tc>
                <w:tcPr>
                  <w:tcW w:w="1627" w:type="dxa"/>
                  <w:tcBorders>
                    <w:tl2br w:val="nil"/>
                    <w:tr2bl w:val="nil"/>
                  </w:tcBorders>
                  <w:noWrap w:val="0"/>
                  <w:vAlign w:val="center"/>
                </w:tcPr>
                <w:p w14:paraId="2BA365D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100</w:t>
                  </w:r>
                </w:p>
              </w:tc>
              <w:tc>
                <w:tcPr>
                  <w:tcW w:w="1096" w:type="dxa"/>
                  <w:tcBorders>
                    <w:tl2br w:val="nil"/>
                    <w:tr2bl w:val="nil"/>
                  </w:tcBorders>
                  <w:shd w:val="clear" w:color="auto" w:fill="auto"/>
                  <w:noWrap w:val="0"/>
                  <w:vAlign w:val="center"/>
                </w:tcPr>
                <w:p w14:paraId="0DCE1D7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0F43DE3A">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continue"/>
                  <w:tcBorders>
                    <w:tl2br w:val="nil"/>
                    <w:tr2bl w:val="nil"/>
                  </w:tcBorders>
                  <w:noWrap w:val="0"/>
                  <w:vAlign w:val="center"/>
                </w:tcPr>
                <w:p w14:paraId="729B64B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62339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vMerge w:val="continue"/>
                  <w:tcBorders>
                    <w:tl2br w:val="nil"/>
                    <w:tr2bl w:val="nil"/>
                  </w:tcBorders>
                  <w:noWrap w:val="0"/>
                  <w:vAlign w:val="center"/>
                </w:tcPr>
                <w:p w14:paraId="01F7BB3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7D7BA5C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氮氧化物</w:t>
                  </w:r>
                </w:p>
              </w:tc>
              <w:tc>
                <w:tcPr>
                  <w:tcW w:w="1627" w:type="dxa"/>
                  <w:tcBorders>
                    <w:tl2br w:val="nil"/>
                    <w:tr2bl w:val="nil"/>
                  </w:tcBorders>
                  <w:noWrap w:val="0"/>
                  <w:vAlign w:val="center"/>
                </w:tcPr>
                <w:p w14:paraId="76D447A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300</w:t>
                  </w:r>
                </w:p>
              </w:tc>
              <w:tc>
                <w:tcPr>
                  <w:tcW w:w="1096" w:type="dxa"/>
                  <w:tcBorders>
                    <w:tl2br w:val="nil"/>
                    <w:tr2bl w:val="nil"/>
                  </w:tcBorders>
                  <w:shd w:val="clear" w:color="auto" w:fill="auto"/>
                  <w:noWrap w:val="0"/>
                  <w:vAlign w:val="center"/>
                </w:tcPr>
                <w:p w14:paraId="79A3383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40DBB0A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continue"/>
                  <w:tcBorders>
                    <w:tl2br w:val="nil"/>
                    <w:tr2bl w:val="nil"/>
                  </w:tcBorders>
                  <w:noWrap w:val="0"/>
                  <w:vAlign w:val="center"/>
                </w:tcPr>
                <w:p w14:paraId="29D626A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7A83D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vMerge w:val="restart"/>
                  <w:tcBorders>
                    <w:tl2br w:val="nil"/>
                    <w:tr2bl w:val="nil"/>
                  </w:tcBorders>
                  <w:noWrap w:val="0"/>
                  <w:vAlign w:val="center"/>
                </w:tcPr>
                <w:p w14:paraId="31A8BB3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蜡模组树</w:t>
                  </w:r>
                </w:p>
              </w:tc>
              <w:tc>
                <w:tcPr>
                  <w:tcW w:w="1373" w:type="dxa"/>
                  <w:tcBorders>
                    <w:tl2br w:val="nil"/>
                    <w:tr2bl w:val="nil"/>
                  </w:tcBorders>
                  <w:shd w:val="clear" w:color="auto" w:fill="auto"/>
                  <w:noWrap w:val="0"/>
                  <w:vAlign w:val="center"/>
                </w:tcPr>
                <w:p w14:paraId="4AC2502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非甲烷总烃</w:t>
                  </w:r>
                </w:p>
              </w:tc>
              <w:tc>
                <w:tcPr>
                  <w:tcW w:w="1627" w:type="dxa"/>
                  <w:tcBorders>
                    <w:tl2br w:val="nil"/>
                    <w:tr2bl w:val="nil"/>
                  </w:tcBorders>
                  <w:noWrap w:val="0"/>
                  <w:vAlign w:val="center"/>
                </w:tcPr>
                <w:p w14:paraId="7A67BC0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100</w:t>
                  </w:r>
                </w:p>
              </w:tc>
              <w:tc>
                <w:tcPr>
                  <w:tcW w:w="1096" w:type="dxa"/>
                  <w:tcBorders>
                    <w:tl2br w:val="nil"/>
                    <w:tr2bl w:val="nil"/>
                  </w:tcBorders>
                  <w:shd w:val="clear" w:color="auto" w:fill="auto"/>
                  <w:noWrap w:val="0"/>
                  <w:vAlign w:val="center"/>
                </w:tcPr>
                <w:p w14:paraId="2048F82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302F9A5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restart"/>
                  <w:tcBorders>
                    <w:tl2br w:val="nil"/>
                    <w:tr2bl w:val="nil"/>
                  </w:tcBorders>
                  <w:noWrap w:val="0"/>
                  <w:vAlign w:val="center"/>
                </w:tcPr>
                <w:p w14:paraId="58039C6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GB/T32251-2024</w:t>
                  </w:r>
                </w:p>
              </w:tc>
            </w:tr>
            <w:tr w14:paraId="19699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vMerge w:val="continue"/>
                  <w:tcBorders>
                    <w:tl2br w:val="nil"/>
                    <w:tr2bl w:val="nil"/>
                  </w:tcBorders>
                  <w:noWrap w:val="0"/>
                  <w:vAlign w:val="center"/>
                </w:tcPr>
                <w:p w14:paraId="16AFB8A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1D3CB5F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臭气浓度</w:t>
                  </w:r>
                </w:p>
              </w:tc>
              <w:tc>
                <w:tcPr>
                  <w:tcW w:w="1627" w:type="dxa"/>
                  <w:tcBorders>
                    <w:tl2br w:val="nil"/>
                    <w:tr2bl w:val="nil"/>
                  </w:tcBorders>
                  <w:noWrap w:val="0"/>
                  <w:vAlign w:val="center"/>
                </w:tcPr>
                <w:p w14:paraId="537F25A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2000（无量纲）</w:t>
                  </w:r>
                </w:p>
              </w:tc>
              <w:tc>
                <w:tcPr>
                  <w:tcW w:w="1096" w:type="dxa"/>
                  <w:tcBorders>
                    <w:tl2br w:val="nil"/>
                    <w:tr2bl w:val="nil"/>
                  </w:tcBorders>
                  <w:shd w:val="clear" w:color="auto" w:fill="auto"/>
                  <w:noWrap w:val="0"/>
                  <w:vAlign w:val="center"/>
                </w:tcPr>
                <w:p w14:paraId="5290974C">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11BC84F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continue"/>
                  <w:tcBorders>
                    <w:tl2br w:val="nil"/>
                    <w:tr2bl w:val="nil"/>
                  </w:tcBorders>
                  <w:noWrap w:val="0"/>
                  <w:vAlign w:val="center"/>
                </w:tcPr>
                <w:p w14:paraId="256E7FFA">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p>
              </w:tc>
            </w:tr>
            <w:tr w14:paraId="542B0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vMerge w:val="restart"/>
                  <w:tcBorders>
                    <w:tl2br w:val="nil"/>
                    <w:tr2bl w:val="nil"/>
                  </w:tcBorders>
                  <w:noWrap w:val="0"/>
                  <w:vAlign w:val="center"/>
                </w:tcPr>
                <w:p w14:paraId="299AE05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脱蜡、焙烧</w:t>
                  </w:r>
                </w:p>
              </w:tc>
              <w:tc>
                <w:tcPr>
                  <w:tcW w:w="1373" w:type="dxa"/>
                  <w:tcBorders>
                    <w:tl2br w:val="nil"/>
                    <w:tr2bl w:val="nil"/>
                  </w:tcBorders>
                  <w:shd w:val="clear" w:color="auto" w:fill="auto"/>
                  <w:noWrap w:val="0"/>
                  <w:vAlign w:val="center"/>
                </w:tcPr>
                <w:p w14:paraId="0D8D95B7">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非甲烷总烃</w:t>
                  </w:r>
                </w:p>
              </w:tc>
              <w:tc>
                <w:tcPr>
                  <w:tcW w:w="1627" w:type="dxa"/>
                  <w:tcBorders>
                    <w:tl2br w:val="nil"/>
                    <w:tr2bl w:val="nil"/>
                  </w:tcBorders>
                  <w:noWrap w:val="0"/>
                  <w:vAlign w:val="center"/>
                </w:tcPr>
                <w:p w14:paraId="7045D2F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100</w:t>
                  </w:r>
                </w:p>
              </w:tc>
              <w:tc>
                <w:tcPr>
                  <w:tcW w:w="1096" w:type="dxa"/>
                  <w:tcBorders>
                    <w:tl2br w:val="nil"/>
                    <w:tr2bl w:val="nil"/>
                  </w:tcBorders>
                  <w:shd w:val="clear" w:color="auto" w:fill="auto"/>
                  <w:noWrap w:val="0"/>
                  <w:vAlign w:val="center"/>
                </w:tcPr>
                <w:p w14:paraId="68F0A46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3EC5347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restart"/>
                  <w:tcBorders>
                    <w:tl2br w:val="nil"/>
                    <w:tr2bl w:val="nil"/>
                  </w:tcBorders>
                  <w:noWrap w:val="0"/>
                  <w:vAlign w:val="center"/>
                </w:tcPr>
                <w:p w14:paraId="0F31169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GB/T32251-2024</w:t>
                  </w:r>
                </w:p>
              </w:tc>
            </w:tr>
            <w:tr w14:paraId="25741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50" w:type="dxa"/>
                  <w:vMerge w:val="continue"/>
                  <w:tcBorders>
                    <w:tl2br w:val="nil"/>
                    <w:tr2bl w:val="nil"/>
                  </w:tcBorders>
                  <w:noWrap w:val="0"/>
                  <w:vAlign w:val="center"/>
                </w:tcPr>
                <w:p w14:paraId="2707AC9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1B9B6F3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颗粒物</w:t>
                  </w:r>
                </w:p>
              </w:tc>
              <w:tc>
                <w:tcPr>
                  <w:tcW w:w="1627" w:type="dxa"/>
                  <w:tcBorders>
                    <w:tl2br w:val="nil"/>
                    <w:tr2bl w:val="nil"/>
                  </w:tcBorders>
                  <w:noWrap w:val="0"/>
                  <w:vAlign w:val="center"/>
                </w:tcPr>
                <w:p w14:paraId="71D8169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w:t>
                  </w:r>
                </w:p>
              </w:tc>
              <w:tc>
                <w:tcPr>
                  <w:tcW w:w="1096" w:type="dxa"/>
                  <w:tcBorders>
                    <w:tl2br w:val="nil"/>
                    <w:tr2bl w:val="nil"/>
                  </w:tcBorders>
                  <w:shd w:val="clear" w:color="auto" w:fill="auto"/>
                  <w:noWrap w:val="0"/>
                  <w:vAlign w:val="center"/>
                </w:tcPr>
                <w:p w14:paraId="15909069">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7858412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continue"/>
                  <w:tcBorders>
                    <w:tl2br w:val="nil"/>
                    <w:tr2bl w:val="nil"/>
                  </w:tcBorders>
                  <w:noWrap w:val="0"/>
                  <w:vAlign w:val="center"/>
                </w:tcPr>
                <w:p w14:paraId="12E45B4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60541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vMerge w:val="continue"/>
                  <w:tcBorders>
                    <w:tl2br w:val="nil"/>
                    <w:tr2bl w:val="nil"/>
                  </w:tcBorders>
                  <w:noWrap w:val="0"/>
                  <w:vAlign w:val="center"/>
                </w:tcPr>
                <w:p w14:paraId="61768FD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18071C9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二氧化硫</w:t>
                  </w:r>
                </w:p>
              </w:tc>
              <w:tc>
                <w:tcPr>
                  <w:tcW w:w="1627" w:type="dxa"/>
                  <w:tcBorders>
                    <w:tl2br w:val="nil"/>
                    <w:tr2bl w:val="nil"/>
                  </w:tcBorders>
                  <w:noWrap w:val="0"/>
                  <w:vAlign w:val="center"/>
                </w:tcPr>
                <w:p w14:paraId="272F8BD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200</w:t>
                  </w:r>
                </w:p>
              </w:tc>
              <w:tc>
                <w:tcPr>
                  <w:tcW w:w="1096" w:type="dxa"/>
                  <w:tcBorders>
                    <w:tl2br w:val="nil"/>
                    <w:tr2bl w:val="nil"/>
                  </w:tcBorders>
                  <w:shd w:val="clear" w:color="auto" w:fill="auto"/>
                  <w:noWrap w:val="0"/>
                  <w:vAlign w:val="center"/>
                </w:tcPr>
                <w:p w14:paraId="4279ADC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4943FCF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continue"/>
                  <w:tcBorders>
                    <w:tl2br w:val="nil"/>
                    <w:tr2bl w:val="nil"/>
                  </w:tcBorders>
                  <w:noWrap w:val="0"/>
                  <w:vAlign w:val="center"/>
                </w:tcPr>
                <w:p w14:paraId="536FA7F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3270B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vMerge w:val="continue"/>
                  <w:tcBorders>
                    <w:tl2br w:val="nil"/>
                    <w:tr2bl w:val="nil"/>
                  </w:tcBorders>
                  <w:noWrap w:val="0"/>
                  <w:vAlign w:val="center"/>
                </w:tcPr>
                <w:p w14:paraId="685FCA7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3EB6B5F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氮氧化物</w:t>
                  </w:r>
                </w:p>
              </w:tc>
              <w:tc>
                <w:tcPr>
                  <w:tcW w:w="1627" w:type="dxa"/>
                  <w:tcBorders>
                    <w:tl2br w:val="nil"/>
                    <w:tr2bl w:val="nil"/>
                  </w:tcBorders>
                  <w:noWrap w:val="0"/>
                  <w:vAlign w:val="center"/>
                </w:tcPr>
                <w:p w14:paraId="2C15D63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200</w:t>
                  </w:r>
                </w:p>
              </w:tc>
              <w:tc>
                <w:tcPr>
                  <w:tcW w:w="1096" w:type="dxa"/>
                  <w:tcBorders>
                    <w:tl2br w:val="nil"/>
                    <w:tr2bl w:val="nil"/>
                  </w:tcBorders>
                  <w:shd w:val="clear" w:color="auto" w:fill="auto"/>
                  <w:noWrap w:val="0"/>
                  <w:vAlign w:val="center"/>
                </w:tcPr>
                <w:p w14:paraId="48617D1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273" w:type="dxa"/>
                  <w:tcBorders>
                    <w:tl2br w:val="nil"/>
                    <w:tr2bl w:val="nil"/>
                  </w:tcBorders>
                  <w:shd w:val="clear" w:color="auto" w:fill="auto"/>
                  <w:noWrap w:val="0"/>
                  <w:vAlign w:val="center"/>
                </w:tcPr>
                <w:p w14:paraId="78070A3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c>
                <w:tcPr>
                  <w:tcW w:w="1672" w:type="dxa"/>
                  <w:vMerge w:val="continue"/>
                  <w:tcBorders>
                    <w:tl2br w:val="nil"/>
                    <w:tr2bl w:val="nil"/>
                  </w:tcBorders>
                  <w:noWrap w:val="0"/>
                  <w:vAlign w:val="center"/>
                </w:tcPr>
                <w:p w14:paraId="2990B349">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r>
          </w:tbl>
          <w:p w14:paraId="68C38B15">
            <w:pPr>
              <w:pStyle w:val="11"/>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④喷粉、固化工艺废气</w:t>
            </w:r>
          </w:p>
          <w:p w14:paraId="3E2CB20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喷粉废气颗粒物执行《铸造工业大气污染物排放标准》（GB39726-2020）表 1中相关规定的排放限值。</w:t>
            </w:r>
          </w:p>
          <w:p w14:paraId="677500F6">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固化工序以天然气为燃料，废气主要污染物为颗粒物、SO</w:t>
            </w:r>
            <w:r>
              <w:rPr>
                <w:rFonts w:hint="eastAsia"/>
                <w:color w:val="auto"/>
                <w:sz w:val="24"/>
                <w:szCs w:val="24"/>
                <w:highlight w:val="none"/>
                <w:vertAlign w:val="subscript"/>
                <w:lang w:val="en-US" w:eastAsia="zh-CN"/>
              </w:rPr>
              <w:t>2</w:t>
            </w:r>
            <w:r>
              <w:rPr>
                <w:rFonts w:hint="eastAsia"/>
                <w:color w:val="auto"/>
                <w:sz w:val="24"/>
                <w:szCs w:val="24"/>
                <w:highlight w:val="none"/>
                <w:lang w:val="en-US" w:eastAsia="zh-CN"/>
              </w:rPr>
              <w:t>、NOx和非甲烷总烃，鉴于《工业炉窑大气污染物排放标准》（GB9078-1996）制定较早，其排放指标不全，且排放限值过于宽松，故本评价对烘箱燃烧废气污染物颗粒物、二氧化硫、氮氧化物排放参照执行《福建省工业炉窑大气污染综合治理方案》中鼓励采用的排放限值；非甲烷总烃从严执行《铸造工业大气污染物排放标准》（GB39726-2020）表1表面涂装相关限值和《工业涂装工序挥发性有机物排放标准》（DB35/1783-2018）表1中“涉涂装工序的其他行业”标准。</w:t>
            </w:r>
          </w:p>
          <w:p w14:paraId="1D35A55C">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表3-10  项目喷粉及固化废气排放标准一览表</w:t>
            </w:r>
          </w:p>
          <w:tbl>
            <w:tblPr>
              <w:tblStyle w:val="30"/>
              <w:tblW w:w="83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276"/>
              <w:gridCol w:w="1219"/>
              <w:gridCol w:w="1198"/>
              <w:gridCol w:w="1567"/>
              <w:gridCol w:w="2021"/>
            </w:tblGrid>
            <w:tr w14:paraId="61A21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tcBorders>
                    <w:tl2br w:val="nil"/>
                    <w:tr2bl w:val="nil"/>
                  </w:tcBorders>
                  <w:noWrap w:val="0"/>
                  <w:vAlign w:val="center"/>
                </w:tcPr>
                <w:p w14:paraId="3FC159A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生产</w:t>
                  </w:r>
                  <w:r>
                    <w:rPr>
                      <w:rFonts w:hint="eastAsia" w:ascii="Times New Roman" w:hAnsi="Times New Roman" w:eastAsia="宋体" w:cs="Times New Roman"/>
                      <w:b/>
                      <w:bCs/>
                      <w:color w:val="auto"/>
                      <w:sz w:val="21"/>
                      <w:szCs w:val="21"/>
                      <w:highlight w:val="none"/>
                      <w:vertAlign w:val="baseline"/>
                      <w:lang w:val="en-US" w:eastAsia="zh-CN"/>
                    </w:rPr>
                    <w:t>过程</w:t>
                  </w:r>
                </w:p>
              </w:tc>
              <w:tc>
                <w:tcPr>
                  <w:tcW w:w="1276" w:type="dxa"/>
                  <w:tcBorders>
                    <w:tl2br w:val="nil"/>
                    <w:tr2bl w:val="nil"/>
                  </w:tcBorders>
                  <w:noWrap w:val="0"/>
                  <w:vAlign w:val="center"/>
                </w:tcPr>
                <w:p w14:paraId="6D4C2B8C">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污染物</w:t>
                  </w:r>
                </w:p>
              </w:tc>
              <w:tc>
                <w:tcPr>
                  <w:tcW w:w="1219" w:type="dxa"/>
                  <w:tcBorders>
                    <w:tl2br w:val="nil"/>
                    <w:tr2bl w:val="nil"/>
                  </w:tcBorders>
                  <w:noWrap w:val="0"/>
                  <w:vAlign w:val="center"/>
                </w:tcPr>
                <w:p w14:paraId="5E093E9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排放浓度（</w:t>
                  </w:r>
                  <w:r>
                    <w:rPr>
                      <w:rFonts w:hint="default" w:ascii="Times New Roman" w:hAnsi="Times New Roman" w:eastAsia="宋体" w:cs="Times New Roman"/>
                      <w:b/>
                      <w:bCs/>
                      <w:color w:val="auto"/>
                      <w:sz w:val="21"/>
                      <w:szCs w:val="21"/>
                      <w:highlight w:val="none"/>
                      <w:vertAlign w:val="baseli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eastAsia="zh-CN"/>
                    </w:rPr>
                    <w:t>）</w:t>
                  </w:r>
                </w:p>
              </w:tc>
              <w:tc>
                <w:tcPr>
                  <w:tcW w:w="1198" w:type="dxa"/>
                  <w:tcBorders>
                    <w:tl2br w:val="nil"/>
                    <w:tr2bl w:val="nil"/>
                  </w:tcBorders>
                  <w:noWrap w:val="0"/>
                  <w:vAlign w:val="center"/>
                </w:tcPr>
                <w:p w14:paraId="16CF048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排放速率（kg/h）</w:t>
                  </w:r>
                </w:p>
              </w:tc>
              <w:tc>
                <w:tcPr>
                  <w:tcW w:w="1567" w:type="dxa"/>
                  <w:tcBorders>
                    <w:tl2br w:val="nil"/>
                    <w:tr2bl w:val="nil"/>
                  </w:tcBorders>
                  <w:noWrap w:val="0"/>
                  <w:vAlign w:val="center"/>
                </w:tcPr>
                <w:p w14:paraId="6D2FED6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排放高度（</w:t>
                  </w:r>
                  <w:r>
                    <w:rPr>
                      <w:rFonts w:hint="default" w:ascii="Times New Roman" w:hAnsi="Times New Roman" w:eastAsia="宋体" w:cs="Times New Roman"/>
                      <w:b/>
                      <w:bCs/>
                      <w:color w:val="auto"/>
                      <w:sz w:val="21"/>
                      <w:szCs w:val="21"/>
                      <w:highlight w:val="none"/>
                      <w:vertAlign w:val="baseline"/>
                      <w:lang w:val="en-US" w:eastAsia="zh-CN"/>
                    </w:rPr>
                    <w:t>m</w:t>
                  </w:r>
                  <w:r>
                    <w:rPr>
                      <w:rFonts w:hint="default" w:ascii="Times New Roman" w:hAnsi="Times New Roman" w:eastAsia="宋体" w:cs="Times New Roman"/>
                      <w:b/>
                      <w:bCs/>
                      <w:color w:val="auto"/>
                      <w:sz w:val="21"/>
                      <w:szCs w:val="21"/>
                      <w:highlight w:val="none"/>
                      <w:vertAlign w:val="baseline"/>
                      <w:lang w:eastAsia="zh-CN"/>
                    </w:rPr>
                    <w:t>）</w:t>
                  </w:r>
                </w:p>
              </w:tc>
              <w:tc>
                <w:tcPr>
                  <w:tcW w:w="2021" w:type="dxa"/>
                  <w:tcBorders>
                    <w:tl2br w:val="nil"/>
                    <w:tr2bl w:val="nil"/>
                  </w:tcBorders>
                  <w:noWrap w:val="0"/>
                  <w:vAlign w:val="center"/>
                </w:tcPr>
                <w:p w14:paraId="2FCAD39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标准</w:t>
                  </w:r>
                  <w:r>
                    <w:rPr>
                      <w:rFonts w:hint="default" w:ascii="Times New Roman" w:hAnsi="Times New Roman" w:eastAsia="宋体" w:cs="Times New Roman"/>
                      <w:b/>
                      <w:bCs/>
                      <w:color w:val="auto"/>
                      <w:sz w:val="21"/>
                      <w:szCs w:val="21"/>
                      <w:highlight w:val="none"/>
                      <w:vertAlign w:val="baseline"/>
                      <w:lang w:eastAsia="zh-CN"/>
                    </w:rPr>
                    <w:t>来源</w:t>
                  </w:r>
                </w:p>
              </w:tc>
            </w:tr>
            <w:tr w14:paraId="7AADF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tcBorders>
                    <w:tl2br w:val="nil"/>
                    <w:tr2bl w:val="nil"/>
                  </w:tcBorders>
                  <w:noWrap w:val="0"/>
                  <w:vAlign w:val="center"/>
                </w:tcPr>
                <w:p w14:paraId="67338125">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b w:val="0"/>
                      <w:bCs w:val="0"/>
                      <w:color w:val="auto"/>
                      <w:sz w:val="21"/>
                      <w:szCs w:val="21"/>
                      <w:highlight w:val="none"/>
                      <w:vertAlign w:val="baseline"/>
                      <w:lang w:val="en-US" w:eastAsia="zh-CN"/>
                    </w:rPr>
                    <w:t>喷粉</w:t>
                  </w:r>
                </w:p>
              </w:tc>
              <w:tc>
                <w:tcPr>
                  <w:tcW w:w="1276" w:type="dxa"/>
                  <w:tcBorders>
                    <w:tl2br w:val="nil"/>
                    <w:tr2bl w:val="nil"/>
                  </w:tcBorders>
                  <w:noWrap w:val="0"/>
                  <w:vAlign w:val="center"/>
                </w:tcPr>
                <w:p w14:paraId="319688E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颗粒物</w:t>
                  </w:r>
                </w:p>
              </w:tc>
              <w:tc>
                <w:tcPr>
                  <w:tcW w:w="1219" w:type="dxa"/>
                  <w:tcBorders>
                    <w:tl2br w:val="nil"/>
                    <w:tr2bl w:val="nil"/>
                  </w:tcBorders>
                  <w:noWrap w:val="0"/>
                  <w:vAlign w:val="center"/>
                </w:tcPr>
                <w:p w14:paraId="3CA971BA">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w:t>
                  </w:r>
                </w:p>
              </w:tc>
              <w:tc>
                <w:tcPr>
                  <w:tcW w:w="1198" w:type="dxa"/>
                  <w:tcBorders>
                    <w:tl2br w:val="nil"/>
                    <w:tr2bl w:val="nil"/>
                  </w:tcBorders>
                  <w:noWrap w:val="0"/>
                  <w:vAlign w:val="center"/>
                </w:tcPr>
                <w:p w14:paraId="2F535A9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567" w:type="dxa"/>
                  <w:tcBorders>
                    <w:tl2br w:val="nil"/>
                    <w:tr2bl w:val="nil"/>
                  </w:tcBorders>
                  <w:noWrap w:val="0"/>
                  <w:vAlign w:val="center"/>
                </w:tcPr>
                <w:p w14:paraId="3EEB93C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21" w:type="dxa"/>
                  <w:tcBorders>
                    <w:tl2br w:val="nil"/>
                    <w:tr2bl w:val="nil"/>
                  </w:tcBorders>
                  <w:noWrap w:val="0"/>
                  <w:vAlign w:val="center"/>
                </w:tcPr>
                <w:p w14:paraId="4B4AA0F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GB39726-2020</w:t>
                  </w:r>
                </w:p>
              </w:tc>
            </w:tr>
            <w:tr w14:paraId="2B742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vMerge w:val="restart"/>
                  <w:tcBorders>
                    <w:tl2br w:val="nil"/>
                    <w:tr2bl w:val="nil"/>
                  </w:tcBorders>
                  <w:noWrap w:val="0"/>
                  <w:vAlign w:val="center"/>
                </w:tcPr>
                <w:p w14:paraId="4089D979">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固化</w:t>
                  </w:r>
                </w:p>
              </w:tc>
              <w:tc>
                <w:tcPr>
                  <w:tcW w:w="1276" w:type="dxa"/>
                  <w:tcBorders>
                    <w:tl2br w:val="nil"/>
                    <w:tr2bl w:val="nil"/>
                  </w:tcBorders>
                  <w:shd w:val="clear" w:color="auto" w:fill="auto"/>
                  <w:noWrap w:val="0"/>
                  <w:vAlign w:val="center"/>
                </w:tcPr>
                <w:p w14:paraId="68761A9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非甲烷总烃</w:t>
                  </w:r>
                </w:p>
              </w:tc>
              <w:tc>
                <w:tcPr>
                  <w:tcW w:w="1219" w:type="dxa"/>
                  <w:tcBorders>
                    <w:tl2br w:val="nil"/>
                    <w:tr2bl w:val="nil"/>
                  </w:tcBorders>
                  <w:noWrap w:val="0"/>
                  <w:vAlign w:val="center"/>
                </w:tcPr>
                <w:p w14:paraId="3B43376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60</w:t>
                  </w:r>
                </w:p>
              </w:tc>
              <w:tc>
                <w:tcPr>
                  <w:tcW w:w="1198" w:type="dxa"/>
                  <w:tcBorders>
                    <w:tl2br w:val="nil"/>
                    <w:tr2bl w:val="nil"/>
                  </w:tcBorders>
                  <w:shd w:val="clear" w:color="auto" w:fill="auto"/>
                  <w:noWrap w:val="0"/>
                  <w:vAlign w:val="center"/>
                </w:tcPr>
                <w:p w14:paraId="73A1A01C">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2.5</w:t>
                  </w:r>
                </w:p>
              </w:tc>
              <w:tc>
                <w:tcPr>
                  <w:tcW w:w="1567" w:type="dxa"/>
                  <w:tcBorders>
                    <w:tl2br w:val="nil"/>
                    <w:tr2bl w:val="nil"/>
                  </w:tcBorders>
                  <w:shd w:val="clear" w:color="auto" w:fill="auto"/>
                  <w:noWrap w:val="0"/>
                  <w:vAlign w:val="center"/>
                </w:tcPr>
                <w:p w14:paraId="71C8EBB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15</w:t>
                  </w:r>
                </w:p>
              </w:tc>
              <w:tc>
                <w:tcPr>
                  <w:tcW w:w="2021" w:type="dxa"/>
                  <w:tcBorders>
                    <w:tl2br w:val="nil"/>
                    <w:tr2bl w:val="nil"/>
                  </w:tcBorders>
                  <w:noWrap w:val="0"/>
                  <w:vAlign w:val="center"/>
                </w:tcPr>
                <w:p w14:paraId="5925571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DB35/1783-2018、GB39726-2020</w:t>
                  </w:r>
                </w:p>
              </w:tc>
            </w:tr>
            <w:tr w14:paraId="23B4F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vMerge w:val="continue"/>
                  <w:tcBorders>
                    <w:tl2br w:val="nil"/>
                    <w:tr2bl w:val="nil"/>
                  </w:tcBorders>
                  <w:noWrap w:val="0"/>
                  <w:vAlign w:val="center"/>
                </w:tcPr>
                <w:p w14:paraId="6A7F898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21"/>
                      <w:szCs w:val="21"/>
                      <w:highlight w:val="none"/>
                      <w:vertAlign w:val="baseline"/>
                      <w:lang w:val="en-US" w:eastAsia="zh-CN"/>
                    </w:rPr>
                  </w:pPr>
                </w:p>
              </w:tc>
              <w:tc>
                <w:tcPr>
                  <w:tcW w:w="1276" w:type="dxa"/>
                  <w:tcBorders>
                    <w:tl2br w:val="nil"/>
                    <w:tr2bl w:val="nil"/>
                  </w:tcBorders>
                  <w:shd w:val="clear" w:color="auto" w:fill="auto"/>
                  <w:noWrap w:val="0"/>
                  <w:vAlign w:val="center"/>
                </w:tcPr>
                <w:p w14:paraId="678623C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eastAsia="zh-CN"/>
                    </w:rPr>
                    <w:t>颗粒物</w:t>
                  </w:r>
                </w:p>
              </w:tc>
              <w:tc>
                <w:tcPr>
                  <w:tcW w:w="1219" w:type="dxa"/>
                  <w:tcBorders>
                    <w:tl2br w:val="nil"/>
                    <w:tr2bl w:val="nil"/>
                  </w:tcBorders>
                  <w:shd w:val="clear" w:color="auto" w:fill="auto"/>
                  <w:noWrap w:val="0"/>
                  <w:vAlign w:val="center"/>
                </w:tcPr>
                <w:p w14:paraId="0BB878D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30</w:t>
                  </w:r>
                </w:p>
              </w:tc>
              <w:tc>
                <w:tcPr>
                  <w:tcW w:w="1198" w:type="dxa"/>
                  <w:tcBorders>
                    <w:tl2br w:val="nil"/>
                    <w:tr2bl w:val="nil"/>
                  </w:tcBorders>
                  <w:shd w:val="clear" w:color="auto" w:fill="auto"/>
                  <w:noWrap w:val="0"/>
                  <w:vAlign w:val="center"/>
                </w:tcPr>
                <w:p w14:paraId="0960AB0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567" w:type="dxa"/>
                  <w:tcBorders>
                    <w:tl2br w:val="nil"/>
                    <w:tr2bl w:val="nil"/>
                  </w:tcBorders>
                  <w:shd w:val="clear" w:color="auto" w:fill="auto"/>
                  <w:noWrap w:val="0"/>
                  <w:vAlign w:val="center"/>
                </w:tcPr>
                <w:p w14:paraId="5228C21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21" w:type="dxa"/>
                  <w:vMerge w:val="restart"/>
                  <w:tcBorders>
                    <w:tl2br w:val="nil"/>
                    <w:tr2bl w:val="nil"/>
                  </w:tcBorders>
                  <w:noWrap w:val="0"/>
                  <w:vAlign w:val="center"/>
                </w:tcPr>
                <w:p w14:paraId="018A6CB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《福建省工业炉窑大气污染综合治理方案》中鼓励采用的排放限值</w:t>
                  </w:r>
                </w:p>
              </w:tc>
            </w:tr>
            <w:tr w14:paraId="54DB8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vMerge w:val="continue"/>
                  <w:tcBorders>
                    <w:tl2br w:val="nil"/>
                    <w:tr2bl w:val="nil"/>
                  </w:tcBorders>
                  <w:noWrap w:val="0"/>
                  <w:vAlign w:val="center"/>
                </w:tcPr>
                <w:p w14:paraId="2D2321C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21"/>
                      <w:szCs w:val="21"/>
                      <w:highlight w:val="none"/>
                      <w:vertAlign w:val="baseline"/>
                      <w:lang w:val="en-US" w:eastAsia="zh-CN"/>
                    </w:rPr>
                  </w:pPr>
                </w:p>
              </w:tc>
              <w:tc>
                <w:tcPr>
                  <w:tcW w:w="1276" w:type="dxa"/>
                  <w:tcBorders>
                    <w:tl2br w:val="nil"/>
                    <w:tr2bl w:val="nil"/>
                  </w:tcBorders>
                  <w:shd w:val="clear" w:color="auto" w:fill="auto"/>
                  <w:noWrap w:val="0"/>
                  <w:vAlign w:val="center"/>
                </w:tcPr>
                <w:p w14:paraId="1E0F976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b w:val="0"/>
                      <w:bCs w:val="0"/>
                      <w:color w:val="auto"/>
                      <w:sz w:val="21"/>
                      <w:szCs w:val="21"/>
                      <w:highlight w:val="none"/>
                      <w:vertAlign w:val="baseline"/>
                      <w:lang w:val="en-US" w:eastAsia="zh-CN"/>
                    </w:rPr>
                    <w:t>二氧化硫</w:t>
                  </w:r>
                </w:p>
              </w:tc>
              <w:tc>
                <w:tcPr>
                  <w:tcW w:w="1219" w:type="dxa"/>
                  <w:tcBorders>
                    <w:tl2br w:val="nil"/>
                    <w:tr2bl w:val="nil"/>
                  </w:tcBorders>
                  <w:noWrap w:val="0"/>
                  <w:vAlign w:val="center"/>
                </w:tcPr>
                <w:p w14:paraId="7FB3DD1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200</w:t>
                  </w:r>
                </w:p>
              </w:tc>
              <w:tc>
                <w:tcPr>
                  <w:tcW w:w="1198" w:type="dxa"/>
                  <w:tcBorders>
                    <w:tl2br w:val="nil"/>
                    <w:tr2bl w:val="nil"/>
                  </w:tcBorders>
                  <w:shd w:val="clear" w:color="auto" w:fill="auto"/>
                  <w:noWrap w:val="0"/>
                  <w:vAlign w:val="center"/>
                </w:tcPr>
                <w:p w14:paraId="6AC5B88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567" w:type="dxa"/>
                  <w:tcBorders>
                    <w:tl2br w:val="nil"/>
                    <w:tr2bl w:val="nil"/>
                  </w:tcBorders>
                  <w:shd w:val="clear" w:color="auto" w:fill="auto"/>
                  <w:noWrap w:val="0"/>
                  <w:vAlign w:val="center"/>
                </w:tcPr>
                <w:p w14:paraId="2EE6DB4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21" w:type="dxa"/>
                  <w:vMerge w:val="continue"/>
                  <w:tcBorders>
                    <w:tl2br w:val="nil"/>
                    <w:tr2bl w:val="nil"/>
                  </w:tcBorders>
                  <w:noWrap w:val="0"/>
                  <w:vAlign w:val="center"/>
                </w:tcPr>
                <w:p w14:paraId="75B90DA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7D9AD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0" w:type="dxa"/>
                  <w:vMerge w:val="continue"/>
                  <w:tcBorders>
                    <w:tl2br w:val="nil"/>
                    <w:tr2bl w:val="nil"/>
                  </w:tcBorders>
                  <w:noWrap w:val="0"/>
                  <w:vAlign w:val="center"/>
                </w:tcPr>
                <w:p w14:paraId="627F3DE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276" w:type="dxa"/>
                  <w:tcBorders>
                    <w:tl2br w:val="nil"/>
                    <w:tr2bl w:val="nil"/>
                  </w:tcBorders>
                  <w:noWrap w:val="0"/>
                  <w:vAlign w:val="center"/>
                </w:tcPr>
                <w:p w14:paraId="1FA5EE7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氮氧化物</w:t>
                  </w:r>
                </w:p>
              </w:tc>
              <w:tc>
                <w:tcPr>
                  <w:tcW w:w="1219" w:type="dxa"/>
                  <w:tcBorders>
                    <w:tl2br w:val="nil"/>
                    <w:tr2bl w:val="nil"/>
                  </w:tcBorders>
                  <w:noWrap w:val="0"/>
                  <w:vAlign w:val="center"/>
                </w:tcPr>
                <w:p w14:paraId="2BCAA4F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300</w:t>
                  </w:r>
                </w:p>
              </w:tc>
              <w:tc>
                <w:tcPr>
                  <w:tcW w:w="1198" w:type="dxa"/>
                  <w:tcBorders>
                    <w:tl2br w:val="nil"/>
                    <w:tr2bl w:val="nil"/>
                  </w:tcBorders>
                  <w:noWrap w:val="0"/>
                  <w:vAlign w:val="center"/>
                </w:tcPr>
                <w:p w14:paraId="26A1F4D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1567" w:type="dxa"/>
                  <w:tcBorders>
                    <w:tl2br w:val="nil"/>
                    <w:tr2bl w:val="nil"/>
                  </w:tcBorders>
                  <w:noWrap w:val="0"/>
                  <w:vAlign w:val="center"/>
                </w:tcPr>
                <w:p w14:paraId="624DF3A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21" w:type="dxa"/>
                  <w:vMerge w:val="continue"/>
                  <w:tcBorders>
                    <w:tl2br w:val="nil"/>
                    <w:tr2bl w:val="nil"/>
                  </w:tcBorders>
                  <w:noWrap w:val="0"/>
                  <w:vAlign w:val="center"/>
                </w:tcPr>
                <w:p w14:paraId="0D35C78E">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r>
          </w:tbl>
          <w:p w14:paraId="1D4EFAFF">
            <w:pPr>
              <w:pStyle w:val="11"/>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⑤红冲工艺废气</w:t>
            </w:r>
          </w:p>
          <w:p w14:paraId="3E6BAA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红冲工序加热炉燃料废气主要污染物为颗粒物、二氧化硫、氮氧化物等，鉴于《工业炉窑大气污染物排放标准》（GB9078-1996）制定较早，其排放指标不全，且排放限值过于宽松，本次评价排放标准参照执行《福建省工业炉窑大气污染综合治理方案》中鼓励采用的排放限值。</w:t>
            </w:r>
          </w:p>
          <w:p w14:paraId="2BC923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抛丸废气颗粒物排放执行《铸造工业大气污染物排放标准》（GB39726-2020）表1中相关规定的排放限值。</w:t>
            </w:r>
          </w:p>
          <w:p w14:paraId="39CB9D95">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表3-11  红冲工艺废气排放标准一览表</w:t>
            </w:r>
          </w:p>
          <w:tbl>
            <w:tblPr>
              <w:tblStyle w:val="30"/>
              <w:tblW w:w="83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34"/>
              <w:gridCol w:w="1625"/>
              <w:gridCol w:w="1526"/>
              <w:gridCol w:w="1387"/>
              <w:gridCol w:w="1873"/>
            </w:tblGrid>
            <w:tr w14:paraId="3C015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6" w:type="dxa"/>
                  <w:tcBorders>
                    <w:tl2br w:val="nil"/>
                    <w:tr2bl w:val="nil"/>
                  </w:tcBorders>
                  <w:noWrap w:val="0"/>
                  <w:vAlign w:val="center"/>
                </w:tcPr>
                <w:p w14:paraId="36E08087">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18"/>
                      <w:szCs w:val="18"/>
                      <w:highlight w:val="none"/>
                      <w:vertAlign w:val="baseline"/>
                      <w:lang w:eastAsia="zh-CN"/>
                    </w:rPr>
                  </w:pPr>
                  <w:r>
                    <w:rPr>
                      <w:rFonts w:hint="default" w:ascii="Times New Roman" w:hAnsi="Times New Roman" w:eastAsia="宋体" w:cs="Times New Roman"/>
                      <w:b/>
                      <w:bCs/>
                      <w:color w:val="auto"/>
                      <w:sz w:val="18"/>
                      <w:szCs w:val="18"/>
                      <w:highlight w:val="none"/>
                      <w:vertAlign w:val="baseline"/>
                      <w:lang w:eastAsia="zh-CN"/>
                    </w:rPr>
                    <w:t>生产</w:t>
                  </w:r>
                  <w:r>
                    <w:rPr>
                      <w:rFonts w:hint="eastAsia" w:ascii="Times New Roman" w:hAnsi="Times New Roman" w:eastAsia="宋体" w:cs="Times New Roman"/>
                      <w:b/>
                      <w:bCs/>
                      <w:color w:val="auto"/>
                      <w:sz w:val="18"/>
                      <w:szCs w:val="18"/>
                      <w:highlight w:val="none"/>
                      <w:vertAlign w:val="baseline"/>
                      <w:lang w:val="en-US" w:eastAsia="zh-CN"/>
                    </w:rPr>
                    <w:t>过程</w:t>
                  </w:r>
                </w:p>
              </w:tc>
              <w:tc>
                <w:tcPr>
                  <w:tcW w:w="1034" w:type="dxa"/>
                  <w:tcBorders>
                    <w:tl2br w:val="nil"/>
                    <w:tr2bl w:val="nil"/>
                  </w:tcBorders>
                  <w:noWrap w:val="0"/>
                  <w:vAlign w:val="center"/>
                </w:tcPr>
                <w:p w14:paraId="197134E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18"/>
                      <w:szCs w:val="18"/>
                      <w:highlight w:val="none"/>
                      <w:vertAlign w:val="baseline"/>
                      <w:lang w:eastAsia="zh-CN"/>
                    </w:rPr>
                  </w:pPr>
                  <w:r>
                    <w:rPr>
                      <w:rFonts w:hint="default" w:ascii="Times New Roman" w:hAnsi="Times New Roman" w:eastAsia="宋体" w:cs="Times New Roman"/>
                      <w:b/>
                      <w:bCs/>
                      <w:color w:val="auto"/>
                      <w:sz w:val="18"/>
                      <w:szCs w:val="18"/>
                      <w:highlight w:val="none"/>
                      <w:vertAlign w:val="baseline"/>
                      <w:lang w:eastAsia="zh-CN"/>
                    </w:rPr>
                    <w:t>污染物</w:t>
                  </w:r>
                </w:p>
              </w:tc>
              <w:tc>
                <w:tcPr>
                  <w:tcW w:w="1625" w:type="dxa"/>
                  <w:tcBorders>
                    <w:tl2br w:val="nil"/>
                    <w:tr2bl w:val="nil"/>
                  </w:tcBorders>
                  <w:noWrap w:val="0"/>
                  <w:vAlign w:val="center"/>
                </w:tcPr>
                <w:p w14:paraId="23C3827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18"/>
                      <w:szCs w:val="18"/>
                      <w:highlight w:val="none"/>
                      <w:vertAlign w:val="baseline"/>
                      <w:lang w:eastAsia="zh-CN"/>
                    </w:rPr>
                  </w:pPr>
                  <w:r>
                    <w:rPr>
                      <w:rFonts w:hint="default" w:ascii="Times New Roman" w:hAnsi="Times New Roman" w:eastAsia="宋体" w:cs="Times New Roman"/>
                      <w:b/>
                      <w:bCs/>
                      <w:color w:val="auto"/>
                      <w:sz w:val="18"/>
                      <w:szCs w:val="18"/>
                      <w:highlight w:val="none"/>
                      <w:vertAlign w:val="baseline"/>
                      <w:lang w:eastAsia="zh-CN"/>
                    </w:rPr>
                    <w:t>排放浓度（</w:t>
                  </w:r>
                  <w:r>
                    <w:rPr>
                      <w:rFonts w:hint="default" w:ascii="Times New Roman" w:hAnsi="Times New Roman" w:eastAsia="宋体" w:cs="Times New Roman"/>
                      <w:b/>
                      <w:bCs/>
                      <w:color w:val="auto"/>
                      <w:sz w:val="18"/>
                      <w:szCs w:val="18"/>
                      <w:highlight w:val="none"/>
                      <w:vertAlign w:val="baseline"/>
                      <w:lang w:val="en-US" w:eastAsia="zh-CN"/>
                    </w:rPr>
                    <w:t>mg/m</w:t>
                  </w:r>
                  <w:r>
                    <w:rPr>
                      <w:rFonts w:hint="default" w:ascii="Times New Roman" w:hAnsi="Times New Roman" w:eastAsia="宋体" w:cs="Times New Roman"/>
                      <w:b/>
                      <w:bCs/>
                      <w:color w:val="auto"/>
                      <w:sz w:val="18"/>
                      <w:szCs w:val="18"/>
                      <w:highlight w:val="none"/>
                      <w:vertAlign w:val="superscript"/>
                      <w:lang w:val="en-US" w:eastAsia="zh-CN"/>
                    </w:rPr>
                    <w:t>3</w:t>
                  </w:r>
                  <w:r>
                    <w:rPr>
                      <w:rFonts w:hint="default" w:ascii="Times New Roman" w:hAnsi="Times New Roman" w:eastAsia="宋体" w:cs="Times New Roman"/>
                      <w:b/>
                      <w:bCs/>
                      <w:color w:val="auto"/>
                      <w:sz w:val="18"/>
                      <w:szCs w:val="18"/>
                      <w:highlight w:val="none"/>
                      <w:vertAlign w:val="baseline"/>
                      <w:lang w:eastAsia="zh-CN"/>
                    </w:rPr>
                    <w:t>）</w:t>
                  </w:r>
                </w:p>
              </w:tc>
              <w:tc>
                <w:tcPr>
                  <w:tcW w:w="1526" w:type="dxa"/>
                  <w:tcBorders>
                    <w:tl2br w:val="nil"/>
                    <w:tr2bl w:val="nil"/>
                  </w:tcBorders>
                  <w:noWrap w:val="0"/>
                  <w:vAlign w:val="center"/>
                </w:tcPr>
                <w:p w14:paraId="7E2446E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排放速率（kg/h）</w:t>
                  </w:r>
                </w:p>
              </w:tc>
              <w:tc>
                <w:tcPr>
                  <w:tcW w:w="1387" w:type="dxa"/>
                  <w:tcBorders>
                    <w:tl2br w:val="nil"/>
                    <w:tr2bl w:val="nil"/>
                  </w:tcBorders>
                  <w:noWrap w:val="0"/>
                  <w:vAlign w:val="center"/>
                </w:tcPr>
                <w:p w14:paraId="7D49C18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18"/>
                      <w:szCs w:val="18"/>
                      <w:highlight w:val="none"/>
                      <w:vertAlign w:val="baseline"/>
                      <w:lang w:eastAsia="zh-CN"/>
                    </w:rPr>
                  </w:pPr>
                  <w:r>
                    <w:rPr>
                      <w:rFonts w:hint="default" w:ascii="Times New Roman" w:hAnsi="Times New Roman" w:eastAsia="宋体" w:cs="Times New Roman"/>
                      <w:b/>
                      <w:bCs/>
                      <w:color w:val="auto"/>
                      <w:sz w:val="18"/>
                      <w:szCs w:val="18"/>
                      <w:highlight w:val="none"/>
                      <w:vertAlign w:val="baseline"/>
                      <w:lang w:eastAsia="zh-CN"/>
                    </w:rPr>
                    <w:t>排放高度（</w:t>
                  </w:r>
                  <w:r>
                    <w:rPr>
                      <w:rFonts w:hint="default" w:ascii="Times New Roman" w:hAnsi="Times New Roman" w:eastAsia="宋体" w:cs="Times New Roman"/>
                      <w:b/>
                      <w:bCs/>
                      <w:color w:val="auto"/>
                      <w:sz w:val="18"/>
                      <w:szCs w:val="18"/>
                      <w:highlight w:val="none"/>
                      <w:vertAlign w:val="baseline"/>
                      <w:lang w:val="en-US" w:eastAsia="zh-CN"/>
                    </w:rPr>
                    <w:t>m</w:t>
                  </w:r>
                  <w:r>
                    <w:rPr>
                      <w:rFonts w:hint="default" w:ascii="Times New Roman" w:hAnsi="Times New Roman" w:eastAsia="宋体" w:cs="Times New Roman"/>
                      <w:b/>
                      <w:bCs/>
                      <w:color w:val="auto"/>
                      <w:sz w:val="18"/>
                      <w:szCs w:val="18"/>
                      <w:highlight w:val="none"/>
                      <w:vertAlign w:val="baseline"/>
                      <w:lang w:eastAsia="zh-CN"/>
                    </w:rPr>
                    <w:t>）</w:t>
                  </w:r>
                </w:p>
              </w:tc>
              <w:tc>
                <w:tcPr>
                  <w:tcW w:w="1873" w:type="dxa"/>
                  <w:tcBorders>
                    <w:tl2br w:val="nil"/>
                    <w:tr2bl w:val="nil"/>
                  </w:tcBorders>
                  <w:noWrap w:val="0"/>
                  <w:vAlign w:val="center"/>
                </w:tcPr>
                <w:p w14:paraId="507DCDA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eastAsia" w:cs="Times New Roman"/>
                      <w:b/>
                      <w:bCs/>
                      <w:color w:val="auto"/>
                      <w:sz w:val="18"/>
                      <w:szCs w:val="18"/>
                      <w:highlight w:val="none"/>
                      <w:vertAlign w:val="baseline"/>
                      <w:lang w:val="en-US" w:eastAsia="zh-CN"/>
                    </w:rPr>
                    <w:t>标准</w:t>
                  </w:r>
                  <w:r>
                    <w:rPr>
                      <w:rFonts w:hint="default" w:ascii="Times New Roman" w:hAnsi="Times New Roman" w:eastAsia="宋体" w:cs="Times New Roman"/>
                      <w:b/>
                      <w:bCs/>
                      <w:color w:val="auto"/>
                      <w:sz w:val="18"/>
                      <w:szCs w:val="18"/>
                      <w:highlight w:val="none"/>
                      <w:vertAlign w:val="baseline"/>
                      <w:lang w:eastAsia="zh-CN"/>
                    </w:rPr>
                    <w:t>来源</w:t>
                  </w:r>
                </w:p>
              </w:tc>
            </w:tr>
            <w:tr w14:paraId="5D529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6" w:type="dxa"/>
                  <w:tcBorders>
                    <w:tl2br w:val="nil"/>
                    <w:tr2bl w:val="nil"/>
                  </w:tcBorders>
                  <w:noWrap w:val="0"/>
                  <w:vAlign w:val="center"/>
                </w:tcPr>
                <w:p w14:paraId="60B8E9B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lang w:eastAsia="zh-CN"/>
                    </w:rPr>
                  </w:pPr>
                  <w:r>
                    <w:rPr>
                      <w:rFonts w:hint="eastAsia" w:cs="Times New Roman"/>
                      <w:b w:val="0"/>
                      <w:bCs w:val="0"/>
                      <w:color w:val="auto"/>
                      <w:sz w:val="18"/>
                      <w:szCs w:val="18"/>
                      <w:highlight w:val="none"/>
                      <w:vertAlign w:val="baseline"/>
                      <w:lang w:val="en-US" w:eastAsia="zh-CN"/>
                    </w:rPr>
                    <w:t>抛丸</w:t>
                  </w:r>
                </w:p>
              </w:tc>
              <w:tc>
                <w:tcPr>
                  <w:tcW w:w="1034" w:type="dxa"/>
                  <w:tcBorders>
                    <w:tl2br w:val="nil"/>
                    <w:tr2bl w:val="nil"/>
                  </w:tcBorders>
                  <w:noWrap w:val="0"/>
                  <w:vAlign w:val="center"/>
                </w:tcPr>
                <w:p w14:paraId="5E44E48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lang w:eastAsia="zh-CN"/>
                    </w:rPr>
                  </w:pPr>
                  <w:r>
                    <w:rPr>
                      <w:rFonts w:hint="default" w:ascii="Times New Roman" w:hAnsi="Times New Roman" w:eastAsia="宋体" w:cs="Times New Roman"/>
                      <w:b w:val="0"/>
                      <w:bCs w:val="0"/>
                      <w:color w:val="auto"/>
                      <w:sz w:val="18"/>
                      <w:szCs w:val="18"/>
                      <w:highlight w:val="none"/>
                      <w:vertAlign w:val="baseline"/>
                      <w:lang w:eastAsia="zh-CN"/>
                    </w:rPr>
                    <w:t>颗粒物</w:t>
                  </w:r>
                </w:p>
              </w:tc>
              <w:tc>
                <w:tcPr>
                  <w:tcW w:w="1625" w:type="dxa"/>
                  <w:tcBorders>
                    <w:tl2br w:val="nil"/>
                    <w:tr2bl w:val="nil"/>
                  </w:tcBorders>
                  <w:noWrap w:val="0"/>
                  <w:vAlign w:val="center"/>
                </w:tcPr>
                <w:p w14:paraId="12E5649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30</w:t>
                  </w:r>
                </w:p>
              </w:tc>
              <w:tc>
                <w:tcPr>
                  <w:tcW w:w="1526" w:type="dxa"/>
                  <w:tcBorders>
                    <w:tl2br w:val="nil"/>
                    <w:tr2bl w:val="nil"/>
                  </w:tcBorders>
                  <w:noWrap w:val="0"/>
                  <w:vAlign w:val="center"/>
                </w:tcPr>
                <w:p w14:paraId="6FF0F36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387" w:type="dxa"/>
                  <w:tcBorders>
                    <w:tl2br w:val="nil"/>
                    <w:tr2bl w:val="nil"/>
                  </w:tcBorders>
                  <w:noWrap w:val="0"/>
                  <w:vAlign w:val="center"/>
                </w:tcPr>
                <w:p w14:paraId="770880D9">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873" w:type="dxa"/>
                  <w:vMerge w:val="restart"/>
                  <w:tcBorders>
                    <w:tl2br w:val="nil"/>
                    <w:tr2bl w:val="nil"/>
                  </w:tcBorders>
                  <w:noWrap w:val="0"/>
                  <w:vAlign w:val="center"/>
                </w:tcPr>
                <w:p w14:paraId="746CC19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rPr>
                  </w:pPr>
                  <w:r>
                    <w:rPr>
                      <w:rFonts w:hint="default" w:ascii="Times New Roman" w:hAnsi="Times New Roman" w:eastAsia="宋体" w:cs="Times New Roman"/>
                      <w:color w:val="auto"/>
                      <w:sz w:val="18"/>
                      <w:szCs w:val="18"/>
                      <w:highlight w:val="none"/>
                      <w:lang w:val="en-US" w:eastAsia="zh-CN"/>
                    </w:rPr>
                    <w:t>GB39726-2020</w:t>
                  </w:r>
                </w:p>
              </w:tc>
            </w:tr>
            <w:tr w14:paraId="0EC23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6" w:type="dxa"/>
                  <w:tcBorders>
                    <w:tl2br w:val="nil"/>
                    <w:tr2bl w:val="nil"/>
                  </w:tcBorders>
                  <w:noWrap w:val="0"/>
                  <w:vAlign w:val="center"/>
                </w:tcPr>
                <w:p w14:paraId="1233016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冲压</w:t>
                  </w:r>
                </w:p>
              </w:tc>
              <w:tc>
                <w:tcPr>
                  <w:tcW w:w="1034" w:type="dxa"/>
                  <w:tcBorders>
                    <w:tl2br w:val="nil"/>
                    <w:tr2bl w:val="nil"/>
                  </w:tcBorders>
                  <w:noWrap w:val="0"/>
                  <w:vAlign w:val="center"/>
                </w:tcPr>
                <w:p w14:paraId="7E2D302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lang w:eastAsia="zh-CN"/>
                    </w:rPr>
                  </w:pPr>
                  <w:r>
                    <w:rPr>
                      <w:rFonts w:hint="default" w:ascii="Times New Roman" w:hAnsi="Times New Roman" w:eastAsia="宋体" w:cs="Times New Roman"/>
                      <w:b w:val="0"/>
                      <w:bCs w:val="0"/>
                      <w:color w:val="auto"/>
                      <w:sz w:val="18"/>
                      <w:szCs w:val="18"/>
                      <w:highlight w:val="none"/>
                      <w:vertAlign w:val="baseline"/>
                      <w:lang w:eastAsia="zh-CN"/>
                    </w:rPr>
                    <w:t>颗粒物</w:t>
                  </w:r>
                </w:p>
              </w:tc>
              <w:tc>
                <w:tcPr>
                  <w:tcW w:w="1625" w:type="dxa"/>
                  <w:tcBorders>
                    <w:tl2br w:val="nil"/>
                    <w:tr2bl w:val="nil"/>
                  </w:tcBorders>
                  <w:noWrap w:val="0"/>
                  <w:vAlign w:val="center"/>
                </w:tcPr>
                <w:p w14:paraId="63BA915F">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30</w:t>
                  </w:r>
                </w:p>
              </w:tc>
              <w:tc>
                <w:tcPr>
                  <w:tcW w:w="1526" w:type="dxa"/>
                  <w:tcBorders>
                    <w:tl2br w:val="nil"/>
                    <w:tr2bl w:val="nil"/>
                  </w:tcBorders>
                  <w:shd w:val="clear" w:color="auto" w:fill="auto"/>
                  <w:noWrap w:val="0"/>
                  <w:vAlign w:val="center"/>
                </w:tcPr>
                <w:p w14:paraId="21B2E7C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387" w:type="dxa"/>
                  <w:tcBorders>
                    <w:tl2br w:val="nil"/>
                    <w:tr2bl w:val="nil"/>
                  </w:tcBorders>
                  <w:shd w:val="clear" w:color="auto" w:fill="auto"/>
                  <w:noWrap w:val="0"/>
                  <w:vAlign w:val="center"/>
                </w:tcPr>
                <w:p w14:paraId="31F2C08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873" w:type="dxa"/>
                  <w:vMerge w:val="continue"/>
                  <w:tcBorders>
                    <w:tl2br w:val="nil"/>
                    <w:tr2bl w:val="nil"/>
                  </w:tcBorders>
                  <w:noWrap w:val="0"/>
                  <w:vAlign w:val="center"/>
                </w:tcPr>
                <w:p w14:paraId="17DB12D4">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0628D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6" w:type="dxa"/>
                  <w:vMerge w:val="restart"/>
                  <w:tcBorders>
                    <w:tl2br w:val="nil"/>
                    <w:tr2bl w:val="nil"/>
                  </w:tcBorders>
                  <w:noWrap w:val="0"/>
                  <w:vAlign w:val="center"/>
                </w:tcPr>
                <w:p w14:paraId="3E27CA5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加热炉</w:t>
                  </w:r>
                </w:p>
              </w:tc>
              <w:tc>
                <w:tcPr>
                  <w:tcW w:w="1034" w:type="dxa"/>
                  <w:tcBorders>
                    <w:tl2br w:val="nil"/>
                    <w:tr2bl w:val="nil"/>
                  </w:tcBorders>
                  <w:shd w:val="clear" w:color="auto" w:fill="auto"/>
                  <w:noWrap w:val="0"/>
                  <w:vAlign w:val="center"/>
                </w:tcPr>
                <w:p w14:paraId="2BD0E6F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eastAsia="zh-CN"/>
                    </w:rPr>
                    <w:t>颗粒物</w:t>
                  </w:r>
                </w:p>
              </w:tc>
              <w:tc>
                <w:tcPr>
                  <w:tcW w:w="1625" w:type="dxa"/>
                  <w:tcBorders>
                    <w:tl2br w:val="nil"/>
                    <w:tr2bl w:val="nil"/>
                  </w:tcBorders>
                  <w:shd w:val="clear" w:color="auto" w:fill="auto"/>
                  <w:noWrap w:val="0"/>
                  <w:vAlign w:val="center"/>
                </w:tcPr>
                <w:p w14:paraId="70812D1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30</w:t>
                  </w:r>
                </w:p>
              </w:tc>
              <w:tc>
                <w:tcPr>
                  <w:tcW w:w="1526" w:type="dxa"/>
                  <w:tcBorders>
                    <w:tl2br w:val="nil"/>
                    <w:tr2bl w:val="nil"/>
                  </w:tcBorders>
                  <w:shd w:val="clear" w:color="auto" w:fill="auto"/>
                  <w:noWrap w:val="0"/>
                  <w:vAlign w:val="center"/>
                </w:tcPr>
                <w:p w14:paraId="6245D51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387" w:type="dxa"/>
                  <w:tcBorders>
                    <w:tl2br w:val="nil"/>
                    <w:tr2bl w:val="nil"/>
                  </w:tcBorders>
                  <w:shd w:val="clear" w:color="auto" w:fill="auto"/>
                  <w:noWrap w:val="0"/>
                  <w:vAlign w:val="center"/>
                </w:tcPr>
                <w:p w14:paraId="61696DBD">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873" w:type="dxa"/>
                  <w:vMerge w:val="restart"/>
                  <w:tcBorders>
                    <w:tl2br w:val="nil"/>
                    <w:tr2bl w:val="nil"/>
                  </w:tcBorders>
                  <w:noWrap w:val="0"/>
                  <w:vAlign w:val="center"/>
                </w:tcPr>
                <w:p w14:paraId="397D662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《福建省工业炉窑大气污染综合治理方案》中鼓励采用的排放限值</w:t>
                  </w:r>
                </w:p>
              </w:tc>
            </w:tr>
            <w:tr w14:paraId="73852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6" w:type="dxa"/>
                  <w:vMerge w:val="continue"/>
                  <w:tcBorders>
                    <w:tl2br w:val="nil"/>
                    <w:tr2bl w:val="nil"/>
                  </w:tcBorders>
                  <w:noWrap w:val="0"/>
                  <w:vAlign w:val="center"/>
                </w:tcPr>
                <w:p w14:paraId="3AE39932">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eastAsia" w:cs="Times New Roman"/>
                      <w:b w:val="0"/>
                      <w:bCs w:val="0"/>
                      <w:color w:val="auto"/>
                      <w:sz w:val="18"/>
                      <w:szCs w:val="18"/>
                      <w:highlight w:val="none"/>
                      <w:vertAlign w:val="baseline"/>
                      <w:lang w:val="en-US" w:eastAsia="zh-CN"/>
                    </w:rPr>
                  </w:pPr>
                </w:p>
              </w:tc>
              <w:tc>
                <w:tcPr>
                  <w:tcW w:w="1034" w:type="dxa"/>
                  <w:tcBorders>
                    <w:tl2br w:val="nil"/>
                    <w:tr2bl w:val="nil"/>
                  </w:tcBorders>
                  <w:shd w:val="clear" w:color="auto" w:fill="auto"/>
                  <w:noWrap w:val="0"/>
                  <w:vAlign w:val="center"/>
                </w:tcPr>
                <w:p w14:paraId="35662B0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二氧化硫</w:t>
                  </w:r>
                </w:p>
              </w:tc>
              <w:tc>
                <w:tcPr>
                  <w:tcW w:w="1625" w:type="dxa"/>
                  <w:tcBorders>
                    <w:tl2br w:val="nil"/>
                    <w:tr2bl w:val="nil"/>
                  </w:tcBorders>
                  <w:shd w:val="clear" w:color="auto" w:fill="auto"/>
                  <w:noWrap w:val="0"/>
                  <w:vAlign w:val="center"/>
                </w:tcPr>
                <w:p w14:paraId="7BC0D88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200</w:t>
                  </w:r>
                </w:p>
              </w:tc>
              <w:tc>
                <w:tcPr>
                  <w:tcW w:w="1526" w:type="dxa"/>
                  <w:tcBorders>
                    <w:tl2br w:val="nil"/>
                    <w:tr2bl w:val="nil"/>
                  </w:tcBorders>
                  <w:shd w:val="clear" w:color="auto" w:fill="auto"/>
                  <w:noWrap w:val="0"/>
                  <w:vAlign w:val="center"/>
                </w:tcPr>
                <w:p w14:paraId="484C330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387" w:type="dxa"/>
                  <w:tcBorders>
                    <w:tl2br w:val="nil"/>
                    <w:tr2bl w:val="nil"/>
                  </w:tcBorders>
                  <w:shd w:val="clear" w:color="auto" w:fill="auto"/>
                  <w:noWrap w:val="0"/>
                  <w:vAlign w:val="center"/>
                </w:tcPr>
                <w:p w14:paraId="21C068B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873" w:type="dxa"/>
                  <w:vMerge w:val="continue"/>
                  <w:tcBorders>
                    <w:tl2br w:val="nil"/>
                    <w:tr2bl w:val="nil"/>
                  </w:tcBorders>
                  <w:noWrap w:val="0"/>
                  <w:vAlign w:val="center"/>
                </w:tcPr>
                <w:p w14:paraId="3B71FF5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p>
              </w:tc>
            </w:tr>
            <w:tr w14:paraId="483D8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6" w:type="dxa"/>
                  <w:vMerge w:val="continue"/>
                  <w:tcBorders>
                    <w:tl2br w:val="nil"/>
                    <w:tr2bl w:val="nil"/>
                  </w:tcBorders>
                  <w:noWrap w:val="0"/>
                  <w:vAlign w:val="center"/>
                </w:tcPr>
                <w:p w14:paraId="3D1EE0E1">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cs="Times New Roman"/>
                      <w:b w:val="0"/>
                      <w:bCs w:val="0"/>
                      <w:color w:val="auto"/>
                      <w:sz w:val="18"/>
                      <w:szCs w:val="18"/>
                      <w:highlight w:val="none"/>
                      <w:vertAlign w:val="baseline"/>
                      <w:lang w:val="en-US" w:eastAsia="zh-CN"/>
                    </w:rPr>
                  </w:pPr>
                </w:p>
              </w:tc>
              <w:tc>
                <w:tcPr>
                  <w:tcW w:w="1034" w:type="dxa"/>
                  <w:tcBorders>
                    <w:tl2br w:val="nil"/>
                    <w:tr2bl w:val="nil"/>
                  </w:tcBorders>
                  <w:shd w:val="clear" w:color="auto" w:fill="auto"/>
                  <w:noWrap w:val="0"/>
                  <w:vAlign w:val="center"/>
                </w:tcPr>
                <w:p w14:paraId="7DC1C4A0">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氮氧化物</w:t>
                  </w:r>
                </w:p>
              </w:tc>
              <w:tc>
                <w:tcPr>
                  <w:tcW w:w="1625" w:type="dxa"/>
                  <w:tcBorders>
                    <w:tl2br w:val="nil"/>
                    <w:tr2bl w:val="nil"/>
                  </w:tcBorders>
                  <w:shd w:val="clear" w:color="auto" w:fill="auto"/>
                  <w:noWrap w:val="0"/>
                  <w:vAlign w:val="center"/>
                </w:tcPr>
                <w:p w14:paraId="0B4E6248">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300</w:t>
                  </w:r>
                </w:p>
              </w:tc>
              <w:tc>
                <w:tcPr>
                  <w:tcW w:w="1526" w:type="dxa"/>
                  <w:tcBorders>
                    <w:tl2br w:val="nil"/>
                    <w:tr2bl w:val="nil"/>
                  </w:tcBorders>
                  <w:shd w:val="clear" w:color="auto" w:fill="auto"/>
                  <w:noWrap w:val="0"/>
                  <w:vAlign w:val="center"/>
                </w:tcPr>
                <w:p w14:paraId="2159E873">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ascii="Times New Roman" w:hAnsi="Times New Roman" w:eastAsia="宋体" w:cs="Times New Roman"/>
                      <w:b w:val="0"/>
                      <w:bCs w:val="0"/>
                      <w:color w:val="auto"/>
                      <w:sz w:val="18"/>
                      <w:szCs w:val="18"/>
                      <w:highlight w:val="none"/>
                      <w:vertAlign w:val="baseline"/>
                      <w:lang w:val="en-US" w:eastAsia="zh-CN"/>
                    </w:rPr>
                    <w:t>/</w:t>
                  </w:r>
                </w:p>
              </w:tc>
              <w:tc>
                <w:tcPr>
                  <w:tcW w:w="1387" w:type="dxa"/>
                  <w:tcBorders>
                    <w:tl2br w:val="nil"/>
                    <w:tr2bl w:val="nil"/>
                  </w:tcBorders>
                  <w:shd w:val="clear" w:color="auto" w:fill="auto"/>
                  <w:noWrap w:val="0"/>
                  <w:vAlign w:val="center"/>
                </w:tcPr>
                <w:p w14:paraId="6B6F1066">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default" w:ascii="Times New Roman" w:hAnsi="Times New Roman" w:eastAsia="宋体" w:cs="Times New Roman"/>
                      <w:b w:val="0"/>
                      <w:bCs w:val="0"/>
                      <w:color w:val="auto"/>
                      <w:sz w:val="18"/>
                      <w:szCs w:val="18"/>
                      <w:highlight w:val="none"/>
                      <w:vertAlign w:val="baseline"/>
                      <w:lang w:val="en-US" w:eastAsia="zh-CN"/>
                    </w:rPr>
                    <w:t>/</w:t>
                  </w:r>
                </w:p>
              </w:tc>
              <w:tc>
                <w:tcPr>
                  <w:tcW w:w="1873" w:type="dxa"/>
                  <w:vMerge w:val="continue"/>
                  <w:tcBorders>
                    <w:tl2br w:val="nil"/>
                    <w:tr2bl w:val="nil"/>
                  </w:tcBorders>
                  <w:noWrap w:val="0"/>
                  <w:vAlign w:val="center"/>
                </w:tcPr>
                <w:p w14:paraId="67BD9E8B">
                  <w:pPr>
                    <w:keepNext/>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18"/>
                      <w:szCs w:val="18"/>
                      <w:highlight w:val="none"/>
                      <w:lang w:val="en-US" w:eastAsia="zh-CN"/>
                    </w:rPr>
                  </w:pPr>
                </w:p>
              </w:tc>
            </w:tr>
          </w:tbl>
          <w:p w14:paraId="6C6E7B08">
            <w:pPr>
              <w:keepNext/>
              <w:keepLines w:val="0"/>
              <w:pageBreakBefore w:val="0"/>
              <w:widowControl w:val="0"/>
              <w:numPr>
                <w:ilvl w:val="0"/>
                <w:numId w:val="10"/>
              </w:numPr>
              <w:kinsoku/>
              <w:wordWrap/>
              <w:overflowPunct/>
              <w:topLinePunct w:val="0"/>
              <w:autoSpaceDE/>
              <w:autoSpaceDN/>
              <w:bidi w:val="0"/>
              <w:adjustRightInd w:val="0"/>
              <w:snapToGrid w:val="0"/>
              <w:spacing w:before="157" w:beforeLines="50" w:line="360" w:lineRule="auto"/>
              <w:ind w:leftChars="0" w:firstLine="480" w:firstLineChars="200"/>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无组织废气</w:t>
            </w:r>
          </w:p>
          <w:p w14:paraId="06195C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①厂区内</w:t>
            </w:r>
          </w:p>
          <w:p w14:paraId="282920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eastAsia="zh-CN"/>
              </w:rPr>
            </w:pPr>
            <w:r>
              <w:rPr>
                <w:rFonts w:hint="eastAsia"/>
                <w:color w:val="auto"/>
                <w:sz w:val="24"/>
                <w:szCs w:val="24"/>
                <w:lang w:val="en-US" w:eastAsia="zh-CN"/>
              </w:rPr>
              <w:t>厂区内</w:t>
            </w:r>
            <w:r>
              <w:rPr>
                <w:rFonts w:hint="eastAsia"/>
                <w:color w:val="auto"/>
                <w:sz w:val="24"/>
                <w:szCs w:val="24"/>
                <w:lang w:eastAsia="zh-CN"/>
              </w:rPr>
              <w:t>颗粒物、</w:t>
            </w:r>
            <w:r>
              <w:rPr>
                <w:rFonts w:hint="eastAsia"/>
                <w:color w:val="auto"/>
                <w:sz w:val="24"/>
                <w:szCs w:val="24"/>
                <w:lang w:val="en-US" w:eastAsia="zh-CN"/>
              </w:rPr>
              <w:t>非甲烷总烃</w:t>
            </w:r>
            <w:r>
              <w:rPr>
                <w:rFonts w:hint="eastAsia"/>
                <w:color w:val="auto"/>
                <w:sz w:val="24"/>
                <w:szCs w:val="24"/>
                <w:lang w:eastAsia="zh-CN"/>
              </w:rPr>
              <w:t>无组织排放执行《铸造工业大气污染物排放标准》（GB39726-2020）附录A、《工业涂装工序挥发性有机物排放标准》（DB35/1783</w:t>
            </w:r>
            <w:r>
              <w:rPr>
                <w:rFonts w:hint="eastAsia"/>
                <w:color w:val="auto"/>
                <w:sz w:val="24"/>
                <w:szCs w:val="24"/>
                <w:lang w:val="en-US" w:eastAsia="zh-CN"/>
              </w:rPr>
              <w:t>-</w:t>
            </w:r>
            <w:r>
              <w:rPr>
                <w:rFonts w:hint="eastAsia"/>
                <w:color w:val="auto"/>
                <w:sz w:val="24"/>
                <w:szCs w:val="24"/>
                <w:lang w:eastAsia="zh-CN"/>
              </w:rPr>
              <w:t>2018）</w:t>
            </w:r>
            <w:r>
              <w:rPr>
                <w:rFonts w:hint="eastAsia"/>
                <w:color w:val="auto"/>
                <w:sz w:val="24"/>
                <w:szCs w:val="24"/>
                <w:lang w:val="en-US" w:eastAsia="zh-CN"/>
              </w:rPr>
              <w:t>表3</w:t>
            </w:r>
            <w:r>
              <w:rPr>
                <w:rFonts w:hint="eastAsia"/>
                <w:color w:val="auto"/>
                <w:sz w:val="24"/>
                <w:szCs w:val="24"/>
                <w:lang w:eastAsia="zh-CN"/>
              </w:rPr>
              <w:t>的厂区内排放限值。</w:t>
            </w:r>
          </w:p>
          <w:p w14:paraId="3A8BEB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②厂界</w:t>
            </w:r>
          </w:p>
          <w:p w14:paraId="562D08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lang w:eastAsia="zh-CN"/>
              </w:rPr>
              <w:t>厂界非甲烷总烃、</w:t>
            </w:r>
            <w:r>
              <w:rPr>
                <w:rFonts w:hint="eastAsia"/>
                <w:color w:val="auto"/>
                <w:sz w:val="24"/>
                <w:szCs w:val="24"/>
                <w:lang w:val="en-US" w:eastAsia="zh-CN"/>
              </w:rPr>
              <w:t>颗粒物</w:t>
            </w:r>
            <w:r>
              <w:rPr>
                <w:rFonts w:hint="eastAsia"/>
                <w:color w:val="auto"/>
                <w:sz w:val="24"/>
                <w:szCs w:val="24"/>
                <w:lang w:eastAsia="zh-CN"/>
              </w:rPr>
              <w:t>无组织排放</w:t>
            </w:r>
            <w:r>
              <w:rPr>
                <w:rFonts w:hint="eastAsia"/>
                <w:color w:val="auto"/>
                <w:sz w:val="24"/>
                <w:szCs w:val="24"/>
                <w:lang w:val="en-US" w:eastAsia="zh-CN"/>
              </w:rPr>
              <w:t>从严</w:t>
            </w:r>
            <w:r>
              <w:rPr>
                <w:rFonts w:hint="eastAsia"/>
                <w:color w:val="auto"/>
                <w:sz w:val="24"/>
                <w:szCs w:val="24"/>
                <w:lang w:eastAsia="zh-CN"/>
              </w:rPr>
              <w:t>执行</w:t>
            </w:r>
            <w:r>
              <w:rPr>
                <w:rFonts w:hint="eastAsia"/>
                <w:color w:val="auto"/>
                <w:sz w:val="24"/>
                <w:szCs w:val="24"/>
                <w:highlight w:val="none"/>
                <w:lang w:val="en-US" w:eastAsia="zh-CN"/>
              </w:rPr>
              <w:t>《合成树脂工业污染物排放标准》（GB31572-2015）及含2024年修改单、《大气污染物综合排放标准》（GB16297-1996）表2二级标准、</w:t>
            </w:r>
            <w:r>
              <w:rPr>
                <w:rFonts w:hint="eastAsia"/>
                <w:color w:val="auto"/>
                <w:sz w:val="24"/>
                <w:szCs w:val="24"/>
                <w:lang w:eastAsia="zh-CN"/>
              </w:rPr>
              <w:t>《工业涂装工序挥发性有机物排放标准》（DB35/1783</w:t>
            </w:r>
            <w:r>
              <w:rPr>
                <w:rFonts w:hint="eastAsia"/>
                <w:color w:val="auto"/>
                <w:sz w:val="24"/>
                <w:szCs w:val="24"/>
                <w:lang w:val="en-US" w:eastAsia="zh-CN"/>
              </w:rPr>
              <w:t>-</w:t>
            </w:r>
            <w:r>
              <w:rPr>
                <w:rFonts w:hint="eastAsia"/>
                <w:color w:val="auto"/>
                <w:sz w:val="24"/>
                <w:szCs w:val="24"/>
                <w:lang w:eastAsia="zh-CN"/>
              </w:rPr>
              <w:t>2018）</w:t>
            </w:r>
            <w:r>
              <w:rPr>
                <w:rFonts w:hint="eastAsia"/>
                <w:color w:val="auto"/>
                <w:sz w:val="24"/>
                <w:szCs w:val="24"/>
                <w:lang w:val="en-US" w:eastAsia="zh-CN"/>
              </w:rPr>
              <w:t>表4标准限值、《挥发性有机物无组织排放控制标准》（GB37822-2019）相关要求，臭气浓度执行《恶臭污染物排放标准》（GB14554-1993）</w:t>
            </w:r>
            <w:r>
              <w:rPr>
                <w:rFonts w:hint="eastAsia"/>
                <w:color w:val="auto"/>
                <w:sz w:val="24"/>
                <w:szCs w:val="24"/>
                <w:highlight w:val="none"/>
                <w:lang w:val="en-US" w:eastAsia="zh-CN"/>
              </w:rPr>
              <w:t>。</w:t>
            </w:r>
          </w:p>
          <w:p w14:paraId="61CFD4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p>
          <w:p w14:paraId="14E1FD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p>
          <w:p w14:paraId="203C6C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p>
          <w:p w14:paraId="3CE1D219">
            <w:pPr>
              <w:keepNext/>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表</w:t>
            </w: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eastAsia="zh-CN"/>
              </w:rPr>
              <w:t>无组织废气</w:t>
            </w:r>
            <w:r>
              <w:rPr>
                <w:rFonts w:hint="default" w:ascii="Times New Roman" w:hAnsi="Times New Roman" w:eastAsia="宋体" w:cs="Times New Roman"/>
                <w:b/>
                <w:bCs/>
                <w:color w:val="auto"/>
                <w:sz w:val="24"/>
                <w:szCs w:val="24"/>
                <w:highlight w:val="none"/>
              </w:rPr>
              <w:t>排放标准</w:t>
            </w:r>
          </w:p>
          <w:tbl>
            <w:tblPr>
              <w:tblStyle w:val="29"/>
              <w:tblW w:w="4975" w:type="pct"/>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1164"/>
              <w:gridCol w:w="3709"/>
              <w:gridCol w:w="1683"/>
              <w:gridCol w:w="1831"/>
            </w:tblGrid>
            <w:tr w14:paraId="485A392C">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3" w:type="dxa"/>
                  <w:vMerge w:val="restart"/>
                  <w:tcBorders>
                    <w:top w:val="single" w:color="000000" w:sz="12" w:space="0"/>
                    <w:bottom w:val="single" w:color="000000" w:sz="4" w:space="0"/>
                    <w:right w:val="single" w:color="000000" w:sz="4" w:space="0"/>
                  </w:tcBorders>
                  <w:noWrap w:val="0"/>
                  <w:vAlign w:val="center"/>
                </w:tcPr>
                <w:p w14:paraId="6F0AEB58">
                  <w:pPr>
                    <w:pStyle w:val="157"/>
                    <w:ind w:firstLine="0" w:firstLineChars="0"/>
                    <w:jc w:val="center"/>
                    <w:rPr>
                      <w:b/>
                      <w:bCs/>
                      <w:color w:val="auto"/>
                      <w:sz w:val="21"/>
                      <w:szCs w:val="21"/>
                    </w:rPr>
                  </w:pPr>
                  <w:r>
                    <w:rPr>
                      <w:b/>
                      <w:bCs/>
                      <w:color w:val="auto"/>
                      <w:sz w:val="21"/>
                      <w:szCs w:val="21"/>
                    </w:rPr>
                    <w:t>污染物</w:t>
                  </w:r>
                </w:p>
              </w:tc>
              <w:tc>
                <w:tcPr>
                  <w:tcW w:w="5388" w:type="dxa"/>
                  <w:gridSpan w:val="2"/>
                  <w:tcBorders>
                    <w:top w:val="single" w:color="000000" w:sz="12" w:space="0"/>
                    <w:left w:val="single" w:color="000000" w:sz="4" w:space="0"/>
                    <w:bottom w:val="single" w:color="000000" w:sz="4" w:space="0"/>
                    <w:right w:val="single" w:color="000000" w:sz="4" w:space="0"/>
                  </w:tcBorders>
                  <w:noWrap w:val="0"/>
                  <w:vAlign w:val="center"/>
                </w:tcPr>
                <w:p w14:paraId="1E317C7A">
                  <w:pPr>
                    <w:pStyle w:val="157"/>
                    <w:ind w:firstLine="0" w:firstLineChars="0"/>
                    <w:rPr>
                      <w:b/>
                      <w:bCs/>
                      <w:color w:val="auto"/>
                      <w:sz w:val="21"/>
                      <w:szCs w:val="21"/>
                    </w:rPr>
                  </w:pPr>
                  <w:r>
                    <w:rPr>
                      <w:b/>
                      <w:bCs/>
                      <w:color w:val="auto"/>
                      <w:sz w:val="21"/>
                      <w:szCs w:val="21"/>
                    </w:rPr>
                    <w:t>无组织排放监控浓度限值</w:t>
                  </w:r>
                </w:p>
              </w:tc>
              <w:tc>
                <w:tcPr>
                  <w:tcW w:w="1829" w:type="dxa"/>
                  <w:vMerge w:val="restart"/>
                  <w:tcBorders>
                    <w:top w:val="single" w:color="000000" w:sz="12" w:space="0"/>
                    <w:left w:val="single" w:color="000000" w:sz="4" w:space="0"/>
                    <w:bottom w:val="single" w:color="000000" w:sz="4" w:space="0"/>
                    <w:right w:val="nil"/>
                  </w:tcBorders>
                  <w:noWrap w:val="0"/>
                  <w:vAlign w:val="center"/>
                </w:tcPr>
                <w:p w14:paraId="5970AA41">
                  <w:pPr>
                    <w:pStyle w:val="157"/>
                    <w:keepNext w:val="0"/>
                    <w:keepLines w:val="0"/>
                    <w:pageBreakBefore w:val="0"/>
                    <w:widowControl/>
                    <w:kinsoku/>
                    <w:wordWrap/>
                    <w:overflowPunct/>
                    <w:topLinePunct w:val="0"/>
                    <w:autoSpaceDE/>
                    <w:autoSpaceDN/>
                    <w:bidi w:val="0"/>
                    <w:adjustRightInd/>
                    <w:snapToGrid/>
                    <w:ind w:firstLine="0" w:firstLineChars="0"/>
                    <w:textAlignment w:val="auto"/>
                    <w:rPr>
                      <w:b/>
                      <w:bCs/>
                      <w:color w:val="auto"/>
                      <w:sz w:val="21"/>
                      <w:szCs w:val="21"/>
                    </w:rPr>
                  </w:pPr>
                  <w:r>
                    <w:rPr>
                      <w:rFonts w:hint="eastAsia" w:cs="Times New Roman"/>
                      <w:b/>
                      <w:bCs/>
                      <w:color w:val="auto"/>
                      <w:sz w:val="21"/>
                      <w:szCs w:val="21"/>
                      <w:highlight w:val="none"/>
                      <w:vertAlign w:val="baseline"/>
                      <w:lang w:val="en-US" w:eastAsia="zh-CN"/>
                    </w:rPr>
                    <w:t>标准</w:t>
                  </w:r>
                  <w:r>
                    <w:rPr>
                      <w:rFonts w:hint="default" w:ascii="Times New Roman" w:hAnsi="Times New Roman" w:eastAsia="宋体" w:cs="Times New Roman"/>
                      <w:b/>
                      <w:bCs/>
                      <w:color w:val="auto"/>
                      <w:sz w:val="21"/>
                      <w:szCs w:val="21"/>
                      <w:highlight w:val="none"/>
                      <w:vertAlign w:val="baseline"/>
                      <w:lang w:eastAsia="zh-CN"/>
                    </w:rPr>
                    <w:t>来源</w:t>
                  </w:r>
                </w:p>
              </w:tc>
            </w:tr>
            <w:tr w14:paraId="0DF1D540">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3" w:type="dxa"/>
                  <w:vMerge w:val="continue"/>
                  <w:tcBorders>
                    <w:top w:val="single" w:color="000000" w:sz="4" w:space="0"/>
                    <w:left w:val="nil"/>
                    <w:bottom w:val="single" w:color="000000" w:sz="4" w:space="0"/>
                    <w:right w:val="single" w:color="000000" w:sz="4" w:space="0"/>
                  </w:tcBorders>
                  <w:noWrap w:val="0"/>
                  <w:vAlign w:val="center"/>
                </w:tcPr>
                <w:p w14:paraId="29E1522C">
                  <w:pPr>
                    <w:pStyle w:val="157"/>
                    <w:ind w:firstLine="0" w:firstLineChars="0"/>
                    <w:rPr>
                      <w:b/>
                      <w:bCs/>
                      <w:color w:val="auto"/>
                      <w:sz w:val="21"/>
                      <w:szCs w:val="21"/>
                    </w:rPr>
                  </w:pPr>
                </w:p>
              </w:tc>
              <w:tc>
                <w:tcPr>
                  <w:tcW w:w="3706" w:type="dxa"/>
                  <w:tcBorders>
                    <w:top w:val="single" w:color="000000" w:sz="4" w:space="0"/>
                    <w:left w:val="single" w:color="000000" w:sz="4" w:space="0"/>
                    <w:bottom w:val="single" w:color="000000" w:sz="4" w:space="0"/>
                    <w:right w:val="single" w:color="000000" w:sz="4" w:space="0"/>
                  </w:tcBorders>
                  <w:noWrap w:val="0"/>
                  <w:vAlign w:val="center"/>
                </w:tcPr>
                <w:p w14:paraId="413A02F7">
                  <w:pPr>
                    <w:pStyle w:val="157"/>
                    <w:keepNext w:val="0"/>
                    <w:keepLines w:val="0"/>
                    <w:pageBreakBefore w:val="0"/>
                    <w:widowControl/>
                    <w:kinsoku/>
                    <w:wordWrap/>
                    <w:overflowPunct/>
                    <w:topLinePunct w:val="0"/>
                    <w:autoSpaceDE/>
                    <w:autoSpaceDN/>
                    <w:bidi w:val="0"/>
                    <w:adjustRightInd/>
                    <w:snapToGrid/>
                    <w:ind w:firstLine="0" w:firstLineChars="0"/>
                    <w:textAlignment w:val="auto"/>
                    <w:rPr>
                      <w:b/>
                      <w:bCs/>
                      <w:color w:val="auto"/>
                      <w:sz w:val="21"/>
                      <w:szCs w:val="21"/>
                    </w:rPr>
                  </w:pPr>
                  <w:r>
                    <w:rPr>
                      <w:b/>
                      <w:bCs/>
                      <w:color w:val="auto"/>
                      <w:sz w:val="21"/>
                      <w:szCs w:val="21"/>
                    </w:rPr>
                    <w:t>监控点</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14:paraId="58C8D13F">
                  <w:pPr>
                    <w:pStyle w:val="157"/>
                    <w:keepNext w:val="0"/>
                    <w:keepLines w:val="0"/>
                    <w:pageBreakBefore w:val="0"/>
                    <w:widowControl/>
                    <w:kinsoku/>
                    <w:wordWrap/>
                    <w:overflowPunct/>
                    <w:topLinePunct w:val="0"/>
                    <w:autoSpaceDE/>
                    <w:autoSpaceDN/>
                    <w:bidi w:val="0"/>
                    <w:adjustRightInd/>
                    <w:snapToGrid/>
                    <w:ind w:firstLine="0" w:firstLineChars="0"/>
                    <w:textAlignment w:val="auto"/>
                    <w:rPr>
                      <w:b/>
                      <w:bCs/>
                      <w:color w:val="auto"/>
                      <w:sz w:val="21"/>
                      <w:szCs w:val="21"/>
                    </w:rPr>
                  </w:pPr>
                  <w:r>
                    <w:rPr>
                      <w:b/>
                      <w:bCs/>
                      <w:color w:val="auto"/>
                      <w:sz w:val="21"/>
                      <w:szCs w:val="21"/>
                    </w:rPr>
                    <w:t>浓度（mg/m</w:t>
                  </w:r>
                  <w:r>
                    <w:rPr>
                      <w:b/>
                      <w:bCs/>
                      <w:color w:val="auto"/>
                      <w:sz w:val="21"/>
                      <w:szCs w:val="21"/>
                      <w:vertAlign w:val="superscript"/>
                    </w:rPr>
                    <w:t>3</w:t>
                  </w:r>
                  <w:r>
                    <w:rPr>
                      <w:b/>
                      <w:bCs/>
                      <w:color w:val="auto"/>
                      <w:sz w:val="21"/>
                      <w:szCs w:val="21"/>
                    </w:rPr>
                    <w:t>）</w:t>
                  </w:r>
                </w:p>
              </w:tc>
              <w:tc>
                <w:tcPr>
                  <w:tcW w:w="1829" w:type="dxa"/>
                  <w:vMerge w:val="continue"/>
                  <w:tcBorders>
                    <w:top w:val="single" w:color="000000" w:sz="4" w:space="0"/>
                    <w:left w:val="single" w:color="000000" w:sz="4" w:space="0"/>
                    <w:bottom w:val="single" w:color="000000" w:sz="4" w:space="0"/>
                    <w:right w:val="nil"/>
                  </w:tcBorders>
                  <w:noWrap w:val="0"/>
                  <w:vAlign w:val="center"/>
                </w:tcPr>
                <w:p w14:paraId="7F9CAAB0">
                  <w:pPr>
                    <w:pStyle w:val="157"/>
                    <w:ind w:firstLine="0" w:firstLineChars="0"/>
                    <w:rPr>
                      <w:b/>
                      <w:bCs/>
                      <w:color w:val="auto"/>
                      <w:sz w:val="21"/>
                      <w:szCs w:val="21"/>
                    </w:rPr>
                  </w:pPr>
                </w:p>
              </w:tc>
            </w:tr>
            <w:tr w14:paraId="10389F9F">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3" w:type="dxa"/>
                  <w:vMerge w:val="restart"/>
                  <w:tcBorders>
                    <w:top w:val="single" w:color="000000" w:sz="4" w:space="0"/>
                    <w:left w:val="nil"/>
                    <w:bottom w:val="single" w:color="000000" w:sz="4" w:space="0"/>
                    <w:right w:val="single" w:color="000000" w:sz="4" w:space="0"/>
                  </w:tcBorders>
                  <w:noWrap w:val="0"/>
                  <w:vAlign w:val="center"/>
                </w:tcPr>
                <w:p w14:paraId="573760D9">
                  <w:pPr>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颗粒物</w:t>
                  </w:r>
                </w:p>
              </w:tc>
              <w:tc>
                <w:tcPr>
                  <w:tcW w:w="3706" w:type="dxa"/>
                  <w:tcBorders>
                    <w:top w:val="single" w:color="000000" w:sz="4" w:space="0"/>
                    <w:left w:val="single" w:color="000000" w:sz="4" w:space="0"/>
                    <w:bottom w:val="single" w:color="000000" w:sz="4" w:space="0"/>
                    <w:right w:val="single" w:color="000000" w:sz="4" w:space="0"/>
                  </w:tcBorders>
                  <w:noWrap w:val="0"/>
                  <w:vAlign w:val="center"/>
                </w:tcPr>
                <w:p w14:paraId="4CE47B70">
                  <w:pPr>
                    <w:pStyle w:val="157"/>
                    <w:ind w:firstLine="0" w:firstLineChars="0"/>
                    <w:rPr>
                      <w:rFonts w:hint="eastAsia" w:eastAsia="宋体"/>
                      <w:color w:val="auto"/>
                      <w:sz w:val="21"/>
                      <w:szCs w:val="21"/>
                      <w:lang w:eastAsia="zh-CN"/>
                    </w:rPr>
                  </w:pPr>
                  <w:r>
                    <w:rPr>
                      <w:rFonts w:hint="eastAsia"/>
                      <w:color w:val="auto"/>
                      <w:sz w:val="21"/>
                      <w:szCs w:val="21"/>
                      <w:lang w:eastAsia="zh-CN"/>
                    </w:rPr>
                    <w:t>周界外浓度最高点</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14:paraId="7A75E828">
                  <w:pPr>
                    <w:pStyle w:val="157"/>
                    <w:ind w:firstLine="0" w:firstLineChars="0"/>
                    <w:rPr>
                      <w:color w:val="auto"/>
                      <w:sz w:val="21"/>
                      <w:szCs w:val="21"/>
                    </w:rPr>
                  </w:pPr>
                  <w:r>
                    <w:rPr>
                      <w:color w:val="auto"/>
                      <w:sz w:val="21"/>
                      <w:szCs w:val="21"/>
                    </w:rPr>
                    <w:t>1.0</w:t>
                  </w:r>
                </w:p>
              </w:tc>
              <w:tc>
                <w:tcPr>
                  <w:tcW w:w="1829" w:type="dxa"/>
                  <w:tcBorders>
                    <w:top w:val="single" w:color="000000" w:sz="4" w:space="0"/>
                    <w:left w:val="single" w:color="000000" w:sz="4" w:space="0"/>
                    <w:bottom w:val="single" w:color="000000" w:sz="4" w:space="0"/>
                    <w:right w:val="nil"/>
                  </w:tcBorders>
                  <w:noWrap w:val="0"/>
                  <w:vAlign w:val="center"/>
                </w:tcPr>
                <w:p w14:paraId="71FB0EF3">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eastAsia"/>
                      <w:color w:val="auto"/>
                      <w:sz w:val="21"/>
                      <w:szCs w:val="21"/>
                      <w:highlight w:val="none"/>
                      <w:lang w:eastAsia="zh-CN"/>
                    </w:rPr>
                  </w:pPr>
                  <w:r>
                    <w:rPr>
                      <w:rFonts w:hint="eastAsia"/>
                      <w:color w:val="auto"/>
                      <w:sz w:val="21"/>
                      <w:szCs w:val="21"/>
                      <w:highlight w:val="none"/>
                      <w:lang w:eastAsia="zh-CN"/>
                    </w:rPr>
                    <w:t>GB16297-1996</w:t>
                  </w:r>
                </w:p>
                <w:p w14:paraId="53B438B5">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eastAsia"/>
                      <w:color w:val="auto"/>
                      <w:sz w:val="21"/>
                      <w:szCs w:val="21"/>
                      <w:highlight w:val="none"/>
                      <w:lang w:eastAsia="zh-CN"/>
                    </w:rPr>
                  </w:pPr>
                  <w:r>
                    <w:rPr>
                      <w:rFonts w:hint="eastAsia"/>
                      <w:color w:val="auto"/>
                      <w:sz w:val="21"/>
                      <w:szCs w:val="21"/>
                      <w:highlight w:val="none"/>
                      <w:lang w:eastAsia="zh-CN"/>
                    </w:rPr>
                    <w:t>GB31572-2015</w:t>
                  </w:r>
                </w:p>
              </w:tc>
            </w:tr>
            <w:tr w14:paraId="5841678E">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PrEx>
              <w:trPr>
                <w:trHeight w:val="397" w:hRule="atLeast"/>
                <w:jc w:val="center"/>
              </w:trPr>
              <w:tc>
                <w:tcPr>
                  <w:tcW w:w="1163" w:type="dxa"/>
                  <w:vMerge w:val="continue"/>
                  <w:tcBorders>
                    <w:top w:val="single" w:color="000000" w:sz="4" w:space="0"/>
                    <w:left w:val="nil"/>
                    <w:bottom w:val="single" w:color="000000" w:sz="4" w:space="0"/>
                    <w:right w:val="single" w:color="000000" w:sz="4" w:space="0"/>
                  </w:tcBorders>
                  <w:noWrap w:val="0"/>
                  <w:vAlign w:val="center"/>
                </w:tcPr>
                <w:p w14:paraId="5C8C9FAD">
                  <w:pPr>
                    <w:widowControl/>
                    <w:spacing w:line="240" w:lineRule="auto"/>
                    <w:ind w:firstLine="0" w:firstLineChars="0"/>
                    <w:jc w:val="center"/>
                    <w:rPr>
                      <w:rFonts w:ascii="Times New Roman" w:hAnsi="Times New Roman"/>
                      <w:color w:val="auto"/>
                      <w:sz w:val="21"/>
                      <w:szCs w:val="21"/>
                    </w:rPr>
                  </w:pPr>
                </w:p>
              </w:tc>
              <w:tc>
                <w:tcPr>
                  <w:tcW w:w="3706" w:type="dxa"/>
                  <w:tcBorders>
                    <w:top w:val="single" w:color="000000" w:sz="4" w:space="0"/>
                    <w:left w:val="single" w:color="000000" w:sz="4" w:space="0"/>
                    <w:bottom w:val="single" w:color="000000" w:sz="4" w:space="0"/>
                    <w:right w:val="single" w:color="000000" w:sz="4" w:space="0"/>
                  </w:tcBorders>
                  <w:noWrap w:val="0"/>
                  <w:vAlign w:val="center"/>
                </w:tcPr>
                <w:p w14:paraId="6F8F5D77">
                  <w:pPr>
                    <w:pStyle w:val="157"/>
                    <w:ind w:firstLine="0" w:firstLineChars="0"/>
                    <w:rPr>
                      <w:rFonts w:hint="eastAsia"/>
                      <w:color w:val="auto"/>
                      <w:sz w:val="21"/>
                      <w:szCs w:val="21"/>
                      <w:lang w:eastAsia="zh-CN"/>
                    </w:rPr>
                  </w:pPr>
                  <w:r>
                    <w:rPr>
                      <w:rFonts w:hint="eastAsia"/>
                      <w:color w:val="auto"/>
                      <w:sz w:val="21"/>
                      <w:szCs w:val="21"/>
                      <w:lang w:eastAsia="zh-CN"/>
                    </w:rPr>
                    <w:t>厂房外监控点</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14:paraId="7E6BF41E">
                  <w:pPr>
                    <w:pStyle w:val="157"/>
                    <w:ind w:firstLine="0" w:firstLineChars="0"/>
                    <w:rPr>
                      <w:rFonts w:hint="default" w:eastAsia="宋体"/>
                      <w:color w:val="auto"/>
                      <w:sz w:val="21"/>
                      <w:szCs w:val="21"/>
                      <w:lang w:val="en-US" w:eastAsia="zh-CN"/>
                    </w:rPr>
                  </w:pPr>
                  <w:r>
                    <w:rPr>
                      <w:rFonts w:hint="eastAsia"/>
                      <w:color w:val="auto"/>
                      <w:sz w:val="21"/>
                      <w:szCs w:val="21"/>
                      <w:lang w:val="en-US" w:eastAsia="zh-CN"/>
                    </w:rPr>
                    <w:t>5.0</w:t>
                  </w:r>
                </w:p>
              </w:tc>
              <w:tc>
                <w:tcPr>
                  <w:tcW w:w="1829" w:type="dxa"/>
                  <w:tcBorders>
                    <w:top w:val="single" w:color="000000" w:sz="4" w:space="0"/>
                    <w:left w:val="single" w:color="000000" w:sz="4" w:space="0"/>
                    <w:bottom w:val="single" w:color="000000" w:sz="4" w:space="0"/>
                    <w:right w:val="nil"/>
                  </w:tcBorders>
                  <w:noWrap w:val="0"/>
                  <w:vAlign w:val="center"/>
                </w:tcPr>
                <w:p w14:paraId="527855B3">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GB39726-2020</w:t>
                  </w:r>
                </w:p>
              </w:tc>
            </w:tr>
            <w:tr w14:paraId="697E816E">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3" w:type="dxa"/>
                  <w:vMerge w:val="restart"/>
                  <w:tcBorders>
                    <w:top w:val="single" w:color="000000" w:sz="4" w:space="0"/>
                    <w:left w:val="nil"/>
                    <w:bottom w:val="single" w:color="000000" w:sz="4" w:space="0"/>
                    <w:right w:val="single" w:color="000000" w:sz="4" w:space="0"/>
                  </w:tcBorders>
                  <w:noWrap w:val="0"/>
                  <w:vAlign w:val="center"/>
                </w:tcPr>
                <w:p w14:paraId="0DE33660">
                  <w:pPr>
                    <w:widowControl/>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非甲烷总烃</w:t>
                  </w:r>
                </w:p>
              </w:tc>
              <w:tc>
                <w:tcPr>
                  <w:tcW w:w="3706" w:type="dxa"/>
                  <w:tcBorders>
                    <w:top w:val="single" w:color="000000" w:sz="4" w:space="0"/>
                    <w:left w:val="single" w:color="000000" w:sz="4" w:space="0"/>
                    <w:bottom w:val="single" w:color="000000" w:sz="4" w:space="0"/>
                    <w:right w:val="single" w:color="000000" w:sz="4" w:space="0"/>
                  </w:tcBorders>
                  <w:noWrap w:val="0"/>
                  <w:vAlign w:val="center"/>
                </w:tcPr>
                <w:p w14:paraId="7109712C">
                  <w:pPr>
                    <w:pStyle w:val="157"/>
                    <w:ind w:firstLine="0" w:firstLineChars="0"/>
                    <w:rPr>
                      <w:rFonts w:hint="eastAsia" w:eastAsia="宋体"/>
                      <w:color w:val="auto"/>
                      <w:sz w:val="21"/>
                      <w:szCs w:val="21"/>
                      <w:lang w:eastAsia="zh-CN"/>
                    </w:rPr>
                  </w:pPr>
                  <w:r>
                    <w:rPr>
                      <w:rFonts w:hint="eastAsia"/>
                      <w:color w:val="auto"/>
                      <w:sz w:val="21"/>
                      <w:szCs w:val="21"/>
                      <w:lang w:eastAsia="zh-CN"/>
                    </w:rPr>
                    <w:t>厂区内监控点</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14:paraId="58A0AD35">
                  <w:pPr>
                    <w:pStyle w:val="157"/>
                    <w:ind w:firstLine="0" w:firstLineChars="0"/>
                    <w:rPr>
                      <w:rFonts w:hint="default"/>
                      <w:color w:val="auto"/>
                      <w:sz w:val="21"/>
                      <w:szCs w:val="21"/>
                      <w:lang w:val="en-US"/>
                    </w:rPr>
                  </w:pPr>
                  <w:r>
                    <w:rPr>
                      <w:rFonts w:hint="eastAsia"/>
                      <w:color w:val="auto"/>
                      <w:sz w:val="21"/>
                      <w:szCs w:val="21"/>
                      <w:lang w:val="en-US" w:eastAsia="zh-CN"/>
                    </w:rPr>
                    <w:t>8.0</w:t>
                  </w:r>
                </w:p>
              </w:tc>
              <w:tc>
                <w:tcPr>
                  <w:tcW w:w="1829" w:type="dxa"/>
                  <w:tcBorders>
                    <w:top w:val="single" w:color="000000" w:sz="4" w:space="0"/>
                    <w:left w:val="single" w:color="000000" w:sz="4" w:space="0"/>
                    <w:bottom w:val="single" w:color="000000" w:sz="4" w:space="0"/>
                    <w:right w:val="nil"/>
                  </w:tcBorders>
                  <w:noWrap w:val="0"/>
                  <w:vAlign w:val="center"/>
                </w:tcPr>
                <w:p w14:paraId="724DE712">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eastAsia"/>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DB35/1783-2018</w:t>
                  </w:r>
                </w:p>
              </w:tc>
            </w:tr>
            <w:tr w14:paraId="25ADB8A8">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3" w:type="dxa"/>
                  <w:vMerge w:val="continue"/>
                  <w:tcBorders>
                    <w:top w:val="single" w:color="000000" w:sz="4" w:space="0"/>
                    <w:left w:val="nil"/>
                    <w:bottom w:val="single" w:color="000000" w:sz="4" w:space="0"/>
                    <w:right w:val="single" w:color="000000" w:sz="4" w:space="0"/>
                  </w:tcBorders>
                  <w:noWrap w:val="0"/>
                  <w:vAlign w:val="center"/>
                </w:tcPr>
                <w:p w14:paraId="086F487D">
                  <w:pPr>
                    <w:widowControl/>
                    <w:spacing w:line="240" w:lineRule="auto"/>
                    <w:ind w:firstLine="0" w:firstLineChars="0"/>
                    <w:jc w:val="center"/>
                    <w:rPr>
                      <w:rFonts w:ascii="Times New Roman" w:hAnsi="Times New Roman"/>
                      <w:color w:val="auto"/>
                      <w:sz w:val="21"/>
                      <w:szCs w:val="21"/>
                    </w:rPr>
                  </w:pPr>
                </w:p>
              </w:tc>
              <w:tc>
                <w:tcPr>
                  <w:tcW w:w="3706" w:type="dxa"/>
                  <w:tcBorders>
                    <w:top w:val="single" w:color="000000" w:sz="4" w:space="0"/>
                    <w:left w:val="single" w:color="000000" w:sz="4" w:space="0"/>
                    <w:bottom w:val="single" w:color="000000" w:sz="4" w:space="0"/>
                    <w:right w:val="single" w:color="000000" w:sz="4" w:space="0"/>
                  </w:tcBorders>
                  <w:noWrap w:val="0"/>
                  <w:vAlign w:val="center"/>
                </w:tcPr>
                <w:p w14:paraId="321173E3">
                  <w:pPr>
                    <w:pStyle w:val="157"/>
                    <w:ind w:firstLine="0" w:firstLineChars="0"/>
                    <w:rPr>
                      <w:rFonts w:hint="eastAsia"/>
                      <w:color w:val="auto"/>
                      <w:sz w:val="21"/>
                      <w:szCs w:val="21"/>
                      <w:lang w:eastAsia="zh-CN"/>
                    </w:rPr>
                  </w:pPr>
                  <w:r>
                    <w:rPr>
                      <w:rFonts w:hint="eastAsia"/>
                      <w:color w:val="auto"/>
                      <w:sz w:val="21"/>
                      <w:szCs w:val="21"/>
                      <w:lang w:eastAsia="zh-CN"/>
                    </w:rPr>
                    <w:t>厂区内监控点处任意一次浓度值</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14:paraId="3CE5981E">
                  <w:pPr>
                    <w:pStyle w:val="157"/>
                    <w:ind w:firstLine="0" w:firstLineChars="0"/>
                    <w:rPr>
                      <w:rFonts w:hint="default"/>
                      <w:color w:val="auto"/>
                      <w:sz w:val="21"/>
                      <w:szCs w:val="21"/>
                      <w:lang w:val="en-US" w:eastAsia="zh-CN"/>
                    </w:rPr>
                  </w:pPr>
                  <w:r>
                    <w:rPr>
                      <w:rFonts w:hint="eastAsia"/>
                      <w:color w:val="auto"/>
                      <w:sz w:val="21"/>
                      <w:szCs w:val="21"/>
                      <w:lang w:val="en-US" w:eastAsia="zh-CN"/>
                    </w:rPr>
                    <w:t>30</w:t>
                  </w:r>
                </w:p>
              </w:tc>
              <w:tc>
                <w:tcPr>
                  <w:tcW w:w="1829" w:type="dxa"/>
                  <w:tcBorders>
                    <w:top w:val="single" w:color="000000" w:sz="4" w:space="0"/>
                    <w:left w:val="single" w:color="000000" w:sz="4" w:space="0"/>
                    <w:bottom w:val="single" w:color="000000" w:sz="4" w:space="0"/>
                    <w:right w:val="nil"/>
                  </w:tcBorders>
                  <w:noWrap w:val="0"/>
                  <w:vAlign w:val="center"/>
                </w:tcPr>
                <w:p w14:paraId="5BF43173">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GB37822-2019</w:t>
                  </w:r>
                </w:p>
                <w:p w14:paraId="65F084D1">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GB39726-2020</w:t>
                  </w:r>
                </w:p>
              </w:tc>
            </w:tr>
            <w:tr w14:paraId="38B4779B">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3" w:type="dxa"/>
                  <w:vMerge w:val="continue"/>
                  <w:tcBorders>
                    <w:top w:val="single" w:color="000000" w:sz="4" w:space="0"/>
                    <w:left w:val="nil"/>
                    <w:bottom w:val="single" w:color="000000" w:sz="4" w:space="0"/>
                    <w:right w:val="single" w:color="000000" w:sz="4" w:space="0"/>
                  </w:tcBorders>
                  <w:noWrap w:val="0"/>
                  <w:vAlign w:val="center"/>
                </w:tcPr>
                <w:p w14:paraId="12E8CC7C">
                  <w:pPr>
                    <w:widowControl/>
                    <w:spacing w:line="240" w:lineRule="auto"/>
                    <w:ind w:firstLine="0" w:firstLineChars="0"/>
                    <w:jc w:val="center"/>
                    <w:rPr>
                      <w:rFonts w:ascii="Times New Roman" w:hAnsi="Times New Roman"/>
                      <w:color w:val="auto"/>
                      <w:sz w:val="21"/>
                      <w:szCs w:val="21"/>
                    </w:rPr>
                  </w:pPr>
                </w:p>
              </w:tc>
              <w:tc>
                <w:tcPr>
                  <w:tcW w:w="3706" w:type="dxa"/>
                  <w:tcBorders>
                    <w:top w:val="single" w:color="000000" w:sz="4" w:space="0"/>
                    <w:left w:val="single" w:color="000000" w:sz="4" w:space="0"/>
                    <w:bottom w:val="single" w:color="000000" w:sz="4" w:space="0"/>
                    <w:right w:val="single" w:color="000000" w:sz="4" w:space="0"/>
                  </w:tcBorders>
                  <w:noWrap w:val="0"/>
                  <w:vAlign w:val="center"/>
                </w:tcPr>
                <w:p w14:paraId="45B2A065">
                  <w:pPr>
                    <w:pStyle w:val="157"/>
                    <w:ind w:firstLine="0" w:firstLineChars="0"/>
                    <w:rPr>
                      <w:rFonts w:hint="eastAsia" w:eastAsia="宋体"/>
                      <w:color w:val="auto"/>
                      <w:sz w:val="21"/>
                      <w:szCs w:val="21"/>
                      <w:lang w:eastAsia="zh-CN"/>
                    </w:rPr>
                  </w:pPr>
                  <w:r>
                    <w:rPr>
                      <w:rFonts w:hint="eastAsia"/>
                      <w:color w:val="auto"/>
                      <w:sz w:val="21"/>
                      <w:szCs w:val="21"/>
                      <w:lang w:eastAsia="zh-CN"/>
                    </w:rPr>
                    <w:t>企业边界</w:t>
                  </w:r>
                </w:p>
              </w:tc>
              <w:tc>
                <w:tcPr>
                  <w:tcW w:w="1682" w:type="dxa"/>
                  <w:tcBorders>
                    <w:top w:val="single" w:color="000000" w:sz="4" w:space="0"/>
                    <w:left w:val="single" w:color="000000" w:sz="4" w:space="0"/>
                    <w:bottom w:val="single" w:color="000000" w:sz="4" w:space="0"/>
                    <w:right w:val="single" w:color="000000" w:sz="4" w:space="0"/>
                  </w:tcBorders>
                  <w:noWrap w:val="0"/>
                  <w:vAlign w:val="center"/>
                </w:tcPr>
                <w:p w14:paraId="22EDC2F2">
                  <w:pPr>
                    <w:pStyle w:val="157"/>
                    <w:ind w:firstLine="0" w:firstLineChars="0"/>
                    <w:rPr>
                      <w:rFonts w:hint="default" w:eastAsia="宋体"/>
                      <w:color w:val="auto"/>
                      <w:sz w:val="21"/>
                      <w:szCs w:val="21"/>
                      <w:lang w:val="en-US" w:eastAsia="zh-CN"/>
                    </w:rPr>
                  </w:pPr>
                  <w:r>
                    <w:rPr>
                      <w:rFonts w:hint="eastAsia"/>
                      <w:color w:val="auto"/>
                      <w:sz w:val="21"/>
                      <w:szCs w:val="21"/>
                      <w:lang w:val="en-US" w:eastAsia="zh-CN"/>
                    </w:rPr>
                    <w:t>2.0</w:t>
                  </w:r>
                </w:p>
              </w:tc>
              <w:tc>
                <w:tcPr>
                  <w:tcW w:w="1829" w:type="dxa"/>
                  <w:tcBorders>
                    <w:top w:val="single" w:color="000000" w:sz="4" w:space="0"/>
                    <w:left w:val="single" w:color="000000" w:sz="4" w:space="0"/>
                    <w:bottom w:val="single" w:color="000000" w:sz="4" w:space="0"/>
                    <w:right w:val="nil"/>
                  </w:tcBorders>
                  <w:noWrap w:val="0"/>
                  <w:vAlign w:val="center"/>
                </w:tcPr>
                <w:p w14:paraId="42BD4ADE">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eastAsia"/>
                      <w:color w:val="auto"/>
                      <w:sz w:val="21"/>
                      <w:szCs w:val="21"/>
                      <w:lang w:val="en-US" w:eastAsia="zh-CN"/>
                    </w:rPr>
                  </w:pPr>
                  <w:r>
                    <w:rPr>
                      <w:rFonts w:hint="eastAsia"/>
                      <w:color w:val="auto"/>
                      <w:sz w:val="21"/>
                      <w:szCs w:val="21"/>
                      <w:highlight w:val="none"/>
                      <w:lang w:eastAsia="zh-CN"/>
                    </w:rPr>
                    <w:t>DB35/1783-2018</w:t>
                  </w:r>
                </w:p>
              </w:tc>
            </w:tr>
            <w:tr w14:paraId="7DC30F7F">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PrEx>
              <w:trPr>
                <w:trHeight w:val="397" w:hRule="atLeast"/>
                <w:jc w:val="center"/>
              </w:trPr>
              <w:tc>
                <w:tcPr>
                  <w:tcW w:w="1163" w:type="dxa"/>
                  <w:tcBorders>
                    <w:top w:val="single" w:color="000000" w:sz="4" w:space="0"/>
                    <w:left w:val="nil"/>
                    <w:bottom w:val="single" w:color="000000" w:sz="12" w:space="0"/>
                    <w:right w:val="single" w:color="000000" w:sz="4" w:space="0"/>
                  </w:tcBorders>
                  <w:noWrap w:val="0"/>
                  <w:vAlign w:val="center"/>
                </w:tcPr>
                <w:p w14:paraId="154A3027">
                  <w:pPr>
                    <w:widowControl/>
                    <w:spacing w:line="240" w:lineRule="auto"/>
                    <w:ind w:firstLine="0" w:firstLineChars="0"/>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臭气浓度</w:t>
                  </w:r>
                </w:p>
              </w:tc>
              <w:tc>
                <w:tcPr>
                  <w:tcW w:w="3706" w:type="dxa"/>
                  <w:tcBorders>
                    <w:top w:val="single" w:color="000000" w:sz="4" w:space="0"/>
                    <w:left w:val="single" w:color="000000" w:sz="4" w:space="0"/>
                    <w:bottom w:val="single" w:color="000000" w:sz="12" w:space="0"/>
                    <w:right w:val="single" w:color="000000" w:sz="4" w:space="0"/>
                  </w:tcBorders>
                  <w:noWrap w:val="0"/>
                  <w:vAlign w:val="center"/>
                </w:tcPr>
                <w:p w14:paraId="59124969">
                  <w:pPr>
                    <w:pStyle w:val="157"/>
                    <w:ind w:firstLine="0" w:firstLineChars="0"/>
                    <w:rPr>
                      <w:rFonts w:hint="eastAsia"/>
                      <w:color w:val="auto"/>
                      <w:sz w:val="21"/>
                      <w:szCs w:val="21"/>
                      <w:lang w:eastAsia="zh-CN"/>
                    </w:rPr>
                  </w:pPr>
                  <w:r>
                    <w:rPr>
                      <w:rFonts w:hint="eastAsia"/>
                      <w:color w:val="auto"/>
                      <w:sz w:val="21"/>
                      <w:szCs w:val="21"/>
                      <w:lang w:eastAsia="zh-CN"/>
                    </w:rPr>
                    <w:t>企业边界</w:t>
                  </w:r>
                </w:p>
              </w:tc>
              <w:tc>
                <w:tcPr>
                  <w:tcW w:w="1682" w:type="dxa"/>
                  <w:tcBorders>
                    <w:top w:val="single" w:color="000000" w:sz="4" w:space="0"/>
                    <w:left w:val="single" w:color="000000" w:sz="4" w:space="0"/>
                    <w:bottom w:val="single" w:color="000000" w:sz="12" w:space="0"/>
                    <w:right w:val="single" w:color="000000" w:sz="4" w:space="0"/>
                  </w:tcBorders>
                  <w:noWrap w:val="0"/>
                  <w:vAlign w:val="center"/>
                </w:tcPr>
                <w:p w14:paraId="5A825DB2">
                  <w:pPr>
                    <w:pStyle w:val="157"/>
                    <w:ind w:firstLine="0" w:firstLineChars="0"/>
                    <w:rPr>
                      <w:rFonts w:hint="default"/>
                      <w:color w:val="auto"/>
                      <w:sz w:val="21"/>
                      <w:szCs w:val="21"/>
                      <w:lang w:val="en-US" w:eastAsia="zh-CN"/>
                    </w:rPr>
                  </w:pPr>
                  <w:r>
                    <w:rPr>
                      <w:rFonts w:hint="eastAsia"/>
                      <w:color w:val="auto"/>
                      <w:sz w:val="21"/>
                      <w:szCs w:val="21"/>
                      <w:lang w:val="en-US" w:eastAsia="zh-CN"/>
                    </w:rPr>
                    <w:t>20（无量纲）</w:t>
                  </w:r>
                </w:p>
              </w:tc>
              <w:tc>
                <w:tcPr>
                  <w:tcW w:w="1829" w:type="dxa"/>
                  <w:tcBorders>
                    <w:top w:val="single" w:color="000000" w:sz="4" w:space="0"/>
                    <w:left w:val="single" w:color="000000" w:sz="4" w:space="0"/>
                    <w:bottom w:val="single" w:color="000000" w:sz="12" w:space="0"/>
                    <w:right w:val="nil"/>
                  </w:tcBorders>
                  <w:noWrap w:val="0"/>
                  <w:vAlign w:val="center"/>
                </w:tcPr>
                <w:p w14:paraId="737B9274">
                  <w:pPr>
                    <w:pStyle w:val="157"/>
                    <w:keepNext w:val="0"/>
                    <w:keepLines w:val="0"/>
                    <w:pageBreakBefore w:val="0"/>
                    <w:widowControl/>
                    <w:kinsoku/>
                    <w:wordWrap/>
                    <w:overflowPunct/>
                    <w:topLinePunct w:val="0"/>
                    <w:autoSpaceDE/>
                    <w:autoSpaceDN/>
                    <w:bidi w:val="0"/>
                    <w:adjustRightInd/>
                    <w:snapToGrid/>
                    <w:ind w:firstLine="0" w:firstLineChars="0"/>
                    <w:textAlignment w:val="auto"/>
                    <w:rPr>
                      <w:rFonts w:hint="eastAsia"/>
                      <w:color w:val="auto"/>
                      <w:sz w:val="21"/>
                      <w:szCs w:val="21"/>
                      <w:highlight w:val="none"/>
                      <w:lang w:eastAsia="zh-CN"/>
                    </w:rPr>
                  </w:pPr>
                  <w:r>
                    <w:rPr>
                      <w:rFonts w:hint="eastAsia"/>
                      <w:color w:val="auto"/>
                      <w:sz w:val="21"/>
                      <w:szCs w:val="21"/>
                      <w:highlight w:val="none"/>
                      <w:lang w:eastAsia="zh-CN"/>
                    </w:rPr>
                    <w:t>GB14554-1993</w:t>
                  </w:r>
                </w:p>
              </w:tc>
            </w:tr>
          </w:tbl>
          <w:p w14:paraId="2451F12B">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2、废水</w:t>
            </w:r>
          </w:p>
          <w:p w14:paraId="1B0857C8">
            <w:pPr>
              <w:adjustRightInd w:val="0"/>
              <w:snapToGrid w:val="0"/>
              <w:spacing w:line="360" w:lineRule="auto"/>
              <w:ind w:firstLine="480" w:firstLineChars="200"/>
              <w:jc w:val="left"/>
              <w:rPr>
                <w:color w:val="auto"/>
                <w:sz w:val="24"/>
                <w:szCs w:val="24"/>
              </w:rPr>
            </w:pPr>
            <w:r>
              <w:rPr>
                <w:rFonts w:hint="eastAsia"/>
                <w:color w:val="auto"/>
                <w:sz w:val="24"/>
                <w:szCs w:val="24"/>
              </w:rPr>
              <w:t>本项目无生产废水排放，生活污水经厂区化粪池处理后排入市政污水管网纳入</w:t>
            </w:r>
            <w:r>
              <w:rPr>
                <w:rFonts w:hint="eastAsia"/>
                <w:color w:val="auto"/>
                <w:spacing w:val="4"/>
                <w:sz w:val="24"/>
                <w:szCs w:val="24"/>
                <w:lang w:eastAsia="zh-CN"/>
              </w:rPr>
              <w:t>大田经济开发区上京工业园污水处理厂</w:t>
            </w:r>
            <w:r>
              <w:rPr>
                <w:rFonts w:hint="eastAsia"/>
                <w:color w:val="auto"/>
                <w:spacing w:val="4"/>
                <w:sz w:val="24"/>
                <w:szCs w:val="24"/>
              </w:rPr>
              <w:t>处理</w:t>
            </w:r>
            <w:r>
              <w:rPr>
                <w:rFonts w:hint="eastAsia"/>
                <w:color w:val="auto"/>
                <w:sz w:val="24"/>
                <w:szCs w:val="24"/>
              </w:rPr>
              <w:t>，厂区污水总排口污染物排放执行</w:t>
            </w:r>
            <w:r>
              <w:rPr>
                <w:color w:val="auto"/>
                <w:sz w:val="24"/>
                <w:szCs w:val="24"/>
              </w:rPr>
              <w:t>《</w:t>
            </w:r>
            <w:r>
              <w:rPr>
                <w:rFonts w:hint="eastAsia"/>
                <w:color w:val="auto"/>
                <w:sz w:val="24"/>
                <w:szCs w:val="24"/>
              </w:rPr>
              <w:t>污水综合排放标准</w:t>
            </w:r>
            <w:r>
              <w:rPr>
                <w:color w:val="auto"/>
                <w:sz w:val="24"/>
                <w:szCs w:val="24"/>
              </w:rPr>
              <w:t>》</w:t>
            </w:r>
            <w:r>
              <w:rPr>
                <w:rFonts w:hint="eastAsia"/>
                <w:color w:val="auto"/>
                <w:sz w:val="24"/>
                <w:szCs w:val="24"/>
              </w:rPr>
              <w:t>（GB</w:t>
            </w:r>
            <w:r>
              <w:rPr>
                <w:color w:val="auto"/>
                <w:sz w:val="24"/>
                <w:szCs w:val="24"/>
              </w:rPr>
              <w:t>8978-1996</w:t>
            </w:r>
            <w:r>
              <w:rPr>
                <w:rFonts w:hint="eastAsia"/>
                <w:color w:val="auto"/>
                <w:sz w:val="24"/>
                <w:szCs w:val="24"/>
              </w:rPr>
              <w:t>）表4中</w:t>
            </w:r>
            <w:r>
              <w:rPr>
                <w:color w:val="auto"/>
                <w:sz w:val="24"/>
                <w:szCs w:val="24"/>
              </w:rPr>
              <w:t>三级标准</w:t>
            </w:r>
            <w:r>
              <w:rPr>
                <w:rFonts w:hint="eastAsia"/>
                <w:color w:val="auto"/>
                <w:sz w:val="24"/>
                <w:szCs w:val="24"/>
              </w:rPr>
              <w:t>（</w:t>
            </w:r>
            <w:r>
              <w:rPr>
                <w:rFonts w:hint="eastAsia"/>
                <w:color w:val="auto"/>
                <w:sz w:val="24"/>
                <w:szCs w:val="24"/>
                <w:lang w:val="en-US" w:eastAsia="zh-CN"/>
              </w:rPr>
              <w:t>氨氮</w:t>
            </w:r>
            <w:r>
              <w:rPr>
                <w:rFonts w:hint="eastAsia"/>
                <w:color w:val="auto"/>
                <w:sz w:val="24"/>
                <w:szCs w:val="24"/>
                <w:lang w:eastAsia="zh-CN"/>
              </w:rPr>
              <w:t>、</w:t>
            </w:r>
            <w:r>
              <w:rPr>
                <w:rFonts w:hint="eastAsia"/>
                <w:color w:val="auto"/>
                <w:sz w:val="24"/>
                <w:szCs w:val="24"/>
                <w:lang w:val="en-US" w:eastAsia="zh-CN"/>
              </w:rPr>
              <w:t>总磷、总氮</w:t>
            </w:r>
            <w:r>
              <w:rPr>
                <w:rFonts w:hint="eastAsia"/>
                <w:color w:val="auto"/>
                <w:sz w:val="24"/>
                <w:szCs w:val="24"/>
              </w:rPr>
              <w:t>参考执行《污水排入城镇下水道水质标准》(GB/T31962-2015)表1中B级标准）。</w:t>
            </w:r>
            <w:r>
              <w:rPr>
                <w:rFonts w:hint="eastAsia"/>
                <w:color w:val="auto"/>
                <w:spacing w:val="4"/>
                <w:sz w:val="24"/>
                <w:szCs w:val="24"/>
                <w:lang w:eastAsia="zh-CN"/>
              </w:rPr>
              <w:t>大田经济开发区上京工业园污水处理厂</w:t>
            </w:r>
            <w:r>
              <w:rPr>
                <w:rFonts w:hint="eastAsia"/>
                <w:color w:val="auto"/>
                <w:sz w:val="24"/>
                <w:szCs w:val="24"/>
              </w:rPr>
              <w:t>尾水执行《城镇污水处理厂污染物排放标准》（GB18918-2002）一级A标准。</w:t>
            </w:r>
          </w:p>
          <w:p w14:paraId="2A1C5B11">
            <w:pPr>
              <w:adjustRightInd w:val="0"/>
              <w:snapToGrid w:val="0"/>
              <w:spacing w:line="360" w:lineRule="auto"/>
              <w:ind w:firstLine="480" w:firstLineChars="200"/>
              <w:jc w:val="left"/>
              <w:rPr>
                <w:rFonts w:hint="eastAsia"/>
                <w:color w:val="auto"/>
                <w:sz w:val="24"/>
                <w:szCs w:val="24"/>
              </w:rPr>
            </w:pPr>
            <w:r>
              <w:rPr>
                <w:rFonts w:hint="eastAsia"/>
                <w:color w:val="auto"/>
                <w:sz w:val="24"/>
                <w:szCs w:val="24"/>
              </w:rPr>
              <w:t>本项目污水总排口接管</w:t>
            </w:r>
            <w:r>
              <w:rPr>
                <w:color w:val="auto"/>
                <w:sz w:val="24"/>
                <w:szCs w:val="24"/>
              </w:rPr>
              <w:t>标准</w:t>
            </w:r>
            <w:r>
              <w:rPr>
                <w:rFonts w:hint="eastAsia"/>
                <w:color w:val="auto"/>
                <w:sz w:val="24"/>
                <w:szCs w:val="24"/>
              </w:rPr>
              <w:t>详见下表。</w:t>
            </w:r>
          </w:p>
          <w:p w14:paraId="1CDE52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4"/>
                <w:szCs w:val="24"/>
              </w:rPr>
            </w:pPr>
            <w:r>
              <w:rPr>
                <w:rFonts w:hint="eastAsia"/>
                <w:b/>
                <w:bCs/>
                <w:color w:val="auto"/>
                <w:sz w:val="24"/>
                <w:szCs w:val="24"/>
              </w:rPr>
              <w:t>表</w:t>
            </w:r>
            <w:r>
              <w:rPr>
                <w:b/>
                <w:bCs/>
                <w:color w:val="auto"/>
                <w:sz w:val="24"/>
                <w:szCs w:val="24"/>
              </w:rPr>
              <w:t>3</w:t>
            </w:r>
            <w:r>
              <w:rPr>
                <w:rFonts w:hint="eastAsia"/>
                <w:b/>
                <w:bCs/>
                <w:color w:val="auto"/>
                <w:sz w:val="24"/>
                <w:szCs w:val="24"/>
              </w:rPr>
              <w:t>-1</w:t>
            </w:r>
            <w:r>
              <w:rPr>
                <w:rFonts w:hint="eastAsia"/>
                <w:b/>
                <w:bCs/>
                <w:color w:val="auto"/>
                <w:sz w:val="24"/>
                <w:szCs w:val="24"/>
                <w:lang w:val="en-US" w:eastAsia="zh-CN"/>
              </w:rPr>
              <w:t>3</w:t>
            </w:r>
            <w:r>
              <w:rPr>
                <w:rFonts w:hint="eastAsia"/>
                <w:b/>
                <w:bCs/>
                <w:color w:val="auto"/>
                <w:sz w:val="24"/>
                <w:szCs w:val="24"/>
              </w:rPr>
              <w:t xml:space="preserve">  本项目污水总排口接管</w:t>
            </w:r>
            <w:r>
              <w:rPr>
                <w:b/>
                <w:bCs/>
                <w:color w:val="auto"/>
                <w:sz w:val="24"/>
                <w:szCs w:val="24"/>
              </w:rPr>
              <w:t>标准</w:t>
            </w:r>
          </w:p>
          <w:tbl>
            <w:tblPr>
              <w:tblStyle w:val="29"/>
              <w:tblW w:w="494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3015"/>
              <w:gridCol w:w="3088"/>
            </w:tblGrid>
            <w:tr w14:paraId="71AA7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3B0208AD">
                  <w:pPr>
                    <w:keepNext w:val="0"/>
                    <w:keepLines w:val="0"/>
                    <w:pageBreakBefore w:val="0"/>
                    <w:kinsoku/>
                    <w:wordWrap/>
                    <w:overflowPunct/>
                    <w:topLinePunct w:val="0"/>
                    <w:autoSpaceDE/>
                    <w:autoSpaceDN/>
                    <w:bidi w:val="0"/>
                    <w:adjustRightInd w:val="0"/>
                    <w:snapToGrid w:val="0"/>
                    <w:spacing w:line="240" w:lineRule="auto"/>
                    <w:jc w:val="center"/>
                    <w:textAlignment w:val="baseline"/>
                    <w:rPr>
                      <w:b/>
                      <w:color w:val="auto"/>
                      <w:sz w:val="21"/>
                      <w:szCs w:val="21"/>
                      <w:highlight w:val="none"/>
                    </w:rPr>
                  </w:pPr>
                  <w:r>
                    <w:rPr>
                      <w:b/>
                      <w:color w:val="auto"/>
                      <w:sz w:val="21"/>
                      <w:szCs w:val="21"/>
                      <w:highlight w:val="none"/>
                    </w:rPr>
                    <w:t>项目</w:t>
                  </w:r>
                </w:p>
              </w:tc>
              <w:tc>
                <w:tcPr>
                  <w:tcW w:w="1809" w:type="pct"/>
                  <w:tcBorders>
                    <w:tl2br w:val="nil"/>
                    <w:tr2bl w:val="nil"/>
                  </w:tcBorders>
                  <w:noWrap w:val="0"/>
                  <w:vAlign w:val="center"/>
                </w:tcPr>
                <w:p w14:paraId="21E9EED5">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eastAsia="宋体"/>
                      <w:b/>
                      <w:color w:val="auto"/>
                      <w:sz w:val="21"/>
                      <w:szCs w:val="21"/>
                      <w:highlight w:val="none"/>
                      <w:lang w:eastAsia="zh-CN"/>
                    </w:rPr>
                  </w:pPr>
                  <w:r>
                    <w:rPr>
                      <w:rFonts w:hint="eastAsia"/>
                      <w:b/>
                      <w:color w:val="auto"/>
                      <w:sz w:val="21"/>
                      <w:szCs w:val="21"/>
                      <w:highlight w:val="none"/>
                      <w:lang w:val="en-US" w:eastAsia="zh-CN"/>
                    </w:rPr>
                    <w:t>厂区废水</w:t>
                  </w:r>
                  <w:r>
                    <w:rPr>
                      <w:rFonts w:hint="eastAsia"/>
                      <w:b/>
                      <w:color w:val="auto"/>
                      <w:sz w:val="21"/>
                      <w:szCs w:val="21"/>
                      <w:highlight w:val="none"/>
                      <w:lang w:eastAsia="zh-CN"/>
                    </w:rPr>
                    <w:t>排</w:t>
                  </w:r>
                  <w:r>
                    <w:rPr>
                      <w:rFonts w:hint="eastAsia"/>
                      <w:b/>
                      <w:color w:val="auto"/>
                      <w:sz w:val="21"/>
                      <w:szCs w:val="21"/>
                      <w:highlight w:val="none"/>
                      <w:lang w:val="en-US" w:eastAsia="zh-CN"/>
                    </w:rPr>
                    <w:t>放口</w:t>
                  </w:r>
                  <w:r>
                    <w:rPr>
                      <w:rFonts w:hint="eastAsia"/>
                      <w:b/>
                      <w:color w:val="auto"/>
                      <w:sz w:val="21"/>
                      <w:szCs w:val="21"/>
                      <w:highlight w:val="none"/>
                      <w:lang w:eastAsia="zh-CN"/>
                    </w:rPr>
                    <w:t>标准限值</w:t>
                  </w:r>
                </w:p>
              </w:tc>
              <w:tc>
                <w:tcPr>
                  <w:tcW w:w="1852" w:type="pct"/>
                  <w:tcBorders>
                    <w:tl2br w:val="nil"/>
                    <w:tr2bl w:val="nil"/>
                  </w:tcBorders>
                  <w:noWrap w:val="0"/>
                  <w:vAlign w:val="center"/>
                </w:tcPr>
                <w:p w14:paraId="68F4E881">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eastAsia="宋体"/>
                      <w:b/>
                      <w:color w:val="auto"/>
                      <w:sz w:val="21"/>
                      <w:szCs w:val="21"/>
                      <w:highlight w:val="none"/>
                      <w:lang w:eastAsia="zh-CN"/>
                    </w:rPr>
                  </w:pPr>
                  <w:r>
                    <w:rPr>
                      <w:rFonts w:hint="eastAsia"/>
                      <w:b/>
                      <w:color w:val="auto"/>
                      <w:sz w:val="21"/>
                      <w:szCs w:val="21"/>
                      <w:highlight w:val="none"/>
                      <w:lang w:val="en-US" w:eastAsia="zh-CN"/>
                    </w:rPr>
                    <w:t>大田经济开发区上京工业园污水处理厂</w:t>
                  </w:r>
                  <w:r>
                    <w:rPr>
                      <w:rFonts w:hint="eastAsia"/>
                      <w:b/>
                      <w:color w:val="auto"/>
                      <w:sz w:val="21"/>
                      <w:szCs w:val="21"/>
                      <w:highlight w:val="none"/>
                      <w:lang w:eastAsia="zh-CN"/>
                    </w:rPr>
                    <w:t>尾水标准限值</w:t>
                  </w:r>
                </w:p>
              </w:tc>
            </w:tr>
            <w:tr w14:paraId="36E56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3A1AB352">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eastAsia="宋体"/>
                      <w:color w:val="auto"/>
                      <w:sz w:val="21"/>
                      <w:szCs w:val="21"/>
                      <w:highlight w:val="none"/>
                      <w:lang w:eastAsia="zh-CN"/>
                    </w:rPr>
                  </w:pPr>
                  <w:r>
                    <w:rPr>
                      <w:color w:val="auto"/>
                      <w:sz w:val="21"/>
                      <w:szCs w:val="21"/>
                      <w:highlight w:val="none"/>
                    </w:rPr>
                    <w:t>pH</w:t>
                  </w:r>
                  <w:r>
                    <w:rPr>
                      <w:rFonts w:hint="eastAsia"/>
                      <w:color w:val="auto"/>
                      <w:sz w:val="21"/>
                      <w:szCs w:val="21"/>
                      <w:highlight w:val="none"/>
                      <w:lang w:eastAsia="zh-CN"/>
                    </w:rPr>
                    <w:t>（</w:t>
                  </w:r>
                  <w:r>
                    <w:rPr>
                      <w:rFonts w:hint="eastAsia"/>
                      <w:color w:val="auto"/>
                      <w:sz w:val="21"/>
                      <w:szCs w:val="21"/>
                      <w:highlight w:val="none"/>
                      <w:lang w:val="en-US" w:eastAsia="zh-CN"/>
                    </w:rPr>
                    <w:t>无量纲</w:t>
                  </w:r>
                  <w:r>
                    <w:rPr>
                      <w:rFonts w:hint="eastAsia"/>
                      <w:color w:val="auto"/>
                      <w:sz w:val="21"/>
                      <w:szCs w:val="21"/>
                      <w:highlight w:val="none"/>
                      <w:lang w:eastAsia="zh-CN"/>
                    </w:rPr>
                    <w:t>）</w:t>
                  </w:r>
                </w:p>
              </w:tc>
              <w:tc>
                <w:tcPr>
                  <w:tcW w:w="1809" w:type="pct"/>
                  <w:tcBorders>
                    <w:tl2br w:val="nil"/>
                    <w:tr2bl w:val="nil"/>
                  </w:tcBorders>
                  <w:noWrap w:val="0"/>
                  <w:vAlign w:val="center"/>
                </w:tcPr>
                <w:p w14:paraId="5B8C5458">
                  <w:pPr>
                    <w:keepNext w:val="0"/>
                    <w:keepLines w:val="0"/>
                    <w:pageBreakBefore w:val="0"/>
                    <w:kinsoku/>
                    <w:wordWrap/>
                    <w:overflowPunct/>
                    <w:topLinePunct w:val="0"/>
                    <w:autoSpaceDE/>
                    <w:autoSpaceDN/>
                    <w:bidi w:val="0"/>
                    <w:adjustRightInd w:val="0"/>
                    <w:snapToGrid w:val="0"/>
                    <w:spacing w:line="240" w:lineRule="auto"/>
                    <w:jc w:val="center"/>
                    <w:rPr>
                      <w:rFonts w:hint="eastAsia" w:eastAsia="宋体"/>
                      <w:color w:val="auto"/>
                      <w:sz w:val="21"/>
                      <w:szCs w:val="21"/>
                      <w:highlight w:val="none"/>
                      <w:lang w:eastAsia="zh-CN"/>
                    </w:rPr>
                  </w:pPr>
                  <w:r>
                    <w:rPr>
                      <w:color w:val="auto"/>
                      <w:sz w:val="21"/>
                      <w:szCs w:val="21"/>
                      <w:highlight w:val="none"/>
                    </w:rPr>
                    <w:t>6~</w:t>
                  </w:r>
                  <w:r>
                    <w:rPr>
                      <w:rFonts w:hint="eastAsia"/>
                      <w:color w:val="auto"/>
                      <w:sz w:val="21"/>
                      <w:szCs w:val="21"/>
                      <w:highlight w:val="none"/>
                      <w:lang w:val="en-US" w:eastAsia="zh-CN"/>
                    </w:rPr>
                    <w:t>9</w:t>
                  </w:r>
                </w:p>
              </w:tc>
              <w:tc>
                <w:tcPr>
                  <w:tcW w:w="1852" w:type="pct"/>
                  <w:tcBorders>
                    <w:tl2br w:val="nil"/>
                    <w:tr2bl w:val="nil"/>
                  </w:tcBorders>
                  <w:noWrap w:val="0"/>
                  <w:vAlign w:val="center"/>
                </w:tcPr>
                <w:p w14:paraId="11B8C522">
                  <w:pPr>
                    <w:keepNext w:val="0"/>
                    <w:keepLines w:val="0"/>
                    <w:pageBreakBefore w:val="0"/>
                    <w:kinsoku/>
                    <w:wordWrap/>
                    <w:overflowPunct/>
                    <w:topLinePunct w:val="0"/>
                    <w:autoSpaceDE/>
                    <w:autoSpaceDN/>
                    <w:bidi w:val="0"/>
                    <w:adjustRightInd w:val="0"/>
                    <w:snapToGrid w:val="0"/>
                    <w:spacing w:line="240" w:lineRule="auto"/>
                    <w:jc w:val="center"/>
                    <w:rPr>
                      <w:color w:val="auto"/>
                      <w:sz w:val="21"/>
                      <w:szCs w:val="21"/>
                      <w:highlight w:val="none"/>
                    </w:rPr>
                  </w:pPr>
                  <w:r>
                    <w:rPr>
                      <w:color w:val="auto"/>
                      <w:sz w:val="21"/>
                      <w:szCs w:val="21"/>
                      <w:highlight w:val="none"/>
                    </w:rPr>
                    <w:t>6~9</w:t>
                  </w:r>
                </w:p>
              </w:tc>
            </w:tr>
            <w:tr w14:paraId="76A6E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6FF545B2">
                  <w:pPr>
                    <w:keepNext w:val="0"/>
                    <w:keepLines w:val="0"/>
                    <w:pageBreakBefore w:val="0"/>
                    <w:kinsoku/>
                    <w:wordWrap/>
                    <w:overflowPunct/>
                    <w:topLinePunct w:val="0"/>
                    <w:autoSpaceDE/>
                    <w:autoSpaceDN/>
                    <w:bidi w:val="0"/>
                    <w:adjustRightInd w:val="0"/>
                    <w:snapToGrid w:val="0"/>
                    <w:spacing w:line="240" w:lineRule="auto"/>
                    <w:jc w:val="center"/>
                    <w:textAlignment w:val="baseline"/>
                    <w:rPr>
                      <w:color w:val="auto"/>
                      <w:sz w:val="21"/>
                      <w:szCs w:val="21"/>
                      <w:highlight w:val="none"/>
                    </w:rPr>
                  </w:pPr>
                  <w:r>
                    <w:rPr>
                      <w:color w:val="auto"/>
                      <w:sz w:val="21"/>
                      <w:szCs w:val="21"/>
                      <w:highlight w:val="none"/>
                    </w:rPr>
                    <w:t>COD</w:t>
                  </w:r>
                  <w:r>
                    <w:rPr>
                      <w:color w:val="auto"/>
                      <w:sz w:val="21"/>
                      <w:szCs w:val="21"/>
                      <w:highlight w:val="none"/>
                      <w:vertAlign w:val="subscript"/>
                    </w:rPr>
                    <w:t>Cr</w:t>
                  </w:r>
                </w:p>
              </w:tc>
              <w:tc>
                <w:tcPr>
                  <w:tcW w:w="1809" w:type="pct"/>
                  <w:tcBorders>
                    <w:tl2br w:val="nil"/>
                    <w:tr2bl w:val="nil"/>
                  </w:tcBorders>
                  <w:noWrap w:val="0"/>
                  <w:vAlign w:val="center"/>
                </w:tcPr>
                <w:p w14:paraId="458A98D1">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eastAsia="宋体"/>
                      <w:color w:val="auto"/>
                      <w:sz w:val="21"/>
                      <w:szCs w:val="21"/>
                      <w:highlight w:val="none"/>
                      <w:lang w:val="en-US" w:eastAsia="zh-CN"/>
                    </w:rPr>
                  </w:pPr>
                  <w:r>
                    <w:rPr>
                      <w:bCs/>
                      <w:color w:val="auto"/>
                      <w:sz w:val="21"/>
                      <w:szCs w:val="21"/>
                      <w:highlight w:val="none"/>
                    </w:rPr>
                    <w:t>500</w:t>
                  </w:r>
                  <w:r>
                    <w:rPr>
                      <w:rFonts w:hint="eastAsia"/>
                      <w:bCs/>
                      <w:color w:val="auto"/>
                      <w:sz w:val="21"/>
                      <w:szCs w:val="21"/>
                      <w:highlight w:val="none"/>
                      <w:lang w:val="en-US" w:eastAsia="zh-CN"/>
                    </w:rPr>
                    <w:t>mg/L</w:t>
                  </w:r>
                </w:p>
              </w:tc>
              <w:tc>
                <w:tcPr>
                  <w:tcW w:w="1852" w:type="pct"/>
                  <w:tcBorders>
                    <w:tl2br w:val="nil"/>
                    <w:tr2bl w:val="nil"/>
                  </w:tcBorders>
                  <w:noWrap w:val="0"/>
                  <w:vAlign w:val="center"/>
                </w:tcPr>
                <w:p w14:paraId="36C6BF2C">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50</w:t>
                  </w:r>
                  <w:r>
                    <w:rPr>
                      <w:rFonts w:hint="eastAsia"/>
                      <w:bCs/>
                      <w:color w:val="auto"/>
                      <w:sz w:val="21"/>
                      <w:szCs w:val="21"/>
                      <w:highlight w:val="none"/>
                      <w:lang w:val="en-US" w:eastAsia="zh-CN"/>
                    </w:rPr>
                    <w:t>mg/L</w:t>
                  </w:r>
                </w:p>
              </w:tc>
            </w:tr>
            <w:tr w14:paraId="744DF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501CEFBA">
                  <w:pPr>
                    <w:keepNext w:val="0"/>
                    <w:keepLines w:val="0"/>
                    <w:pageBreakBefore w:val="0"/>
                    <w:kinsoku/>
                    <w:wordWrap/>
                    <w:overflowPunct/>
                    <w:topLinePunct w:val="0"/>
                    <w:autoSpaceDE/>
                    <w:autoSpaceDN/>
                    <w:bidi w:val="0"/>
                    <w:adjustRightInd w:val="0"/>
                    <w:snapToGrid w:val="0"/>
                    <w:spacing w:line="240" w:lineRule="auto"/>
                    <w:jc w:val="center"/>
                    <w:textAlignment w:val="baseline"/>
                    <w:rPr>
                      <w:b/>
                      <w:color w:val="auto"/>
                      <w:sz w:val="21"/>
                      <w:szCs w:val="21"/>
                      <w:highlight w:val="none"/>
                    </w:rPr>
                  </w:pPr>
                  <w:r>
                    <w:rPr>
                      <w:color w:val="auto"/>
                      <w:sz w:val="21"/>
                      <w:szCs w:val="21"/>
                      <w:highlight w:val="none"/>
                    </w:rPr>
                    <w:t>BOD</w:t>
                  </w:r>
                  <w:r>
                    <w:rPr>
                      <w:color w:val="auto"/>
                      <w:sz w:val="21"/>
                      <w:szCs w:val="21"/>
                      <w:highlight w:val="none"/>
                      <w:vertAlign w:val="subscript"/>
                    </w:rPr>
                    <w:t>5</w:t>
                  </w:r>
                </w:p>
              </w:tc>
              <w:tc>
                <w:tcPr>
                  <w:tcW w:w="1809" w:type="pct"/>
                  <w:tcBorders>
                    <w:tl2br w:val="nil"/>
                    <w:tr2bl w:val="nil"/>
                  </w:tcBorders>
                  <w:noWrap w:val="0"/>
                  <w:vAlign w:val="center"/>
                </w:tcPr>
                <w:p w14:paraId="03EECA54">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eastAsia="宋体"/>
                      <w:color w:val="auto"/>
                      <w:sz w:val="21"/>
                      <w:szCs w:val="21"/>
                      <w:highlight w:val="none"/>
                      <w:lang w:val="en-US" w:eastAsia="zh-CN"/>
                    </w:rPr>
                  </w:pPr>
                  <w:r>
                    <w:rPr>
                      <w:rFonts w:hint="eastAsia"/>
                      <w:bCs/>
                      <w:color w:val="auto"/>
                      <w:sz w:val="21"/>
                      <w:szCs w:val="21"/>
                      <w:highlight w:val="none"/>
                      <w:lang w:val="en-US" w:eastAsia="zh-CN"/>
                    </w:rPr>
                    <w:t>300mg/L</w:t>
                  </w:r>
                </w:p>
              </w:tc>
              <w:tc>
                <w:tcPr>
                  <w:tcW w:w="1852" w:type="pct"/>
                  <w:tcBorders>
                    <w:tl2br w:val="nil"/>
                    <w:tr2bl w:val="nil"/>
                  </w:tcBorders>
                  <w:noWrap w:val="0"/>
                  <w:vAlign w:val="center"/>
                </w:tcPr>
                <w:p w14:paraId="701CC83E">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10</w:t>
                  </w:r>
                  <w:r>
                    <w:rPr>
                      <w:rFonts w:hint="eastAsia"/>
                      <w:bCs/>
                      <w:color w:val="auto"/>
                      <w:sz w:val="21"/>
                      <w:szCs w:val="21"/>
                      <w:highlight w:val="none"/>
                      <w:lang w:val="en-US" w:eastAsia="zh-CN"/>
                    </w:rPr>
                    <w:t>mg/L</w:t>
                  </w:r>
                </w:p>
              </w:tc>
            </w:tr>
            <w:tr w14:paraId="50299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075B42D4">
                  <w:pPr>
                    <w:keepNext w:val="0"/>
                    <w:keepLines w:val="0"/>
                    <w:pageBreakBefore w:val="0"/>
                    <w:kinsoku/>
                    <w:wordWrap/>
                    <w:overflowPunct/>
                    <w:topLinePunct w:val="0"/>
                    <w:autoSpaceDE/>
                    <w:autoSpaceDN/>
                    <w:bidi w:val="0"/>
                    <w:adjustRightInd w:val="0"/>
                    <w:snapToGrid w:val="0"/>
                    <w:spacing w:line="240" w:lineRule="auto"/>
                    <w:jc w:val="center"/>
                    <w:textAlignment w:val="baseline"/>
                    <w:rPr>
                      <w:color w:val="auto"/>
                      <w:sz w:val="21"/>
                      <w:szCs w:val="21"/>
                      <w:highlight w:val="none"/>
                    </w:rPr>
                  </w:pPr>
                  <w:r>
                    <w:rPr>
                      <w:rFonts w:hint="eastAsia"/>
                      <w:color w:val="auto"/>
                      <w:sz w:val="21"/>
                      <w:szCs w:val="21"/>
                      <w:highlight w:val="none"/>
                      <w:lang w:val="en-US" w:eastAsia="zh-CN"/>
                    </w:rPr>
                    <w:t>SS</w:t>
                  </w:r>
                  <w:r>
                    <w:rPr>
                      <w:color w:val="auto"/>
                      <w:sz w:val="21"/>
                      <w:szCs w:val="21"/>
                      <w:highlight w:val="none"/>
                    </w:rPr>
                    <w:cr/>
                  </w:r>
                </w:p>
              </w:tc>
              <w:tc>
                <w:tcPr>
                  <w:tcW w:w="1809" w:type="pct"/>
                  <w:tcBorders>
                    <w:tl2br w:val="nil"/>
                    <w:tr2bl w:val="nil"/>
                  </w:tcBorders>
                  <w:noWrap w:val="0"/>
                  <w:vAlign w:val="center"/>
                </w:tcPr>
                <w:p w14:paraId="790D333D">
                  <w:pPr>
                    <w:keepNext w:val="0"/>
                    <w:keepLines w:val="0"/>
                    <w:pageBreakBefore w:val="0"/>
                    <w:kinsoku/>
                    <w:wordWrap/>
                    <w:overflowPunct/>
                    <w:topLinePunct w:val="0"/>
                    <w:autoSpaceDE/>
                    <w:autoSpaceDN/>
                    <w:bidi w:val="0"/>
                    <w:adjustRightInd w:val="0"/>
                    <w:snapToGrid w:val="0"/>
                    <w:spacing w:line="240" w:lineRule="auto"/>
                    <w:jc w:val="center"/>
                    <w:textAlignment w:val="baseline"/>
                    <w:rPr>
                      <w:color w:val="auto"/>
                      <w:sz w:val="21"/>
                      <w:szCs w:val="21"/>
                      <w:highlight w:val="none"/>
                    </w:rPr>
                  </w:pPr>
                  <w:r>
                    <w:rPr>
                      <w:color w:val="auto"/>
                      <w:sz w:val="21"/>
                      <w:szCs w:val="21"/>
                      <w:highlight w:val="none"/>
                    </w:rPr>
                    <w:t>400</w:t>
                  </w:r>
                  <w:r>
                    <w:rPr>
                      <w:rFonts w:hint="eastAsia"/>
                      <w:bCs/>
                      <w:color w:val="auto"/>
                      <w:sz w:val="21"/>
                      <w:szCs w:val="21"/>
                      <w:highlight w:val="none"/>
                      <w:lang w:val="en-US" w:eastAsia="zh-CN"/>
                    </w:rPr>
                    <w:t>mg/L</w:t>
                  </w:r>
                </w:p>
              </w:tc>
              <w:tc>
                <w:tcPr>
                  <w:tcW w:w="1852" w:type="pct"/>
                  <w:tcBorders>
                    <w:tl2br w:val="nil"/>
                    <w:tr2bl w:val="nil"/>
                  </w:tcBorders>
                  <w:noWrap w:val="0"/>
                  <w:vAlign w:val="center"/>
                </w:tcPr>
                <w:p w14:paraId="451E266C">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10</w:t>
                  </w:r>
                  <w:r>
                    <w:rPr>
                      <w:rFonts w:hint="eastAsia"/>
                      <w:bCs/>
                      <w:color w:val="auto"/>
                      <w:sz w:val="21"/>
                      <w:szCs w:val="21"/>
                      <w:highlight w:val="none"/>
                      <w:lang w:val="en-US" w:eastAsia="zh-CN"/>
                    </w:rPr>
                    <w:t>mg/L</w:t>
                  </w:r>
                </w:p>
              </w:tc>
            </w:tr>
            <w:tr w14:paraId="17D02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542AEEDA">
                  <w:pPr>
                    <w:keepNext w:val="0"/>
                    <w:keepLines w:val="0"/>
                    <w:pageBreakBefore w:val="0"/>
                    <w:kinsoku/>
                    <w:wordWrap/>
                    <w:overflowPunct/>
                    <w:topLinePunct w:val="0"/>
                    <w:autoSpaceDE/>
                    <w:autoSpaceDN/>
                    <w:bidi w:val="0"/>
                    <w:adjustRightInd w:val="0"/>
                    <w:snapToGrid w:val="0"/>
                    <w:spacing w:line="240" w:lineRule="auto"/>
                    <w:jc w:val="center"/>
                    <w:textAlignment w:val="baseline"/>
                    <w:rPr>
                      <w:b w:val="0"/>
                      <w:bCs w:val="0"/>
                      <w:color w:val="auto"/>
                      <w:sz w:val="21"/>
                      <w:szCs w:val="21"/>
                      <w:highlight w:val="none"/>
                    </w:rPr>
                  </w:pPr>
                  <w:r>
                    <w:rPr>
                      <w:rFonts w:hint="default" w:ascii="Times New Roman" w:hAnsi="Times New Roman" w:cs="Times New Roman"/>
                      <w:b w:val="0"/>
                      <w:bCs w:val="0"/>
                      <w:color w:val="auto"/>
                      <w:kern w:val="0"/>
                      <w:sz w:val="21"/>
                      <w:szCs w:val="21"/>
                      <w:highlight w:val="none"/>
                    </w:rPr>
                    <w:t>NH</w:t>
                  </w:r>
                  <w:r>
                    <w:rPr>
                      <w:rFonts w:hint="default" w:ascii="Times New Roman" w:hAnsi="Times New Roman" w:cs="Times New Roman"/>
                      <w:b w:val="0"/>
                      <w:bCs w:val="0"/>
                      <w:color w:val="auto"/>
                      <w:kern w:val="0"/>
                      <w:sz w:val="21"/>
                      <w:szCs w:val="21"/>
                      <w:highlight w:val="none"/>
                      <w:vertAlign w:val="subscript"/>
                    </w:rPr>
                    <w:t>3</w:t>
                  </w:r>
                  <w:r>
                    <w:rPr>
                      <w:rFonts w:hint="default" w:ascii="Times New Roman" w:hAnsi="Times New Roman" w:cs="Times New Roman"/>
                      <w:b w:val="0"/>
                      <w:bCs w:val="0"/>
                      <w:color w:val="auto"/>
                      <w:kern w:val="0"/>
                      <w:sz w:val="21"/>
                      <w:szCs w:val="21"/>
                      <w:highlight w:val="none"/>
                    </w:rPr>
                    <w:t>-N</w:t>
                  </w:r>
                </w:p>
              </w:tc>
              <w:tc>
                <w:tcPr>
                  <w:tcW w:w="1809" w:type="pct"/>
                  <w:tcBorders>
                    <w:tl2br w:val="nil"/>
                    <w:tr2bl w:val="nil"/>
                  </w:tcBorders>
                  <w:noWrap w:val="0"/>
                  <w:vAlign w:val="center"/>
                </w:tcPr>
                <w:p w14:paraId="48DC05CB">
                  <w:pPr>
                    <w:keepNext w:val="0"/>
                    <w:keepLines w:val="0"/>
                    <w:pageBreakBefore w:val="0"/>
                    <w:kinsoku/>
                    <w:wordWrap/>
                    <w:overflowPunct/>
                    <w:topLinePunct w:val="0"/>
                    <w:autoSpaceDE/>
                    <w:autoSpaceDN/>
                    <w:bidi w:val="0"/>
                    <w:adjustRightInd w:val="0"/>
                    <w:snapToGrid w:val="0"/>
                    <w:spacing w:line="240" w:lineRule="auto"/>
                    <w:jc w:val="center"/>
                    <w:textAlignment w:val="baseline"/>
                    <w:rPr>
                      <w:color w:val="auto"/>
                      <w:sz w:val="21"/>
                      <w:szCs w:val="21"/>
                      <w:highlight w:val="none"/>
                    </w:rPr>
                  </w:pPr>
                  <w:r>
                    <w:rPr>
                      <w:rFonts w:hint="eastAsia"/>
                      <w:color w:val="auto"/>
                      <w:sz w:val="21"/>
                      <w:szCs w:val="21"/>
                      <w:highlight w:val="none"/>
                    </w:rPr>
                    <w:t>45</w:t>
                  </w:r>
                  <w:r>
                    <w:rPr>
                      <w:rFonts w:hint="eastAsia"/>
                      <w:bCs/>
                      <w:color w:val="auto"/>
                      <w:sz w:val="21"/>
                      <w:szCs w:val="21"/>
                      <w:highlight w:val="none"/>
                      <w:lang w:val="en-US" w:eastAsia="zh-CN"/>
                    </w:rPr>
                    <w:t>mg/L</w:t>
                  </w:r>
                </w:p>
              </w:tc>
              <w:tc>
                <w:tcPr>
                  <w:tcW w:w="1852" w:type="pct"/>
                  <w:tcBorders>
                    <w:tl2br w:val="nil"/>
                    <w:tr2bl w:val="nil"/>
                  </w:tcBorders>
                  <w:noWrap w:val="0"/>
                  <w:vAlign w:val="center"/>
                </w:tcPr>
                <w:p w14:paraId="3CE87489">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eastAsia="宋体"/>
                      <w:color w:val="auto"/>
                      <w:sz w:val="21"/>
                      <w:szCs w:val="21"/>
                      <w:highlight w:val="none"/>
                      <w:lang w:eastAsia="zh-CN"/>
                    </w:rPr>
                  </w:pPr>
                  <w:r>
                    <w:rPr>
                      <w:rFonts w:hint="eastAsia"/>
                      <w:color w:val="auto"/>
                      <w:sz w:val="21"/>
                      <w:szCs w:val="21"/>
                      <w:highlight w:val="none"/>
                      <w:lang w:val="en-US" w:eastAsia="zh-CN"/>
                    </w:rPr>
                    <w:t>5</w:t>
                  </w:r>
                  <w:r>
                    <w:rPr>
                      <w:rFonts w:hint="eastAsia"/>
                      <w:bCs/>
                      <w:color w:val="auto"/>
                      <w:sz w:val="21"/>
                      <w:szCs w:val="21"/>
                      <w:highlight w:val="none"/>
                      <w:lang w:val="en-US" w:eastAsia="zh-CN"/>
                    </w:rPr>
                    <w:t>mg/L</w:t>
                  </w:r>
                </w:p>
              </w:tc>
            </w:tr>
            <w:tr w14:paraId="18C2E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5C1FC200">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kern w:val="0"/>
                      <w:sz w:val="21"/>
                      <w:szCs w:val="21"/>
                      <w:highlight w:val="none"/>
                      <w:lang w:val="en-US" w:eastAsia="zh-CN"/>
                    </w:rPr>
                  </w:pPr>
                  <w:bookmarkStart w:id="20" w:name="_Ref475344692"/>
                  <w:r>
                    <w:rPr>
                      <w:rFonts w:hint="eastAsia" w:cs="Times New Roman"/>
                      <w:b w:val="0"/>
                      <w:bCs w:val="0"/>
                      <w:color w:val="auto"/>
                      <w:kern w:val="0"/>
                      <w:sz w:val="21"/>
                      <w:szCs w:val="21"/>
                      <w:highlight w:val="none"/>
                      <w:lang w:val="en-US" w:eastAsia="zh-CN"/>
                    </w:rPr>
                    <w:t>总磷</w:t>
                  </w:r>
                </w:p>
              </w:tc>
              <w:tc>
                <w:tcPr>
                  <w:tcW w:w="1809" w:type="pct"/>
                  <w:tcBorders>
                    <w:tl2br w:val="nil"/>
                    <w:tr2bl w:val="nil"/>
                  </w:tcBorders>
                  <w:noWrap w:val="0"/>
                  <w:vAlign w:val="center"/>
                </w:tcPr>
                <w:p w14:paraId="2ED6CB23">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8</w:t>
                  </w:r>
                  <w:r>
                    <w:rPr>
                      <w:rFonts w:hint="eastAsia"/>
                      <w:bCs/>
                      <w:color w:val="auto"/>
                      <w:sz w:val="21"/>
                      <w:szCs w:val="21"/>
                      <w:highlight w:val="none"/>
                      <w:lang w:val="en-US" w:eastAsia="zh-CN"/>
                    </w:rPr>
                    <w:t>mg/L</w:t>
                  </w:r>
                </w:p>
              </w:tc>
              <w:tc>
                <w:tcPr>
                  <w:tcW w:w="1852" w:type="pct"/>
                  <w:tcBorders>
                    <w:tl2br w:val="nil"/>
                    <w:tr2bl w:val="nil"/>
                  </w:tcBorders>
                  <w:noWrap w:val="0"/>
                  <w:vAlign w:val="center"/>
                </w:tcPr>
                <w:p w14:paraId="59915B31">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0.5</w:t>
                  </w:r>
                  <w:r>
                    <w:rPr>
                      <w:rFonts w:hint="eastAsia"/>
                      <w:bCs/>
                      <w:color w:val="auto"/>
                      <w:sz w:val="21"/>
                      <w:szCs w:val="21"/>
                      <w:highlight w:val="none"/>
                      <w:lang w:val="en-US" w:eastAsia="zh-CN"/>
                    </w:rPr>
                    <w:t>mg/L</w:t>
                  </w:r>
                </w:p>
              </w:tc>
            </w:tr>
            <w:tr w14:paraId="75C7B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tcBorders>
                    <w:tl2br w:val="nil"/>
                    <w:tr2bl w:val="nil"/>
                  </w:tcBorders>
                  <w:noWrap w:val="0"/>
                  <w:vAlign w:val="center"/>
                </w:tcPr>
                <w:p w14:paraId="5E54BF58">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总氮</w:t>
                  </w:r>
                </w:p>
              </w:tc>
              <w:tc>
                <w:tcPr>
                  <w:tcW w:w="1809" w:type="pct"/>
                  <w:tcBorders>
                    <w:tl2br w:val="nil"/>
                    <w:tr2bl w:val="nil"/>
                  </w:tcBorders>
                  <w:noWrap w:val="0"/>
                  <w:vAlign w:val="center"/>
                </w:tcPr>
                <w:p w14:paraId="76395052">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70</w:t>
                  </w:r>
                  <w:r>
                    <w:rPr>
                      <w:rFonts w:hint="eastAsia"/>
                      <w:bCs/>
                      <w:color w:val="auto"/>
                      <w:sz w:val="21"/>
                      <w:szCs w:val="21"/>
                      <w:highlight w:val="none"/>
                      <w:lang w:val="en-US" w:eastAsia="zh-CN"/>
                    </w:rPr>
                    <w:t>mg/L</w:t>
                  </w:r>
                </w:p>
              </w:tc>
              <w:tc>
                <w:tcPr>
                  <w:tcW w:w="1852" w:type="pct"/>
                  <w:tcBorders>
                    <w:tl2br w:val="nil"/>
                    <w:tr2bl w:val="nil"/>
                  </w:tcBorders>
                  <w:noWrap w:val="0"/>
                  <w:vAlign w:val="center"/>
                </w:tcPr>
                <w:p w14:paraId="606AF1E2">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15</w:t>
                  </w:r>
                  <w:r>
                    <w:rPr>
                      <w:rFonts w:hint="eastAsia"/>
                      <w:bCs/>
                      <w:color w:val="auto"/>
                      <w:sz w:val="21"/>
                      <w:szCs w:val="21"/>
                      <w:highlight w:val="none"/>
                      <w:lang w:val="en-US" w:eastAsia="zh-CN"/>
                    </w:rPr>
                    <w:t>mg/L</w:t>
                  </w:r>
                </w:p>
              </w:tc>
            </w:tr>
            <w:bookmarkEnd w:id="20"/>
          </w:tbl>
          <w:p w14:paraId="1171CB26">
            <w:pPr>
              <w:pStyle w:val="82"/>
              <w:spacing w:before="120" w:beforeLines="50"/>
              <w:rPr>
                <w:rFonts w:hint="eastAsia"/>
                <w:color w:val="auto"/>
                <w:sz w:val="24"/>
                <w:szCs w:val="24"/>
              </w:rPr>
            </w:pPr>
          </w:p>
          <w:p w14:paraId="178F89BB">
            <w:pPr>
              <w:pStyle w:val="82"/>
              <w:spacing w:before="120" w:beforeLines="50"/>
              <w:rPr>
                <w:rFonts w:hint="eastAsia"/>
                <w:color w:val="auto"/>
                <w:sz w:val="24"/>
                <w:szCs w:val="24"/>
              </w:rPr>
            </w:pPr>
          </w:p>
          <w:p w14:paraId="7A736739">
            <w:pPr>
              <w:pStyle w:val="82"/>
              <w:spacing w:before="120" w:beforeLines="50"/>
              <w:rPr>
                <w:color w:val="auto"/>
                <w:sz w:val="24"/>
                <w:szCs w:val="24"/>
              </w:rPr>
            </w:pPr>
            <w:r>
              <w:rPr>
                <w:rFonts w:hint="eastAsia"/>
                <w:color w:val="auto"/>
                <w:sz w:val="24"/>
                <w:szCs w:val="24"/>
              </w:rPr>
              <w:t>3、噪声</w:t>
            </w:r>
          </w:p>
          <w:p w14:paraId="384BFB4E">
            <w:pPr>
              <w:adjustRightInd w:val="0"/>
              <w:snapToGrid w:val="0"/>
              <w:spacing w:line="348" w:lineRule="auto"/>
              <w:ind w:firstLine="480" w:firstLineChars="200"/>
              <w:rPr>
                <w:color w:val="auto"/>
                <w:kern w:val="18"/>
                <w:sz w:val="24"/>
                <w:szCs w:val="24"/>
              </w:rPr>
            </w:pPr>
            <w:r>
              <w:rPr>
                <w:rFonts w:hint="eastAsia"/>
                <w:color w:val="auto"/>
                <w:kern w:val="18"/>
                <w:sz w:val="24"/>
                <w:szCs w:val="24"/>
              </w:rPr>
              <w:t>项目位于福建（大田）机械铸造产业集聚区，运营期</w:t>
            </w:r>
            <w:r>
              <w:rPr>
                <w:color w:val="auto"/>
                <w:kern w:val="18"/>
                <w:sz w:val="24"/>
                <w:szCs w:val="24"/>
              </w:rPr>
              <w:t>厂界噪声执行《工业企业厂界环境噪声排放标准》（GB12348-2008）中3类区标准</w:t>
            </w:r>
            <w:r>
              <w:rPr>
                <w:rFonts w:hint="eastAsia"/>
                <w:color w:val="auto"/>
                <w:kern w:val="18"/>
                <w:sz w:val="24"/>
                <w:szCs w:val="24"/>
              </w:rPr>
              <w:t>，</w:t>
            </w:r>
            <w:r>
              <w:rPr>
                <w:color w:val="auto"/>
                <w:kern w:val="18"/>
                <w:sz w:val="24"/>
                <w:szCs w:val="24"/>
              </w:rPr>
              <w:t>详见</w:t>
            </w:r>
            <w:r>
              <w:rPr>
                <w:rFonts w:hint="eastAsia"/>
                <w:color w:val="auto"/>
                <w:kern w:val="18"/>
                <w:sz w:val="24"/>
                <w:szCs w:val="24"/>
              </w:rPr>
              <w:t>下表</w:t>
            </w:r>
            <w:r>
              <w:rPr>
                <w:color w:val="auto"/>
                <w:kern w:val="18"/>
                <w:sz w:val="24"/>
                <w:szCs w:val="24"/>
              </w:rPr>
              <w:t>。</w:t>
            </w:r>
          </w:p>
          <w:p w14:paraId="55F4B41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黑体"/>
                <w:color w:val="auto"/>
                <w:kern w:val="0"/>
                <w:sz w:val="24"/>
                <w:szCs w:val="24"/>
              </w:rPr>
            </w:pPr>
            <w:r>
              <w:rPr>
                <w:rFonts w:eastAsia="黑体"/>
                <w:color w:val="auto"/>
                <w:kern w:val="0"/>
                <w:sz w:val="24"/>
                <w:szCs w:val="24"/>
              </w:rPr>
              <w:t>表3</w:t>
            </w:r>
            <w:r>
              <w:rPr>
                <w:rFonts w:hint="eastAsia" w:eastAsia="黑体"/>
                <w:color w:val="auto"/>
                <w:kern w:val="0"/>
                <w:sz w:val="24"/>
                <w:szCs w:val="24"/>
              </w:rPr>
              <w:t>-1</w:t>
            </w:r>
            <w:r>
              <w:rPr>
                <w:rFonts w:hint="eastAsia" w:eastAsia="黑体"/>
                <w:color w:val="auto"/>
                <w:kern w:val="0"/>
                <w:sz w:val="24"/>
                <w:szCs w:val="24"/>
                <w:lang w:val="en-US" w:eastAsia="zh-CN"/>
              </w:rPr>
              <w:t>4</w:t>
            </w:r>
            <w:r>
              <w:rPr>
                <w:rFonts w:eastAsia="黑体"/>
                <w:color w:val="auto"/>
                <w:kern w:val="0"/>
                <w:sz w:val="24"/>
                <w:szCs w:val="24"/>
              </w:rPr>
              <w:t xml:space="preserve">  噪声排放</w:t>
            </w:r>
            <w:r>
              <w:rPr>
                <w:rFonts w:hint="eastAsia" w:eastAsia="黑体"/>
                <w:color w:val="auto"/>
                <w:kern w:val="0"/>
                <w:sz w:val="24"/>
                <w:szCs w:val="24"/>
              </w:rPr>
              <w:t>标准</w:t>
            </w:r>
            <w:r>
              <w:rPr>
                <w:rFonts w:eastAsia="黑体"/>
                <w:color w:val="auto"/>
                <w:kern w:val="0"/>
                <w:sz w:val="24"/>
                <w:szCs w:val="24"/>
              </w:rPr>
              <w:t xml:space="preserve">   单位：dB（A）</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923"/>
              <w:gridCol w:w="1133"/>
              <w:gridCol w:w="1192"/>
              <w:gridCol w:w="1838"/>
              <w:gridCol w:w="2624"/>
            </w:tblGrid>
            <w:tr w14:paraId="47841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9" w:type="pct"/>
                  <w:vAlign w:val="center"/>
                </w:tcPr>
                <w:p w14:paraId="27AD4DD1">
                  <w:pPr>
                    <w:adjustRightInd w:val="0"/>
                    <w:snapToGrid w:val="0"/>
                    <w:ind w:left="-105" w:leftChars="-50" w:right="-105" w:rightChars="-50"/>
                    <w:jc w:val="center"/>
                    <w:rPr>
                      <w:b/>
                      <w:bCs w:val="0"/>
                      <w:color w:val="auto"/>
                      <w:kern w:val="0"/>
                      <w:sz w:val="21"/>
                      <w:szCs w:val="21"/>
                    </w:rPr>
                  </w:pPr>
                  <w:r>
                    <w:rPr>
                      <w:b/>
                      <w:bCs w:val="0"/>
                      <w:color w:val="auto"/>
                      <w:kern w:val="0"/>
                      <w:sz w:val="21"/>
                      <w:szCs w:val="21"/>
                    </w:rPr>
                    <w:t>序号</w:t>
                  </w:r>
                </w:p>
              </w:tc>
              <w:tc>
                <w:tcPr>
                  <w:tcW w:w="547" w:type="pct"/>
                  <w:vAlign w:val="center"/>
                </w:tcPr>
                <w:p w14:paraId="3E8F09A4">
                  <w:pPr>
                    <w:adjustRightInd w:val="0"/>
                    <w:snapToGrid w:val="0"/>
                    <w:ind w:left="-105" w:leftChars="-50" w:right="-105" w:rightChars="-50"/>
                    <w:jc w:val="center"/>
                    <w:rPr>
                      <w:b/>
                      <w:bCs w:val="0"/>
                      <w:color w:val="auto"/>
                      <w:kern w:val="0"/>
                      <w:sz w:val="21"/>
                      <w:szCs w:val="21"/>
                    </w:rPr>
                  </w:pPr>
                  <w:r>
                    <w:rPr>
                      <w:rFonts w:hint="eastAsia"/>
                      <w:b/>
                      <w:bCs w:val="0"/>
                      <w:color w:val="auto"/>
                      <w:kern w:val="0"/>
                      <w:sz w:val="21"/>
                      <w:szCs w:val="21"/>
                    </w:rPr>
                    <w:t>时期</w:t>
                  </w:r>
                </w:p>
              </w:tc>
              <w:tc>
                <w:tcPr>
                  <w:tcW w:w="671" w:type="pct"/>
                  <w:vAlign w:val="center"/>
                </w:tcPr>
                <w:p w14:paraId="1071B3B2">
                  <w:pPr>
                    <w:adjustRightInd w:val="0"/>
                    <w:snapToGrid w:val="0"/>
                    <w:ind w:left="-105" w:leftChars="-50" w:right="-105" w:rightChars="-50"/>
                    <w:jc w:val="center"/>
                    <w:rPr>
                      <w:b/>
                      <w:bCs w:val="0"/>
                      <w:color w:val="auto"/>
                      <w:kern w:val="0"/>
                      <w:sz w:val="21"/>
                      <w:szCs w:val="21"/>
                    </w:rPr>
                  </w:pPr>
                  <w:r>
                    <w:rPr>
                      <w:b/>
                      <w:bCs w:val="0"/>
                      <w:color w:val="auto"/>
                      <w:kern w:val="0"/>
                      <w:sz w:val="21"/>
                      <w:szCs w:val="21"/>
                    </w:rPr>
                    <w:t>位置</w:t>
                  </w:r>
                </w:p>
              </w:tc>
              <w:tc>
                <w:tcPr>
                  <w:tcW w:w="706" w:type="pct"/>
                  <w:vAlign w:val="center"/>
                </w:tcPr>
                <w:p w14:paraId="75076257">
                  <w:pPr>
                    <w:adjustRightInd w:val="0"/>
                    <w:snapToGrid w:val="0"/>
                    <w:ind w:left="-105" w:leftChars="-50" w:right="-105" w:rightChars="-50"/>
                    <w:jc w:val="center"/>
                    <w:rPr>
                      <w:b/>
                      <w:bCs w:val="0"/>
                      <w:color w:val="auto"/>
                      <w:kern w:val="0"/>
                      <w:sz w:val="21"/>
                      <w:szCs w:val="21"/>
                    </w:rPr>
                  </w:pPr>
                  <w:r>
                    <w:rPr>
                      <w:b/>
                      <w:bCs w:val="0"/>
                      <w:color w:val="auto"/>
                      <w:kern w:val="0"/>
                      <w:sz w:val="21"/>
                      <w:szCs w:val="21"/>
                    </w:rPr>
                    <w:t>时段</w:t>
                  </w:r>
                </w:p>
              </w:tc>
              <w:tc>
                <w:tcPr>
                  <w:tcW w:w="1089" w:type="pct"/>
                  <w:vAlign w:val="center"/>
                </w:tcPr>
                <w:p w14:paraId="3754AA07">
                  <w:pPr>
                    <w:adjustRightInd w:val="0"/>
                    <w:snapToGrid w:val="0"/>
                    <w:ind w:left="-105" w:leftChars="-50" w:right="-105" w:rightChars="-50"/>
                    <w:jc w:val="center"/>
                    <w:rPr>
                      <w:b/>
                      <w:bCs w:val="0"/>
                      <w:color w:val="auto"/>
                      <w:kern w:val="0"/>
                      <w:sz w:val="21"/>
                      <w:szCs w:val="21"/>
                    </w:rPr>
                  </w:pPr>
                  <w:r>
                    <w:rPr>
                      <w:b/>
                      <w:bCs w:val="0"/>
                      <w:color w:val="auto"/>
                      <w:kern w:val="0"/>
                      <w:sz w:val="21"/>
                      <w:szCs w:val="21"/>
                    </w:rPr>
                    <w:t>标准限值dB（A）</w:t>
                  </w:r>
                </w:p>
              </w:tc>
              <w:tc>
                <w:tcPr>
                  <w:tcW w:w="1554" w:type="pct"/>
                  <w:vAlign w:val="center"/>
                </w:tcPr>
                <w:p w14:paraId="460BA349">
                  <w:pPr>
                    <w:adjustRightInd w:val="0"/>
                    <w:snapToGrid w:val="0"/>
                    <w:ind w:left="-105" w:leftChars="-50" w:right="-105" w:rightChars="-50"/>
                    <w:jc w:val="center"/>
                    <w:rPr>
                      <w:b/>
                      <w:bCs w:val="0"/>
                      <w:color w:val="auto"/>
                      <w:kern w:val="0"/>
                      <w:sz w:val="21"/>
                      <w:szCs w:val="21"/>
                    </w:rPr>
                  </w:pPr>
                  <w:r>
                    <w:rPr>
                      <w:b/>
                      <w:bCs w:val="0"/>
                      <w:color w:val="auto"/>
                      <w:kern w:val="0"/>
                      <w:sz w:val="21"/>
                      <w:szCs w:val="21"/>
                    </w:rPr>
                    <w:t>执行标准</w:t>
                  </w:r>
                </w:p>
              </w:tc>
            </w:tr>
            <w:tr w14:paraId="20B01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restart"/>
                  <w:vAlign w:val="center"/>
                </w:tcPr>
                <w:p w14:paraId="14822010">
                  <w:pPr>
                    <w:adjustRightInd w:val="0"/>
                    <w:snapToGrid w:val="0"/>
                    <w:ind w:left="-105" w:leftChars="-50" w:right="-105" w:rightChars="-50"/>
                    <w:jc w:val="center"/>
                    <w:rPr>
                      <w:rFonts w:hint="eastAsia" w:eastAsia="宋体"/>
                      <w:bCs/>
                      <w:color w:val="auto"/>
                      <w:kern w:val="0"/>
                      <w:sz w:val="21"/>
                      <w:szCs w:val="21"/>
                      <w:lang w:eastAsia="zh-CN"/>
                    </w:rPr>
                  </w:pPr>
                  <w:r>
                    <w:rPr>
                      <w:rFonts w:hint="eastAsia"/>
                      <w:bCs/>
                      <w:color w:val="auto"/>
                      <w:kern w:val="0"/>
                      <w:sz w:val="21"/>
                      <w:szCs w:val="21"/>
                      <w:lang w:val="en-US" w:eastAsia="zh-CN"/>
                    </w:rPr>
                    <w:t>1</w:t>
                  </w:r>
                </w:p>
              </w:tc>
              <w:tc>
                <w:tcPr>
                  <w:tcW w:w="547" w:type="pct"/>
                  <w:vMerge w:val="restart"/>
                  <w:vAlign w:val="center"/>
                </w:tcPr>
                <w:p w14:paraId="5F14BCCF">
                  <w:pPr>
                    <w:adjustRightInd w:val="0"/>
                    <w:snapToGrid w:val="0"/>
                    <w:ind w:left="-105" w:leftChars="-50" w:right="-105" w:rightChars="-50"/>
                    <w:jc w:val="center"/>
                    <w:rPr>
                      <w:bCs/>
                      <w:color w:val="auto"/>
                      <w:kern w:val="0"/>
                      <w:sz w:val="21"/>
                      <w:szCs w:val="21"/>
                    </w:rPr>
                  </w:pPr>
                  <w:r>
                    <w:rPr>
                      <w:rFonts w:hint="eastAsia"/>
                      <w:bCs/>
                      <w:color w:val="auto"/>
                      <w:kern w:val="0"/>
                      <w:sz w:val="21"/>
                      <w:szCs w:val="21"/>
                    </w:rPr>
                    <w:t>运营期</w:t>
                  </w:r>
                </w:p>
              </w:tc>
              <w:tc>
                <w:tcPr>
                  <w:tcW w:w="671" w:type="pct"/>
                  <w:vMerge w:val="restart"/>
                  <w:vAlign w:val="center"/>
                </w:tcPr>
                <w:p w14:paraId="399C377A">
                  <w:pPr>
                    <w:adjustRightInd w:val="0"/>
                    <w:snapToGrid w:val="0"/>
                    <w:ind w:left="-105" w:leftChars="-50" w:right="-105" w:rightChars="-50"/>
                    <w:jc w:val="center"/>
                    <w:rPr>
                      <w:bCs/>
                      <w:color w:val="auto"/>
                      <w:kern w:val="0"/>
                      <w:sz w:val="21"/>
                      <w:szCs w:val="21"/>
                    </w:rPr>
                  </w:pPr>
                  <w:r>
                    <w:rPr>
                      <w:bCs/>
                      <w:color w:val="auto"/>
                      <w:kern w:val="0"/>
                      <w:sz w:val="21"/>
                      <w:szCs w:val="21"/>
                    </w:rPr>
                    <w:t>厂界</w:t>
                  </w:r>
                </w:p>
              </w:tc>
              <w:tc>
                <w:tcPr>
                  <w:tcW w:w="706" w:type="pct"/>
                  <w:vAlign w:val="center"/>
                </w:tcPr>
                <w:p w14:paraId="39091AD6">
                  <w:pPr>
                    <w:adjustRightInd w:val="0"/>
                    <w:snapToGrid w:val="0"/>
                    <w:ind w:left="-105" w:leftChars="-50" w:right="-105" w:rightChars="-50"/>
                    <w:jc w:val="center"/>
                    <w:rPr>
                      <w:bCs/>
                      <w:color w:val="auto"/>
                      <w:kern w:val="0"/>
                      <w:sz w:val="21"/>
                      <w:szCs w:val="21"/>
                    </w:rPr>
                  </w:pPr>
                  <w:r>
                    <w:rPr>
                      <w:bCs/>
                      <w:color w:val="auto"/>
                      <w:kern w:val="0"/>
                      <w:sz w:val="21"/>
                      <w:szCs w:val="21"/>
                    </w:rPr>
                    <w:t>昼间</w:t>
                  </w:r>
                </w:p>
              </w:tc>
              <w:tc>
                <w:tcPr>
                  <w:tcW w:w="1089" w:type="pct"/>
                  <w:vAlign w:val="center"/>
                </w:tcPr>
                <w:p w14:paraId="2D576394">
                  <w:pPr>
                    <w:adjustRightInd w:val="0"/>
                    <w:snapToGrid w:val="0"/>
                    <w:ind w:left="-105" w:leftChars="-50" w:right="-105" w:rightChars="-50"/>
                    <w:jc w:val="center"/>
                    <w:rPr>
                      <w:bCs/>
                      <w:color w:val="auto"/>
                      <w:kern w:val="0"/>
                      <w:sz w:val="21"/>
                      <w:szCs w:val="21"/>
                    </w:rPr>
                  </w:pPr>
                  <w:r>
                    <w:rPr>
                      <w:bCs/>
                      <w:color w:val="auto"/>
                      <w:kern w:val="0"/>
                      <w:sz w:val="21"/>
                      <w:szCs w:val="21"/>
                    </w:rPr>
                    <w:t>65</w:t>
                  </w:r>
                </w:p>
              </w:tc>
              <w:tc>
                <w:tcPr>
                  <w:tcW w:w="1554" w:type="pct"/>
                  <w:vMerge w:val="restart"/>
                  <w:vAlign w:val="center"/>
                </w:tcPr>
                <w:p w14:paraId="0C93E475">
                  <w:pPr>
                    <w:adjustRightInd w:val="0"/>
                    <w:snapToGrid w:val="0"/>
                    <w:ind w:left="-105" w:leftChars="-50" w:right="-105" w:rightChars="-50"/>
                    <w:jc w:val="center"/>
                    <w:rPr>
                      <w:bCs/>
                      <w:color w:val="auto"/>
                      <w:kern w:val="0"/>
                      <w:sz w:val="21"/>
                      <w:szCs w:val="21"/>
                    </w:rPr>
                  </w:pPr>
                  <w:r>
                    <w:rPr>
                      <w:bCs/>
                      <w:color w:val="auto"/>
                      <w:kern w:val="0"/>
                      <w:sz w:val="21"/>
                      <w:szCs w:val="21"/>
                    </w:rPr>
                    <w:t>GB12348-2008中3类标准</w:t>
                  </w:r>
                </w:p>
              </w:tc>
            </w:tr>
            <w:tr w14:paraId="482E6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Merge w:val="continue"/>
                  <w:vAlign w:val="center"/>
                </w:tcPr>
                <w:p w14:paraId="1FA687BC">
                  <w:pPr>
                    <w:adjustRightInd w:val="0"/>
                    <w:snapToGrid w:val="0"/>
                    <w:ind w:left="-105" w:leftChars="-50" w:right="-105" w:rightChars="-50"/>
                    <w:jc w:val="center"/>
                    <w:rPr>
                      <w:bCs/>
                      <w:color w:val="auto"/>
                      <w:kern w:val="0"/>
                      <w:sz w:val="21"/>
                      <w:szCs w:val="21"/>
                    </w:rPr>
                  </w:pPr>
                </w:p>
              </w:tc>
              <w:tc>
                <w:tcPr>
                  <w:tcW w:w="547" w:type="pct"/>
                  <w:vMerge w:val="continue"/>
                  <w:vAlign w:val="center"/>
                </w:tcPr>
                <w:p w14:paraId="52B1F5DC">
                  <w:pPr>
                    <w:adjustRightInd w:val="0"/>
                    <w:snapToGrid w:val="0"/>
                    <w:ind w:left="-105" w:leftChars="-50" w:right="-105" w:rightChars="-50"/>
                    <w:jc w:val="center"/>
                    <w:rPr>
                      <w:bCs/>
                      <w:color w:val="auto"/>
                      <w:kern w:val="0"/>
                      <w:sz w:val="21"/>
                      <w:szCs w:val="21"/>
                    </w:rPr>
                  </w:pPr>
                </w:p>
              </w:tc>
              <w:tc>
                <w:tcPr>
                  <w:tcW w:w="671" w:type="pct"/>
                  <w:vMerge w:val="continue"/>
                  <w:vAlign w:val="center"/>
                </w:tcPr>
                <w:p w14:paraId="1031EC77">
                  <w:pPr>
                    <w:adjustRightInd w:val="0"/>
                    <w:snapToGrid w:val="0"/>
                    <w:ind w:left="-105" w:leftChars="-50" w:right="-105" w:rightChars="-50"/>
                    <w:jc w:val="center"/>
                    <w:rPr>
                      <w:bCs/>
                      <w:color w:val="auto"/>
                      <w:kern w:val="0"/>
                      <w:sz w:val="21"/>
                      <w:szCs w:val="21"/>
                    </w:rPr>
                  </w:pPr>
                </w:p>
              </w:tc>
              <w:tc>
                <w:tcPr>
                  <w:tcW w:w="706" w:type="pct"/>
                  <w:vAlign w:val="center"/>
                </w:tcPr>
                <w:p w14:paraId="66494827">
                  <w:pPr>
                    <w:adjustRightInd w:val="0"/>
                    <w:snapToGrid w:val="0"/>
                    <w:ind w:left="-105" w:leftChars="-50" w:right="-105" w:rightChars="-50"/>
                    <w:jc w:val="center"/>
                    <w:rPr>
                      <w:bCs/>
                      <w:color w:val="auto"/>
                      <w:kern w:val="0"/>
                      <w:sz w:val="21"/>
                      <w:szCs w:val="21"/>
                    </w:rPr>
                  </w:pPr>
                  <w:r>
                    <w:rPr>
                      <w:bCs/>
                      <w:color w:val="auto"/>
                      <w:kern w:val="0"/>
                      <w:sz w:val="21"/>
                      <w:szCs w:val="21"/>
                    </w:rPr>
                    <w:t>夜间</w:t>
                  </w:r>
                </w:p>
              </w:tc>
              <w:tc>
                <w:tcPr>
                  <w:tcW w:w="1089" w:type="pct"/>
                  <w:vAlign w:val="center"/>
                </w:tcPr>
                <w:p w14:paraId="2461DF7B">
                  <w:pPr>
                    <w:adjustRightInd w:val="0"/>
                    <w:snapToGrid w:val="0"/>
                    <w:ind w:left="-105" w:leftChars="-50" w:right="-105" w:rightChars="-50"/>
                    <w:jc w:val="center"/>
                    <w:rPr>
                      <w:bCs/>
                      <w:color w:val="auto"/>
                      <w:kern w:val="0"/>
                      <w:sz w:val="21"/>
                      <w:szCs w:val="21"/>
                    </w:rPr>
                  </w:pPr>
                  <w:r>
                    <w:rPr>
                      <w:bCs/>
                      <w:color w:val="auto"/>
                      <w:kern w:val="0"/>
                      <w:sz w:val="21"/>
                      <w:szCs w:val="21"/>
                    </w:rPr>
                    <w:t>55</w:t>
                  </w:r>
                </w:p>
              </w:tc>
              <w:tc>
                <w:tcPr>
                  <w:tcW w:w="1554" w:type="pct"/>
                  <w:vMerge w:val="continue"/>
                  <w:vAlign w:val="center"/>
                </w:tcPr>
                <w:p w14:paraId="59C726F5">
                  <w:pPr>
                    <w:adjustRightInd w:val="0"/>
                    <w:snapToGrid w:val="0"/>
                    <w:ind w:left="-105" w:leftChars="-50" w:right="-105" w:rightChars="-50"/>
                    <w:jc w:val="center"/>
                    <w:rPr>
                      <w:bCs/>
                      <w:color w:val="auto"/>
                      <w:kern w:val="0"/>
                      <w:sz w:val="21"/>
                      <w:szCs w:val="21"/>
                    </w:rPr>
                  </w:pPr>
                </w:p>
              </w:tc>
            </w:tr>
          </w:tbl>
          <w:p w14:paraId="36D0EC71">
            <w:pPr>
              <w:pStyle w:val="82"/>
              <w:spacing w:before="120" w:beforeLines="50"/>
              <w:rPr>
                <w:color w:val="auto"/>
                <w:sz w:val="24"/>
                <w:szCs w:val="24"/>
              </w:rPr>
            </w:pPr>
            <w:r>
              <w:rPr>
                <w:rFonts w:hint="eastAsia"/>
                <w:color w:val="auto"/>
                <w:sz w:val="24"/>
                <w:szCs w:val="24"/>
              </w:rPr>
              <w:t>4、固体废弃物</w:t>
            </w:r>
          </w:p>
          <w:p w14:paraId="080B8245">
            <w:pPr>
              <w:adjustRightInd w:val="0"/>
              <w:snapToGrid w:val="0"/>
              <w:spacing w:line="360" w:lineRule="auto"/>
              <w:ind w:firstLine="480" w:firstLineChars="200"/>
              <w:rPr>
                <w:rFonts w:hint="eastAsia"/>
                <w:color w:val="auto"/>
                <w:kern w:val="18"/>
                <w:sz w:val="24"/>
                <w:szCs w:val="24"/>
              </w:rPr>
            </w:pPr>
            <w:r>
              <w:rPr>
                <w:rFonts w:hint="eastAsia"/>
                <w:color w:val="auto"/>
                <w:kern w:val="18"/>
                <w:sz w:val="24"/>
                <w:szCs w:val="24"/>
              </w:rPr>
              <w:t>本项目一般工业固体废物的贮存、处置应执行《一般工业固体废物贮存和填埋污染控制标准》(GB18599-2020)中标准要求；危险废物贮存执行《危险废物贮存污染控制标准》（GB 18597-2023）；一般工业固体废物贮存过程应满足相应防扬尘、防雨淋、防渗漏等环境保护要求。</w:t>
            </w:r>
          </w:p>
          <w:p w14:paraId="1FE24CC3">
            <w:pPr>
              <w:adjustRightInd w:val="0"/>
              <w:snapToGrid w:val="0"/>
              <w:spacing w:line="360" w:lineRule="auto"/>
              <w:ind w:firstLine="480" w:firstLineChars="200"/>
              <w:rPr>
                <w:rFonts w:hint="eastAsia" w:hAnsi="宋体"/>
                <w:color w:val="auto"/>
                <w:kern w:val="0"/>
                <w:sz w:val="24"/>
              </w:rPr>
            </w:pPr>
            <w:r>
              <w:rPr>
                <w:rFonts w:hint="eastAsia" w:hAnsi="宋体"/>
                <w:color w:val="auto"/>
                <w:kern w:val="0"/>
                <w:sz w:val="24"/>
              </w:rPr>
              <w:t>生活垃圾贮存处理参照《城市环境卫生设施规划规范》（</w:t>
            </w:r>
            <w:r>
              <w:rPr>
                <w:rFonts w:hAnsi="宋体"/>
                <w:color w:val="auto"/>
                <w:kern w:val="0"/>
                <w:sz w:val="24"/>
              </w:rPr>
              <w:t>GB</w:t>
            </w:r>
            <w:r>
              <w:rPr>
                <w:rFonts w:hint="eastAsia" w:hAnsi="宋体"/>
                <w:color w:val="auto"/>
                <w:kern w:val="0"/>
                <w:sz w:val="24"/>
              </w:rPr>
              <w:t>/T</w:t>
            </w:r>
            <w:r>
              <w:rPr>
                <w:rFonts w:hAnsi="宋体"/>
                <w:color w:val="auto"/>
                <w:kern w:val="0"/>
                <w:sz w:val="24"/>
              </w:rPr>
              <w:t>50337-20</w:t>
            </w:r>
            <w:r>
              <w:rPr>
                <w:rFonts w:hint="eastAsia" w:hAnsi="宋体"/>
                <w:color w:val="auto"/>
                <w:kern w:val="0"/>
                <w:sz w:val="24"/>
              </w:rPr>
              <w:t>18）中的要求进行综合利用和处置。</w:t>
            </w:r>
          </w:p>
        </w:tc>
      </w:tr>
      <w:tr w14:paraId="4D1B4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dxa"/>
            <w:vAlign w:val="center"/>
          </w:tcPr>
          <w:p w14:paraId="2E77BDB8">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总量</w:t>
            </w:r>
          </w:p>
          <w:p w14:paraId="42B5FCF5">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控制</w:t>
            </w:r>
          </w:p>
          <w:p w14:paraId="5AB616EC">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指标</w:t>
            </w:r>
          </w:p>
        </w:tc>
        <w:tc>
          <w:tcPr>
            <w:tcW w:w="8650" w:type="dxa"/>
            <w:vAlign w:val="center"/>
          </w:tcPr>
          <w:p w14:paraId="36F53E2E">
            <w:pPr>
              <w:pStyle w:val="164"/>
              <w:spacing w:beforeLines="50" w:beforeAutospacing="0" w:after="0" w:afterAutospacing="0" w:line="360" w:lineRule="auto"/>
              <w:rPr>
                <w:rFonts w:eastAsia="宋体"/>
                <w:color w:val="auto"/>
                <w:sz w:val="24"/>
                <w:szCs w:val="24"/>
              </w:rPr>
            </w:pPr>
            <w:r>
              <w:rPr>
                <w:rFonts w:hint="eastAsia" w:eastAsia="宋体"/>
                <w:color w:val="auto"/>
                <w:sz w:val="24"/>
                <w:szCs w:val="24"/>
              </w:rPr>
              <w:t>1、总量</w:t>
            </w:r>
            <w:r>
              <w:rPr>
                <w:rFonts w:eastAsia="宋体"/>
                <w:color w:val="auto"/>
                <w:sz w:val="24"/>
                <w:szCs w:val="24"/>
              </w:rPr>
              <w:t>控制因子</w:t>
            </w:r>
          </w:p>
          <w:p w14:paraId="2D8A40A1">
            <w:pPr>
              <w:spacing w:line="360" w:lineRule="auto"/>
              <w:ind w:firstLine="480" w:firstLineChars="200"/>
              <w:jc w:val="left"/>
              <w:rPr>
                <w:rFonts w:hint="eastAsia"/>
                <w:color w:val="auto"/>
                <w:sz w:val="24"/>
                <w:szCs w:val="24"/>
              </w:rPr>
            </w:pPr>
            <w:r>
              <w:rPr>
                <w:rFonts w:hint="eastAsia"/>
                <w:color w:val="auto"/>
                <w:sz w:val="24"/>
                <w:szCs w:val="24"/>
              </w:rPr>
              <w:t>本项目污染物排放总量控制对象分为两类，一类是约束性指标，另一类是非约束性指标，总量控制指标如下：</w:t>
            </w:r>
          </w:p>
          <w:p w14:paraId="28A3C432">
            <w:pPr>
              <w:spacing w:line="360" w:lineRule="auto"/>
              <w:ind w:firstLine="480" w:firstLineChars="200"/>
              <w:jc w:val="left"/>
              <w:rPr>
                <w:rFonts w:hint="eastAsia"/>
                <w:color w:val="auto"/>
                <w:sz w:val="24"/>
                <w:szCs w:val="24"/>
              </w:rPr>
            </w:pPr>
            <w:r>
              <w:rPr>
                <w:rFonts w:hint="eastAsia"/>
                <w:color w:val="auto"/>
                <w:sz w:val="24"/>
                <w:szCs w:val="24"/>
              </w:rPr>
              <w:t>（1）约束性指标：COD、氨氮、SO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p>
          <w:p w14:paraId="631511E7">
            <w:pPr>
              <w:spacing w:line="360" w:lineRule="auto"/>
              <w:ind w:firstLine="480" w:firstLineChars="200"/>
              <w:jc w:val="left"/>
              <w:rPr>
                <w:color w:val="auto"/>
                <w:sz w:val="24"/>
                <w:szCs w:val="24"/>
              </w:rPr>
            </w:pPr>
            <w:r>
              <w:rPr>
                <w:rFonts w:hint="eastAsia"/>
                <w:color w:val="auto"/>
                <w:sz w:val="24"/>
                <w:szCs w:val="24"/>
              </w:rPr>
              <w:t>（2）非约束性指标：颗粒物、挥发性有机物（以非甲烷总烃计）</w:t>
            </w:r>
            <w:r>
              <w:rPr>
                <w:rFonts w:hint="eastAsia"/>
                <w:color w:val="auto"/>
                <w:sz w:val="24"/>
                <w:szCs w:val="24"/>
                <w:lang w:eastAsia="zh-CN"/>
              </w:rPr>
              <w:t>、</w:t>
            </w:r>
            <w:r>
              <w:rPr>
                <w:rFonts w:hint="eastAsia"/>
                <w:color w:val="auto"/>
                <w:sz w:val="24"/>
                <w:szCs w:val="24"/>
                <w:lang w:val="en-US" w:eastAsia="zh-CN"/>
              </w:rPr>
              <w:t>甲醛</w:t>
            </w:r>
            <w:r>
              <w:rPr>
                <w:rFonts w:hint="eastAsia"/>
                <w:color w:val="auto"/>
                <w:sz w:val="24"/>
                <w:szCs w:val="24"/>
              </w:rPr>
              <w:t>。</w:t>
            </w:r>
          </w:p>
          <w:p w14:paraId="7BD1766C">
            <w:pPr>
              <w:pStyle w:val="164"/>
              <w:spacing w:before="0" w:beforeAutospacing="0" w:after="0" w:afterAutospacing="0" w:line="360" w:lineRule="auto"/>
              <w:rPr>
                <w:rFonts w:eastAsia="宋体"/>
                <w:color w:val="auto"/>
                <w:sz w:val="24"/>
                <w:szCs w:val="24"/>
              </w:rPr>
            </w:pPr>
            <w:r>
              <w:rPr>
                <w:rFonts w:hint="eastAsia" w:eastAsia="宋体"/>
                <w:color w:val="auto"/>
                <w:sz w:val="24"/>
                <w:szCs w:val="24"/>
              </w:rPr>
              <w:t>2、污染物总量控制方案</w:t>
            </w:r>
          </w:p>
          <w:p w14:paraId="1B376B6B">
            <w:pPr>
              <w:spacing w:line="360" w:lineRule="auto"/>
              <w:ind w:firstLine="482"/>
              <w:rPr>
                <w:color w:val="auto"/>
                <w:sz w:val="24"/>
                <w:szCs w:val="24"/>
              </w:rPr>
            </w:pPr>
            <w:r>
              <w:rPr>
                <w:rFonts w:hint="eastAsia"/>
                <w:color w:val="auto"/>
                <w:sz w:val="24"/>
                <w:szCs w:val="24"/>
              </w:rPr>
              <w:t>（1）水污染物总量控制</w:t>
            </w:r>
          </w:p>
          <w:p w14:paraId="1C811CD5">
            <w:pPr>
              <w:spacing w:line="360" w:lineRule="auto"/>
              <w:ind w:firstLine="480" w:firstLineChars="200"/>
              <w:rPr>
                <w:color w:val="auto"/>
                <w:sz w:val="24"/>
                <w:szCs w:val="24"/>
              </w:rPr>
            </w:pPr>
            <w:r>
              <w:rPr>
                <w:rFonts w:hint="eastAsia"/>
                <w:color w:val="auto"/>
                <w:sz w:val="24"/>
                <w:szCs w:val="24"/>
              </w:rPr>
              <w:t>本项目不涉及生产废水</w:t>
            </w:r>
            <w:r>
              <w:rPr>
                <w:rFonts w:hint="eastAsia"/>
                <w:color w:val="auto"/>
                <w:sz w:val="24"/>
                <w:szCs w:val="24"/>
                <w:lang w:val="en-US" w:eastAsia="zh-CN"/>
              </w:rPr>
              <w:t>排放</w:t>
            </w:r>
            <w:r>
              <w:rPr>
                <w:rFonts w:hint="eastAsia"/>
                <w:color w:val="auto"/>
                <w:sz w:val="24"/>
                <w:szCs w:val="24"/>
              </w:rPr>
              <w:t>，</w:t>
            </w:r>
            <w:r>
              <w:rPr>
                <w:color w:val="auto"/>
                <w:sz w:val="24"/>
                <w:szCs w:val="24"/>
              </w:rPr>
              <w:t>项目</w:t>
            </w:r>
            <w:r>
              <w:rPr>
                <w:rFonts w:hint="eastAsia"/>
                <w:color w:val="auto"/>
                <w:sz w:val="24"/>
                <w:szCs w:val="24"/>
              </w:rPr>
              <w:t>污水经预处理后排入市政污水管网，</w:t>
            </w:r>
            <w:r>
              <w:rPr>
                <w:color w:val="auto"/>
                <w:sz w:val="24"/>
                <w:szCs w:val="24"/>
              </w:rPr>
              <w:t>送往</w:t>
            </w:r>
            <w:r>
              <w:rPr>
                <w:rFonts w:hint="eastAsia"/>
                <w:color w:val="auto"/>
                <w:sz w:val="24"/>
                <w:szCs w:val="24"/>
                <w:lang w:val="en-US" w:eastAsia="zh-CN"/>
              </w:rPr>
              <w:t>大田经济开发区上京工业园污水处理厂</w:t>
            </w:r>
            <w:r>
              <w:rPr>
                <w:color w:val="auto"/>
                <w:sz w:val="24"/>
                <w:szCs w:val="24"/>
              </w:rPr>
              <w:t>集中处理</w:t>
            </w:r>
            <w:r>
              <w:rPr>
                <w:rFonts w:hint="eastAsia"/>
                <w:color w:val="auto"/>
                <w:sz w:val="24"/>
                <w:szCs w:val="24"/>
              </w:rPr>
              <w:t>；</w:t>
            </w:r>
            <w:r>
              <w:rPr>
                <w:color w:val="auto"/>
                <w:sz w:val="24"/>
                <w:szCs w:val="24"/>
              </w:rPr>
              <w:t>根据《福建省环保厅关于进一步明确排污权工作有关问题的通知》(闽环保财</w:t>
            </w:r>
            <w:r>
              <w:rPr>
                <w:rFonts w:hint="eastAsia"/>
                <w:color w:val="auto"/>
                <w:sz w:val="24"/>
                <w:szCs w:val="24"/>
                <w:lang w:eastAsia="zh-CN"/>
              </w:rPr>
              <w:t>〔2017〕22号</w:t>
            </w:r>
            <w:r>
              <w:rPr>
                <w:color w:val="auto"/>
                <w:sz w:val="24"/>
                <w:szCs w:val="24"/>
              </w:rPr>
              <w:t>)，工业排污单位的水污染物的初始排污权只核定工业废水部分，项目生活污水排放暂不需要购买相应的排污权指标</w:t>
            </w:r>
            <w:r>
              <w:rPr>
                <w:rFonts w:hint="eastAsia"/>
                <w:color w:val="auto"/>
                <w:sz w:val="24"/>
                <w:szCs w:val="24"/>
              </w:rPr>
              <w:t>，因此，项目不涉及废水总量控制指标。</w:t>
            </w:r>
          </w:p>
          <w:p w14:paraId="0F02439F">
            <w:pPr>
              <w:pStyle w:val="28"/>
              <w:spacing w:after="0" w:line="360" w:lineRule="auto"/>
              <w:ind w:left="0" w:leftChars="0" w:firstLine="480"/>
              <w:rPr>
                <w:color w:val="auto"/>
                <w:sz w:val="24"/>
                <w:szCs w:val="24"/>
                <w:highlight w:val="none"/>
              </w:rPr>
            </w:pPr>
          </w:p>
          <w:p w14:paraId="0A173419">
            <w:pPr>
              <w:pStyle w:val="28"/>
              <w:spacing w:after="0" w:line="360" w:lineRule="auto"/>
              <w:ind w:left="0" w:leftChars="0" w:firstLine="480"/>
              <w:rPr>
                <w:rFonts w:hint="eastAsia" w:eastAsia="宋体"/>
                <w:color w:val="auto"/>
                <w:sz w:val="24"/>
                <w:szCs w:val="24"/>
                <w:highlight w:val="none"/>
                <w:lang w:eastAsia="zh-CN"/>
              </w:rPr>
            </w:pPr>
            <w:r>
              <w:rPr>
                <w:color w:val="auto"/>
                <w:sz w:val="24"/>
                <w:szCs w:val="24"/>
                <w:highlight w:val="none"/>
              </w:rPr>
              <w:t>（</w:t>
            </w:r>
            <w:r>
              <w:rPr>
                <w:rFonts w:hint="eastAsia"/>
                <w:color w:val="auto"/>
                <w:sz w:val="24"/>
                <w:szCs w:val="24"/>
                <w:highlight w:val="none"/>
                <w:lang w:val="en-US" w:eastAsia="zh-CN"/>
              </w:rPr>
              <w:t>2</w:t>
            </w:r>
            <w:r>
              <w:rPr>
                <w:color w:val="auto"/>
                <w:sz w:val="24"/>
                <w:szCs w:val="24"/>
                <w:highlight w:val="none"/>
              </w:rPr>
              <w:t>）</w:t>
            </w:r>
            <w:r>
              <w:rPr>
                <w:rFonts w:hint="eastAsia"/>
                <w:color w:val="auto"/>
                <w:sz w:val="24"/>
                <w:szCs w:val="24"/>
                <w:highlight w:val="none"/>
                <w:lang w:val="en-US" w:eastAsia="zh-CN"/>
              </w:rPr>
              <w:t>废气</w:t>
            </w:r>
          </w:p>
          <w:p w14:paraId="69BE18AC">
            <w:pPr>
              <w:pStyle w:val="149"/>
              <w:adjustRightInd w:val="0"/>
              <w:snapToGrid w:val="0"/>
              <w:spacing w:after="0" w:line="360" w:lineRule="auto"/>
              <w:ind w:left="0" w:leftChars="0" w:firstLine="480"/>
              <w:rPr>
                <w:rFonts w:hint="eastAsia" w:cs="Times New Roman"/>
                <w:color w:val="auto"/>
                <w:sz w:val="24"/>
                <w:szCs w:val="24"/>
                <w:lang w:val="en-US" w:eastAsia="zh-CN"/>
              </w:rPr>
            </w:pPr>
            <w:r>
              <w:rPr>
                <w:rFonts w:hint="eastAsia" w:cs="Times New Roman"/>
                <w:color w:val="auto"/>
                <w:sz w:val="24"/>
                <w:szCs w:val="24"/>
                <w:lang w:val="en-US" w:eastAsia="zh-CN"/>
              </w:rPr>
              <w:t>项目废气污染物主要为颗粒物、SO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、NO</w:t>
            </w:r>
            <w:r>
              <w:rPr>
                <w:rFonts w:hint="eastAsia" w:cs="Times New Roman"/>
                <w:color w:val="auto"/>
                <w:sz w:val="24"/>
                <w:szCs w:val="24"/>
                <w:vertAlign w:val="subscript"/>
                <w:lang w:val="en-US" w:eastAsia="zh-CN"/>
              </w:rPr>
              <w:t>X</w:t>
            </w:r>
            <w:r>
              <w:rPr>
                <w:rFonts w:hint="eastAsia" w:cs="Times New Roman"/>
                <w:color w:val="auto"/>
                <w:sz w:val="24"/>
                <w:szCs w:val="24"/>
                <w:lang w:val="en-US" w:eastAsia="zh-CN"/>
              </w:rPr>
              <w:t>、非甲烷总烃，根据各排气筒废气排放速率和无组织排放源强，核算出本项目各废气污染物排放总量，本项目废气总量控制指标见下表。</w:t>
            </w:r>
          </w:p>
          <w:p w14:paraId="1CC0FB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sz w:val="24"/>
                <w:szCs w:val="24"/>
              </w:rPr>
            </w:pPr>
            <w:r>
              <w:rPr>
                <w:rFonts w:eastAsia="黑体"/>
                <w:color w:val="auto"/>
                <w:sz w:val="24"/>
                <w:szCs w:val="24"/>
              </w:rPr>
              <w:t>表</w:t>
            </w:r>
            <w:r>
              <w:rPr>
                <w:rFonts w:hint="eastAsia" w:eastAsia="黑体"/>
                <w:color w:val="auto"/>
                <w:sz w:val="24"/>
                <w:szCs w:val="24"/>
              </w:rPr>
              <w:t>3-1</w:t>
            </w:r>
            <w:r>
              <w:rPr>
                <w:rFonts w:hint="eastAsia" w:eastAsia="黑体"/>
                <w:color w:val="auto"/>
                <w:sz w:val="24"/>
                <w:szCs w:val="24"/>
                <w:lang w:val="en-US" w:eastAsia="zh-CN"/>
              </w:rPr>
              <w:t xml:space="preserve">5 </w:t>
            </w:r>
            <w:r>
              <w:rPr>
                <w:rFonts w:hint="eastAsia" w:eastAsia="黑体"/>
                <w:color w:val="auto"/>
                <w:sz w:val="24"/>
                <w:szCs w:val="24"/>
              </w:rPr>
              <w:t xml:space="preserve"> </w:t>
            </w:r>
            <w:r>
              <w:rPr>
                <w:rFonts w:eastAsia="黑体"/>
                <w:color w:val="auto"/>
                <w:sz w:val="24"/>
                <w:szCs w:val="24"/>
              </w:rPr>
              <w:t>项目</w:t>
            </w:r>
            <w:r>
              <w:rPr>
                <w:rFonts w:hint="eastAsia" w:eastAsia="黑体"/>
                <w:color w:val="auto"/>
                <w:sz w:val="24"/>
                <w:szCs w:val="24"/>
                <w:lang w:val="en-US" w:eastAsia="zh-CN"/>
              </w:rPr>
              <w:t>废气</w:t>
            </w:r>
            <w:r>
              <w:rPr>
                <w:rFonts w:eastAsia="黑体"/>
                <w:color w:val="auto"/>
                <w:sz w:val="24"/>
                <w:szCs w:val="24"/>
              </w:rPr>
              <w:t>污染物排放总量指标一览表</w:t>
            </w:r>
          </w:p>
          <w:tbl>
            <w:tblPr>
              <w:tblStyle w:val="29"/>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37"/>
              <w:gridCol w:w="1425"/>
              <w:gridCol w:w="2162"/>
              <w:gridCol w:w="1988"/>
              <w:gridCol w:w="1814"/>
            </w:tblGrid>
            <w:tr w14:paraId="51D9BE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noWrap w:val="0"/>
                  <w:vAlign w:val="center"/>
                </w:tcPr>
                <w:p w14:paraId="28F27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rPr>
                  </w:pPr>
                  <w:r>
                    <w:rPr>
                      <w:b/>
                      <w:bCs/>
                      <w:color w:val="auto"/>
                      <w:sz w:val="21"/>
                      <w:szCs w:val="21"/>
                    </w:rPr>
                    <w:t>污染源</w:t>
                  </w:r>
                </w:p>
              </w:tc>
              <w:tc>
                <w:tcPr>
                  <w:tcW w:w="845" w:type="pct"/>
                  <w:noWrap w:val="0"/>
                  <w:vAlign w:val="center"/>
                </w:tcPr>
                <w:p w14:paraId="0A57A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rPr>
                  </w:pPr>
                  <w:r>
                    <w:rPr>
                      <w:b/>
                      <w:bCs/>
                      <w:color w:val="auto"/>
                      <w:sz w:val="21"/>
                      <w:szCs w:val="21"/>
                    </w:rPr>
                    <w:t>污染物</w:t>
                  </w:r>
                </w:p>
              </w:tc>
              <w:tc>
                <w:tcPr>
                  <w:tcW w:w="1282" w:type="pct"/>
                  <w:tcBorders>
                    <w:right w:val="single" w:color="auto" w:sz="4" w:space="0"/>
                  </w:tcBorders>
                  <w:noWrap w:val="0"/>
                  <w:vAlign w:val="center"/>
                </w:tcPr>
                <w:p w14:paraId="702A20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原环评核算的量（t/a）</w:t>
                  </w:r>
                </w:p>
              </w:tc>
              <w:tc>
                <w:tcPr>
                  <w:tcW w:w="1179" w:type="pct"/>
                  <w:tcBorders>
                    <w:left w:val="single" w:color="auto" w:sz="4" w:space="0"/>
                  </w:tcBorders>
                  <w:noWrap w:val="0"/>
                  <w:vAlign w:val="center"/>
                </w:tcPr>
                <w:p w14:paraId="76F75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本项目排放量（t/a）</w:t>
                  </w:r>
                </w:p>
              </w:tc>
              <w:tc>
                <w:tcPr>
                  <w:tcW w:w="1076" w:type="pct"/>
                  <w:noWrap w:val="0"/>
                  <w:vAlign w:val="center"/>
                </w:tcPr>
                <w:p w14:paraId="2C4634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排放增减量（t/a）</w:t>
                  </w:r>
                </w:p>
              </w:tc>
            </w:tr>
            <w:tr w14:paraId="21D507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restart"/>
                  <w:noWrap w:val="0"/>
                  <w:vAlign w:val="center"/>
                </w:tcPr>
                <w:p w14:paraId="2B4EA9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lang w:eastAsia="zh-CN"/>
                    </w:rPr>
                  </w:pPr>
                  <w:r>
                    <w:rPr>
                      <w:rFonts w:hint="eastAsia"/>
                      <w:color w:val="auto"/>
                      <w:sz w:val="21"/>
                      <w:szCs w:val="21"/>
                      <w:lang w:val="en-US" w:eastAsia="zh-CN"/>
                    </w:rPr>
                    <w:t>有组织</w:t>
                  </w:r>
                </w:p>
              </w:tc>
              <w:tc>
                <w:tcPr>
                  <w:tcW w:w="845" w:type="pct"/>
                  <w:noWrap w:val="0"/>
                  <w:vAlign w:val="center"/>
                </w:tcPr>
                <w:p w14:paraId="579CB3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颗粒物</w:t>
                  </w:r>
                </w:p>
              </w:tc>
              <w:tc>
                <w:tcPr>
                  <w:tcW w:w="1282" w:type="pct"/>
                  <w:tcBorders>
                    <w:right w:val="single" w:color="auto" w:sz="4" w:space="0"/>
                  </w:tcBorders>
                  <w:noWrap w:val="0"/>
                  <w:vAlign w:val="center"/>
                </w:tcPr>
                <w:p w14:paraId="1B912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5.108</w:t>
                  </w:r>
                </w:p>
              </w:tc>
              <w:tc>
                <w:tcPr>
                  <w:tcW w:w="1179" w:type="pct"/>
                  <w:tcBorders>
                    <w:left w:val="single" w:color="auto" w:sz="4" w:space="0"/>
                  </w:tcBorders>
                  <w:noWrap w:val="0"/>
                  <w:vAlign w:val="center"/>
                </w:tcPr>
                <w:p w14:paraId="610B9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9.506</w:t>
                  </w:r>
                </w:p>
              </w:tc>
              <w:tc>
                <w:tcPr>
                  <w:tcW w:w="1076" w:type="pct"/>
                  <w:noWrap w:val="0"/>
                  <w:vAlign w:val="center"/>
                </w:tcPr>
                <w:p w14:paraId="4AB01F78">
                  <w:pPr>
                    <w:keepNext w:val="0"/>
                    <w:keepLines w:val="0"/>
                    <w:widowControl/>
                    <w:suppressLineNumbers w:val="0"/>
                    <w:jc w:val="center"/>
                    <w:textAlignment w:val="center"/>
                    <w:rPr>
                      <w:rFonts w:hint="default"/>
                      <w:color w:val="auto"/>
                      <w:sz w:val="21"/>
                      <w:szCs w:val="21"/>
                      <w:lang w:val="en-US" w:eastAsia="zh-CN"/>
                    </w:rPr>
                  </w:pPr>
                  <w:r>
                    <w:rPr>
                      <w:rFonts w:hint="eastAsia" w:cs="Times New Roman"/>
                      <w:i w:val="0"/>
                      <w:iCs w:val="0"/>
                      <w:color w:val="auto"/>
                      <w:kern w:val="0"/>
                      <w:sz w:val="21"/>
                      <w:szCs w:val="21"/>
                      <w:u w:val="none"/>
                      <w:lang w:val="en-US" w:eastAsia="zh-CN" w:bidi="ar"/>
                    </w:rPr>
                    <w:t>+4.396</w:t>
                  </w:r>
                </w:p>
              </w:tc>
            </w:tr>
            <w:tr w14:paraId="313891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615" w:type="pct"/>
                  <w:vMerge w:val="continue"/>
                  <w:noWrap w:val="0"/>
                  <w:vAlign w:val="center"/>
                </w:tcPr>
                <w:p w14:paraId="352463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rPr>
                  </w:pPr>
                </w:p>
              </w:tc>
              <w:tc>
                <w:tcPr>
                  <w:tcW w:w="845" w:type="pct"/>
                  <w:noWrap w:val="0"/>
                  <w:vAlign w:val="center"/>
                </w:tcPr>
                <w:p w14:paraId="5A838D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非甲烷总烃</w:t>
                  </w:r>
                </w:p>
              </w:tc>
              <w:tc>
                <w:tcPr>
                  <w:tcW w:w="1282" w:type="pct"/>
                  <w:tcBorders>
                    <w:right w:val="single" w:color="auto" w:sz="4" w:space="0"/>
                  </w:tcBorders>
                  <w:noWrap w:val="0"/>
                  <w:vAlign w:val="center"/>
                </w:tcPr>
                <w:p w14:paraId="260CF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3.971</w:t>
                  </w:r>
                </w:p>
              </w:tc>
              <w:tc>
                <w:tcPr>
                  <w:tcW w:w="1179" w:type="pct"/>
                  <w:tcBorders>
                    <w:left w:val="single" w:color="auto" w:sz="4" w:space="0"/>
                  </w:tcBorders>
                  <w:noWrap w:val="0"/>
                  <w:vAlign w:val="center"/>
                </w:tcPr>
                <w:p w14:paraId="09720E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2.649</w:t>
                  </w:r>
                </w:p>
              </w:tc>
              <w:tc>
                <w:tcPr>
                  <w:tcW w:w="1076" w:type="pct"/>
                  <w:noWrap w:val="0"/>
                  <w:vAlign w:val="center"/>
                </w:tcPr>
                <w:p w14:paraId="15922CFF">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1.322</w:t>
                  </w:r>
                </w:p>
              </w:tc>
            </w:tr>
            <w:tr w14:paraId="15B8AA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615" w:type="pct"/>
                  <w:vMerge w:val="continue"/>
                  <w:noWrap w:val="0"/>
                  <w:vAlign w:val="center"/>
                </w:tcPr>
                <w:p w14:paraId="6B3EDA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lang w:eastAsia="zh-CN"/>
                    </w:rPr>
                  </w:pPr>
                </w:p>
              </w:tc>
              <w:tc>
                <w:tcPr>
                  <w:tcW w:w="845" w:type="pct"/>
                  <w:noWrap w:val="0"/>
                  <w:vAlign w:val="center"/>
                </w:tcPr>
                <w:p w14:paraId="540420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甲醛</w:t>
                  </w:r>
                </w:p>
              </w:tc>
              <w:tc>
                <w:tcPr>
                  <w:tcW w:w="1282" w:type="pct"/>
                  <w:tcBorders>
                    <w:right w:val="single" w:color="auto" w:sz="4" w:space="0"/>
                  </w:tcBorders>
                  <w:noWrap w:val="0"/>
                  <w:vAlign w:val="center"/>
                </w:tcPr>
                <w:p w14:paraId="15743A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0.150</w:t>
                  </w:r>
                </w:p>
              </w:tc>
              <w:tc>
                <w:tcPr>
                  <w:tcW w:w="1179" w:type="pct"/>
                  <w:tcBorders>
                    <w:left w:val="single" w:color="auto" w:sz="4" w:space="0"/>
                  </w:tcBorders>
                  <w:noWrap w:val="0"/>
                  <w:vAlign w:val="center"/>
                </w:tcPr>
                <w:p w14:paraId="4FD07D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0.127</w:t>
                  </w:r>
                </w:p>
              </w:tc>
              <w:tc>
                <w:tcPr>
                  <w:tcW w:w="1076" w:type="pct"/>
                  <w:noWrap w:val="0"/>
                  <w:vAlign w:val="center"/>
                </w:tcPr>
                <w:p w14:paraId="06CDC6CC">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-0.023</w:t>
                  </w:r>
                </w:p>
              </w:tc>
            </w:tr>
            <w:tr w14:paraId="389941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14:paraId="7886D8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c>
                <w:tcPr>
                  <w:tcW w:w="845" w:type="pct"/>
                  <w:noWrap w:val="0"/>
                  <w:vAlign w:val="center"/>
                </w:tcPr>
                <w:p w14:paraId="0ED2F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二氧化硫</w:t>
                  </w:r>
                </w:p>
              </w:tc>
              <w:tc>
                <w:tcPr>
                  <w:tcW w:w="1282" w:type="pct"/>
                  <w:tcBorders>
                    <w:right w:val="single" w:color="auto" w:sz="4" w:space="0"/>
                  </w:tcBorders>
                  <w:noWrap w:val="0"/>
                  <w:vAlign w:val="center"/>
                </w:tcPr>
                <w:p w14:paraId="1E819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0.0000002</w:t>
                  </w:r>
                </w:p>
              </w:tc>
              <w:tc>
                <w:tcPr>
                  <w:tcW w:w="1179" w:type="pct"/>
                  <w:tcBorders>
                    <w:left w:val="single" w:color="auto" w:sz="4" w:space="0"/>
                  </w:tcBorders>
                  <w:noWrap w:val="0"/>
                  <w:vAlign w:val="center"/>
                </w:tcPr>
                <w:p w14:paraId="17C927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0.372</w:t>
                  </w:r>
                </w:p>
              </w:tc>
              <w:tc>
                <w:tcPr>
                  <w:tcW w:w="1076" w:type="pct"/>
                  <w:shd w:val="clear" w:color="auto" w:fill="auto"/>
                  <w:noWrap w:val="0"/>
                  <w:vAlign w:val="center"/>
                </w:tcPr>
                <w:p w14:paraId="209C51BD">
                  <w:pPr>
                    <w:keepNext w:val="0"/>
                    <w:keepLines w:val="0"/>
                    <w:widowControl/>
                    <w:suppressLineNumbers w:val="0"/>
                    <w:jc w:val="center"/>
                    <w:textAlignment w:val="center"/>
                    <w:rPr>
                      <w:rFonts w:hint="eastAsia"/>
                      <w:color w:val="auto"/>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0.3719998</w:t>
                  </w:r>
                </w:p>
              </w:tc>
            </w:tr>
            <w:tr w14:paraId="522199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14:paraId="09158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c>
                <w:tcPr>
                  <w:tcW w:w="845" w:type="pct"/>
                  <w:noWrap w:val="0"/>
                  <w:vAlign w:val="center"/>
                </w:tcPr>
                <w:p w14:paraId="664709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氮氧化物</w:t>
                  </w:r>
                </w:p>
              </w:tc>
              <w:tc>
                <w:tcPr>
                  <w:tcW w:w="1282" w:type="pct"/>
                  <w:tcBorders>
                    <w:right w:val="single" w:color="auto" w:sz="4" w:space="0"/>
                  </w:tcBorders>
                  <w:noWrap w:val="0"/>
                  <w:vAlign w:val="center"/>
                </w:tcPr>
                <w:p w14:paraId="3CD151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1.070</w:t>
                  </w:r>
                </w:p>
              </w:tc>
              <w:tc>
                <w:tcPr>
                  <w:tcW w:w="1179" w:type="pct"/>
                  <w:tcBorders>
                    <w:left w:val="single" w:color="auto" w:sz="4" w:space="0"/>
                  </w:tcBorders>
                  <w:noWrap w:val="0"/>
                  <w:vAlign w:val="center"/>
                </w:tcPr>
                <w:p w14:paraId="7F0D9D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3.479</w:t>
                  </w:r>
                </w:p>
              </w:tc>
              <w:tc>
                <w:tcPr>
                  <w:tcW w:w="1076" w:type="pct"/>
                  <w:shd w:val="clear" w:color="auto" w:fill="auto"/>
                  <w:noWrap w:val="0"/>
                  <w:vAlign w:val="center"/>
                </w:tcPr>
                <w:p w14:paraId="5FB60384">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2.409</w:t>
                  </w:r>
                </w:p>
              </w:tc>
            </w:tr>
            <w:tr w14:paraId="214CA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restart"/>
                  <w:noWrap w:val="0"/>
                  <w:vAlign w:val="center"/>
                </w:tcPr>
                <w:p w14:paraId="6F116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2"/>
                      <w:sz w:val="21"/>
                      <w:szCs w:val="21"/>
                      <w:lang w:val="en-US" w:eastAsia="zh-CN" w:bidi="ar-SA"/>
                    </w:rPr>
                  </w:pPr>
                  <w:r>
                    <w:rPr>
                      <w:color w:val="auto"/>
                      <w:sz w:val="21"/>
                      <w:szCs w:val="21"/>
                    </w:rPr>
                    <w:t>无组织排放</w:t>
                  </w:r>
                </w:p>
              </w:tc>
              <w:tc>
                <w:tcPr>
                  <w:tcW w:w="845" w:type="pct"/>
                  <w:shd w:val="clear" w:color="auto" w:fill="auto"/>
                  <w:noWrap w:val="0"/>
                  <w:vAlign w:val="center"/>
                </w:tcPr>
                <w:p w14:paraId="021C2B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lang w:val="en-US" w:eastAsia="zh-CN"/>
                    </w:rPr>
                  </w:pPr>
                  <w:r>
                    <w:rPr>
                      <w:color w:val="auto"/>
                      <w:sz w:val="21"/>
                      <w:szCs w:val="21"/>
                    </w:rPr>
                    <w:t>颗粒物</w:t>
                  </w:r>
                </w:p>
              </w:tc>
              <w:tc>
                <w:tcPr>
                  <w:tcW w:w="1282" w:type="pct"/>
                  <w:tcBorders>
                    <w:right w:val="single" w:color="auto" w:sz="4" w:space="0"/>
                  </w:tcBorders>
                  <w:noWrap w:val="0"/>
                  <w:vAlign w:val="center"/>
                </w:tcPr>
                <w:p w14:paraId="73288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22.089</w:t>
                  </w:r>
                </w:p>
              </w:tc>
              <w:tc>
                <w:tcPr>
                  <w:tcW w:w="1179" w:type="pct"/>
                  <w:tcBorders>
                    <w:left w:val="single" w:color="auto" w:sz="4" w:space="0"/>
                  </w:tcBorders>
                  <w:noWrap w:val="0"/>
                  <w:vAlign w:val="center"/>
                </w:tcPr>
                <w:p w14:paraId="28CE53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13.481</w:t>
                  </w:r>
                </w:p>
              </w:tc>
              <w:tc>
                <w:tcPr>
                  <w:tcW w:w="1076" w:type="pct"/>
                  <w:noWrap w:val="0"/>
                  <w:vAlign w:val="center"/>
                </w:tcPr>
                <w:p w14:paraId="3FE43B18">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-8.608</w:t>
                  </w:r>
                </w:p>
              </w:tc>
            </w:tr>
            <w:tr w14:paraId="05157A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14:paraId="4D42F7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845" w:type="pct"/>
                  <w:shd w:val="clear" w:color="auto" w:fill="auto"/>
                  <w:noWrap w:val="0"/>
                  <w:vAlign w:val="center"/>
                </w:tcPr>
                <w:p w14:paraId="45D106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lang w:val="en-US" w:eastAsia="zh-CN"/>
                    </w:rPr>
                  </w:pPr>
                  <w:r>
                    <w:rPr>
                      <w:color w:val="auto"/>
                      <w:sz w:val="21"/>
                      <w:szCs w:val="21"/>
                    </w:rPr>
                    <w:t>非甲烷总烃</w:t>
                  </w:r>
                </w:p>
              </w:tc>
              <w:tc>
                <w:tcPr>
                  <w:tcW w:w="1282" w:type="pct"/>
                  <w:tcBorders>
                    <w:right w:val="single" w:color="auto" w:sz="4" w:space="0"/>
                  </w:tcBorders>
                  <w:noWrap w:val="0"/>
                  <w:vAlign w:val="center"/>
                </w:tcPr>
                <w:p w14:paraId="1EEF1C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1.239</w:t>
                  </w:r>
                </w:p>
              </w:tc>
              <w:tc>
                <w:tcPr>
                  <w:tcW w:w="1179" w:type="pct"/>
                  <w:tcBorders>
                    <w:left w:val="single" w:color="auto" w:sz="4" w:space="0"/>
                  </w:tcBorders>
                  <w:noWrap w:val="0"/>
                  <w:vAlign w:val="center"/>
                </w:tcPr>
                <w:p w14:paraId="32BE52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1.481</w:t>
                  </w:r>
                </w:p>
              </w:tc>
              <w:tc>
                <w:tcPr>
                  <w:tcW w:w="1076" w:type="pct"/>
                  <w:noWrap w:val="0"/>
                  <w:vAlign w:val="center"/>
                </w:tcPr>
                <w:p w14:paraId="1CEBC01D">
                  <w:pPr>
                    <w:keepNext w:val="0"/>
                    <w:keepLines w:val="0"/>
                    <w:widowControl/>
                    <w:suppressLineNumbers w:val="0"/>
                    <w:jc w:val="center"/>
                    <w:textAlignment w:val="center"/>
                    <w:rPr>
                      <w:rFonts w:hint="default"/>
                      <w:color w:val="auto"/>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0.242</w:t>
                  </w:r>
                </w:p>
              </w:tc>
            </w:tr>
            <w:tr w14:paraId="688957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14:paraId="2F1F2C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845" w:type="pct"/>
                  <w:shd w:val="clear" w:color="auto" w:fill="auto"/>
                  <w:noWrap w:val="0"/>
                  <w:vAlign w:val="center"/>
                </w:tcPr>
                <w:p w14:paraId="4572A6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甲醛</w:t>
                  </w:r>
                </w:p>
              </w:tc>
              <w:tc>
                <w:tcPr>
                  <w:tcW w:w="1282" w:type="pct"/>
                  <w:tcBorders>
                    <w:right w:val="single" w:color="auto" w:sz="4" w:space="0"/>
                  </w:tcBorders>
                  <w:noWrap w:val="0"/>
                  <w:vAlign w:val="center"/>
                </w:tcPr>
                <w:p w14:paraId="15F4B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0.062</w:t>
                  </w:r>
                </w:p>
              </w:tc>
              <w:tc>
                <w:tcPr>
                  <w:tcW w:w="1179" w:type="pct"/>
                  <w:tcBorders>
                    <w:left w:val="single" w:color="auto" w:sz="4" w:space="0"/>
                  </w:tcBorders>
                  <w:noWrap w:val="0"/>
                  <w:vAlign w:val="center"/>
                </w:tcPr>
                <w:p w14:paraId="653C00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0.06</w:t>
                  </w:r>
                </w:p>
              </w:tc>
              <w:tc>
                <w:tcPr>
                  <w:tcW w:w="1076" w:type="pct"/>
                  <w:noWrap w:val="0"/>
                  <w:vAlign w:val="center"/>
                </w:tcPr>
                <w:p w14:paraId="78AA05EA">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w:t>
                  </w:r>
                </w:p>
              </w:tc>
            </w:tr>
            <w:tr w14:paraId="5F5D76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noWrap w:val="0"/>
                  <w:vAlign w:val="center"/>
                </w:tcPr>
                <w:p w14:paraId="649EE2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845" w:type="pct"/>
                  <w:shd w:val="clear" w:color="auto" w:fill="auto"/>
                  <w:noWrap w:val="0"/>
                  <w:vAlign w:val="center"/>
                </w:tcPr>
                <w:p w14:paraId="2082AD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氮氧化物</w:t>
                  </w:r>
                </w:p>
              </w:tc>
              <w:tc>
                <w:tcPr>
                  <w:tcW w:w="1282" w:type="pct"/>
                  <w:tcBorders>
                    <w:right w:val="single" w:color="auto" w:sz="4" w:space="0"/>
                  </w:tcBorders>
                  <w:noWrap w:val="0"/>
                  <w:vAlign w:val="center"/>
                </w:tcPr>
                <w:p w14:paraId="138F38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0.043</w:t>
                  </w:r>
                </w:p>
              </w:tc>
              <w:tc>
                <w:tcPr>
                  <w:tcW w:w="1179" w:type="pct"/>
                  <w:tcBorders>
                    <w:left w:val="single" w:color="auto" w:sz="4" w:space="0"/>
                  </w:tcBorders>
                  <w:noWrap w:val="0"/>
                  <w:vAlign w:val="center"/>
                </w:tcPr>
                <w:p w14:paraId="2C8A2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0</w:t>
                  </w:r>
                </w:p>
              </w:tc>
              <w:tc>
                <w:tcPr>
                  <w:tcW w:w="1076" w:type="pct"/>
                  <w:noWrap w:val="0"/>
                  <w:vAlign w:val="center"/>
                </w:tcPr>
                <w:p w14:paraId="702A974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-0.043</w:t>
                  </w:r>
                </w:p>
              </w:tc>
            </w:tr>
            <w:tr w14:paraId="728BAF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restart"/>
                  <w:tcBorders>
                    <w:right w:val="single" w:color="auto" w:sz="4" w:space="0"/>
                  </w:tcBorders>
                  <w:noWrap w:val="0"/>
                  <w:vAlign w:val="center"/>
                </w:tcPr>
                <w:p w14:paraId="6A2B02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合计</w:t>
                  </w:r>
                </w:p>
              </w:tc>
              <w:tc>
                <w:tcPr>
                  <w:tcW w:w="845" w:type="pct"/>
                  <w:tcBorders>
                    <w:left w:val="single" w:color="auto" w:sz="4" w:space="0"/>
                  </w:tcBorders>
                  <w:shd w:val="clear" w:color="auto" w:fill="auto"/>
                  <w:noWrap w:val="0"/>
                  <w:vAlign w:val="center"/>
                </w:tcPr>
                <w:p w14:paraId="5CF359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color w:val="auto"/>
                      <w:sz w:val="21"/>
                      <w:szCs w:val="21"/>
                    </w:rPr>
                    <w:t>颗粒物</w:t>
                  </w:r>
                </w:p>
              </w:tc>
              <w:tc>
                <w:tcPr>
                  <w:tcW w:w="1282" w:type="pct"/>
                  <w:tcBorders>
                    <w:right w:val="single" w:color="auto" w:sz="4" w:space="0"/>
                  </w:tcBorders>
                  <w:noWrap w:val="0"/>
                  <w:vAlign w:val="center"/>
                </w:tcPr>
                <w:p w14:paraId="448D2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27.197</w:t>
                  </w:r>
                </w:p>
              </w:tc>
              <w:tc>
                <w:tcPr>
                  <w:tcW w:w="1988" w:type="dxa"/>
                  <w:tcBorders>
                    <w:left w:val="single" w:color="auto" w:sz="4" w:space="0"/>
                  </w:tcBorders>
                  <w:noWrap w:val="0"/>
                  <w:vAlign w:val="center"/>
                </w:tcPr>
                <w:p w14:paraId="0C60D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22.98</w:t>
                  </w:r>
                  <w:r>
                    <w:rPr>
                      <w:rFonts w:hint="eastAsia"/>
                      <w:color w:val="auto"/>
                      <w:sz w:val="21"/>
                      <w:szCs w:val="21"/>
                      <w:lang w:val="en-US" w:eastAsia="zh-CN"/>
                    </w:rPr>
                    <w:t>7</w:t>
                  </w:r>
                </w:p>
              </w:tc>
              <w:tc>
                <w:tcPr>
                  <w:tcW w:w="1814" w:type="dxa"/>
                  <w:noWrap w:val="0"/>
                  <w:vAlign w:val="center"/>
                </w:tcPr>
                <w:p w14:paraId="5FDA08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-4.21</w:t>
                  </w:r>
                  <w:r>
                    <w:rPr>
                      <w:rFonts w:hint="eastAsia"/>
                      <w:color w:val="auto"/>
                      <w:sz w:val="21"/>
                      <w:szCs w:val="21"/>
                      <w:lang w:val="en-US" w:eastAsia="zh-CN"/>
                    </w:rPr>
                    <w:t>0</w:t>
                  </w:r>
                </w:p>
              </w:tc>
            </w:tr>
            <w:tr w14:paraId="10A719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tcBorders>
                    <w:right w:val="single" w:color="auto" w:sz="4" w:space="0"/>
                  </w:tcBorders>
                  <w:noWrap w:val="0"/>
                  <w:vAlign w:val="center"/>
                </w:tcPr>
                <w:p w14:paraId="20CEF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c>
                <w:tcPr>
                  <w:tcW w:w="845" w:type="pct"/>
                  <w:tcBorders>
                    <w:left w:val="single" w:color="auto" w:sz="4" w:space="0"/>
                  </w:tcBorders>
                  <w:shd w:val="clear" w:color="auto" w:fill="auto"/>
                  <w:noWrap w:val="0"/>
                  <w:vAlign w:val="center"/>
                </w:tcPr>
                <w:p w14:paraId="7E8AC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lang w:val="en-US" w:eastAsia="zh-CN"/>
                    </w:rPr>
                  </w:pPr>
                  <w:r>
                    <w:rPr>
                      <w:color w:val="auto"/>
                      <w:sz w:val="21"/>
                      <w:szCs w:val="21"/>
                    </w:rPr>
                    <w:t>非甲烷总烃</w:t>
                  </w:r>
                </w:p>
              </w:tc>
              <w:tc>
                <w:tcPr>
                  <w:tcW w:w="1282" w:type="pct"/>
                  <w:tcBorders>
                    <w:right w:val="single" w:color="auto" w:sz="4" w:space="0"/>
                  </w:tcBorders>
                  <w:noWrap w:val="0"/>
                  <w:vAlign w:val="center"/>
                </w:tcPr>
                <w:p w14:paraId="1343E6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5.210</w:t>
                  </w:r>
                </w:p>
              </w:tc>
              <w:tc>
                <w:tcPr>
                  <w:tcW w:w="1988" w:type="dxa"/>
                  <w:tcBorders>
                    <w:left w:val="single" w:color="auto" w:sz="4" w:space="0"/>
                  </w:tcBorders>
                  <w:noWrap w:val="0"/>
                  <w:vAlign w:val="center"/>
                </w:tcPr>
                <w:p w14:paraId="142A8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4.130</w:t>
                  </w:r>
                </w:p>
              </w:tc>
              <w:tc>
                <w:tcPr>
                  <w:tcW w:w="1814" w:type="dxa"/>
                  <w:noWrap w:val="0"/>
                  <w:vAlign w:val="center"/>
                </w:tcPr>
                <w:p w14:paraId="73B7C3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-1.08</w:t>
                  </w:r>
                  <w:r>
                    <w:rPr>
                      <w:rFonts w:hint="eastAsia"/>
                      <w:color w:val="auto"/>
                      <w:sz w:val="21"/>
                      <w:szCs w:val="21"/>
                      <w:lang w:val="en-US" w:eastAsia="zh-CN"/>
                    </w:rPr>
                    <w:t>0</w:t>
                  </w:r>
                </w:p>
              </w:tc>
            </w:tr>
            <w:tr w14:paraId="6AB04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tcBorders>
                    <w:right w:val="single" w:color="auto" w:sz="4" w:space="0"/>
                  </w:tcBorders>
                  <w:noWrap w:val="0"/>
                  <w:vAlign w:val="center"/>
                </w:tcPr>
                <w:p w14:paraId="34B86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c>
                <w:tcPr>
                  <w:tcW w:w="845" w:type="pct"/>
                  <w:tcBorders>
                    <w:left w:val="single" w:color="auto" w:sz="4" w:space="0"/>
                  </w:tcBorders>
                  <w:shd w:val="clear" w:color="auto" w:fill="auto"/>
                  <w:noWrap w:val="0"/>
                  <w:vAlign w:val="center"/>
                </w:tcPr>
                <w:p w14:paraId="468AE9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lang w:val="en-US" w:eastAsia="zh-CN"/>
                    </w:rPr>
                  </w:pPr>
                  <w:r>
                    <w:rPr>
                      <w:rFonts w:hint="eastAsia"/>
                      <w:color w:val="auto"/>
                      <w:sz w:val="21"/>
                      <w:szCs w:val="21"/>
                      <w:lang w:val="en-US" w:eastAsia="zh-CN"/>
                    </w:rPr>
                    <w:t>甲醛</w:t>
                  </w:r>
                </w:p>
              </w:tc>
              <w:tc>
                <w:tcPr>
                  <w:tcW w:w="1282" w:type="pct"/>
                  <w:tcBorders>
                    <w:right w:val="single" w:color="auto" w:sz="4" w:space="0"/>
                  </w:tcBorders>
                  <w:noWrap w:val="0"/>
                  <w:vAlign w:val="center"/>
                </w:tcPr>
                <w:p w14:paraId="66C845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0.212</w:t>
                  </w:r>
                </w:p>
              </w:tc>
              <w:tc>
                <w:tcPr>
                  <w:tcW w:w="1179" w:type="pct"/>
                  <w:tcBorders>
                    <w:left w:val="single" w:color="auto" w:sz="4" w:space="0"/>
                  </w:tcBorders>
                  <w:noWrap w:val="0"/>
                  <w:vAlign w:val="center"/>
                </w:tcPr>
                <w:p w14:paraId="63477CE6">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1076" w:type="pct"/>
                  <w:noWrap w:val="0"/>
                  <w:vAlign w:val="center"/>
                </w:tcPr>
                <w:p w14:paraId="40A155E1">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w:t>
                  </w:r>
                </w:p>
              </w:tc>
            </w:tr>
            <w:tr w14:paraId="26577F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tcBorders>
                    <w:right w:val="single" w:color="auto" w:sz="4" w:space="0"/>
                  </w:tcBorders>
                  <w:noWrap w:val="0"/>
                  <w:vAlign w:val="center"/>
                </w:tcPr>
                <w:p w14:paraId="090B3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c>
                <w:tcPr>
                  <w:tcW w:w="845" w:type="pct"/>
                  <w:tcBorders>
                    <w:left w:val="single" w:color="auto" w:sz="4" w:space="0"/>
                  </w:tcBorders>
                  <w:shd w:val="clear" w:color="auto" w:fill="auto"/>
                  <w:noWrap w:val="0"/>
                  <w:vAlign w:val="center"/>
                </w:tcPr>
                <w:p w14:paraId="51265B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二氧化硫</w:t>
                  </w:r>
                </w:p>
              </w:tc>
              <w:tc>
                <w:tcPr>
                  <w:tcW w:w="1282" w:type="pct"/>
                  <w:tcBorders>
                    <w:right w:val="single" w:color="auto" w:sz="4" w:space="0"/>
                  </w:tcBorders>
                  <w:shd w:val="clear" w:color="auto" w:fill="auto"/>
                  <w:noWrap w:val="0"/>
                  <w:vAlign w:val="center"/>
                </w:tcPr>
                <w:p w14:paraId="129A06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0.0000002</w:t>
                  </w:r>
                </w:p>
              </w:tc>
              <w:tc>
                <w:tcPr>
                  <w:tcW w:w="1179" w:type="pct"/>
                  <w:tcBorders>
                    <w:left w:val="single" w:color="auto" w:sz="4" w:space="0"/>
                  </w:tcBorders>
                  <w:shd w:val="clear" w:color="auto" w:fill="auto"/>
                  <w:noWrap w:val="0"/>
                  <w:vAlign w:val="center"/>
                </w:tcPr>
                <w:p w14:paraId="26C3C2F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0.372</w:t>
                  </w:r>
                </w:p>
              </w:tc>
              <w:tc>
                <w:tcPr>
                  <w:tcW w:w="1076" w:type="pct"/>
                  <w:shd w:val="clear" w:color="auto" w:fill="auto"/>
                  <w:noWrap w:val="0"/>
                  <w:vAlign w:val="center"/>
                </w:tcPr>
                <w:p w14:paraId="2B0083C0">
                  <w:pPr>
                    <w:keepNext w:val="0"/>
                    <w:keepLines w:val="0"/>
                    <w:widowControl/>
                    <w:suppressLineNumbers w:val="0"/>
                    <w:jc w:val="center"/>
                    <w:textAlignment w:val="center"/>
                    <w:rPr>
                      <w:rFonts w:hint="eastAsia"/>
                      <w:color w:val="auto"/>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0.3719998</w:t>
                  </w:r>
                </w:p>
              </w:tc>
            </w:tr>
            <w:tr w14:paraId="5A72E4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5" w:type="pct"/>
                  <w:vMerge w:val="continue"/>
                  <w:tcBorders>
                    <w:right w:val="single" w:color="auto" w:sz="4" w:space="0"/>
                  </w:tcBorders>
                  <w:noWrap w:val="0"/>
                  <w:vAlign w:val="center"/>
                </w:tcPr>
                <w:p w14:paraId="6DDC6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p>
              </w:tc>
              <w:tc>
                <w:tcPr>
                  <w:tcW w:w="845" w:type="pct"/>
                  <w:tcBorders>
                    <w:left w:val="single" w:color="auto" w:sz="4" w:space="0"/>
                  </w:tcBorders>
                  <w:shd w:val="clear" w:color="auto" w:fill="auto"/>
                  <w:noWrap w:val="0"/>
                  <w:vAlign w:val="center"/>
                </w:tcPr>
                <w:p w14:paraId="7F3F6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氮氧化物</w:t>
                  </w:r>
                </w:p>
              </w:tc>
              <w:tc>
                <w:tcPr>
                  <w:tcW w:w="1282" w:type="pct"/>
                  <w:tcBorders>
                    <w:right w:val="single" w:color="auto" w:sz="4" w:space="0"/>
                  </w:tcBorders>
                  <w:shd w:val="clear" w:color="auto" w:fill="auto"/>
                  <w:noWrap w:val="0"/>
                  <w:vAlign w:val="center"/>
                </w:tcPr>
                <w:p w14:paraId="159FC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1.113</w:t>
                  </w:r>
                </w:p>
              </w:tc>
              <w:tc>
                <w:tcPr>
                  <w:tcW w:w="1179" w:type="pct"/>
                  <w:tcBorders>
                    <w:left w:val="single" w:color="auto" w:sz="4" w:space="0"/>
                  </w:tcBorders>
                  <w:shd w:val="clear" w:color="auto" w:fill="auto"/>
                  <w:noWrap w:val="0"/>
                  <w:vAlign w:val="center"/>
                </w:tcPr>
                <w:p w14:paraId="1EC98D07">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3.479</w:t>
                  </w:r>
                </w:p>
              </w:tc>
              <w:tc>
                <w:tcPr>
                  <w:tcW w:w="1076" w:type="pct"/>
                  <w:shd w:val="clear" w:color="auto" w:fill="auto"/>
                  <w:noWrap w:val="0"/>
                  <w:vAlign w:val="center"/>
                </w:tcPr>
                <w:p w14:paraId="25830041">
                  <w:pPr>
                    <w:keepNext w:val="0"/>
                    <w:keepLines w:val="0"/>
                    <w:widowControl/>
                    <w:suppressLineNumbers w:val="0"/>
                    <w:jc w:val="center"/>
                    <w:textAlignment w:val="center"/>
                    <w:rPr>
                      <w:rFonts w:hint="eastAsia"/>
                      <w:color w:val="auto"/>
                      <w:sz w:val="21"/>
                      <w:szCs w:val="21"/>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2.366</w:t>
                  </w:r>
                </w:p>
              </w:tc>
            </w:tr>
            <w:tr w14:paraId="2175A2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14:paraId="05882B3C">
                  <w:pPr>
                    <w:keepNext w:val="0"/>
                    <w:keepLines w:val="0"/>
                    <w:widowControl/>
                    <w:suppressLineNumbers w:val="0"/>
                    <w:jc w:val="both"/>
                    <w:textAlignment w:val="center"/>
                    <w:rPr>
                      <w:rFonts w:hint="eastAsia" w:cs="Times New Roman"/>
                      <w:i w:val="0"/>
                      <w:iCs w:val="0"/>
                      <w:color w:val="auto"/>
                      <w:kern w:val="0"/>
                      <w:sz w:val="21"/>
                      <w:szCs w:val="21"/>
                      <w:u w:val="none"/>
                      <w:lang w:val="en-US" w:eastAsia="zh-CN" w:bidi="ar"/>
                    </w:rPr>
                  </w:pPr>
                  <w:r>
                    <w:rPr>
                      <w:rFonts w:hint="eastAsia" w:cs="Times New Roman"/>
                      <w:color w:val="auto"/>
                      <w:sz w:val="21"/>
                      <w:szCs w:val="21"/>
                      <w:u w:val="none"/>
                      <w:lang w:val="en-US" w:eastAsia="zh-CN"/>
                    </w:rPr>
                    <w:t>注：原项目环评通过审批后，二氧化硫、氮氧化物未购买总量，VOCs未申请调剂。</w:t>
                  </w:r>
                </w:p>
              </w:tc>
            </w:tr>
          </w:tbl>
          <w:p w14:paraId="4FD930E1">
            <w:pPr>
              <w:pStyle w:val="164"/>
              <w:spacing w:beforeLines="50" w:beforeAutospacing="0" w:after="0" w:afterAutospacing="0" w:line="360" w:lineRule="auto"/>
              <w:rPr>
                <w:rFonts w:eastAsia="宋体"/>
                <w:color w:val="auto"/>
                <w:sz w:val="24"/>
                <w:szCs w:val="24"/>
              </w:rPr>
            </w:pPr>
            <w:r>
              <w:rPr>
                <w:rFonts w:hint="eastAsia" w:eastAsia="宋体"/>
                <w:color w:val="auto"/>
                <w:sz w:val="24"/>
                <w:szCs w:val="24"/>
              </w:rPr>
              <w:t>3、</w:t>
            </w:r>
            <w:r>
              <w:rPr>
                <w:rFonts w:eastAsia="宋体"/>
                <w:color w:val="auto"/>
                <w:sz w:val="24"/>
                <w:szCs w:val="24"/>
              </w:rPr>
              <w:t>总量指标来源</w:t>
            </w:r>
          </w:p>
          <w:p w14:paraId="5F420D7D">
            <w:pPr>
              <w:keepNext w:val="0"/>
              <w:keepLines w:val="0"/>
              <w:pageBreakBefore w:val="0"/>
              <w:widowControl w:val="0"/>
              <w:kinsoku/>
              <w:wordWrap/>
              <w:overflowPunct/>
              <w:topLinePunct w:val="0"/>
              <w:autoSpaceDE w:val="0"/>
              <w:autoSpaceDN w:val="0"/>
              <w:bidi w:val="0"/>
              <w:adjustRightInd/>
              <w:snapToGrid/>
              <w:spacing w:line="360" w:lineRule="auto"/>
              <w:ind w:firstLine="482"/>
              <w:jc w:val="left"/>
              <w:textAlignment w:val="auto"/>
              <w:rPr>
                <w:rFonts w:hint="eastAsia" w:hAnsi="宋体"/>
                <w:color w:val="auto"/>
                <w:kern w:val="0"/>
                <w:sz w:val="24"/>
                <w:szCs w:val="24"/>
              </w:rPr>
            </w:pPr>
            <w:r>
              <w:rPr>
                <w:rFonts w:hint="eastAsia" w:hAnsi="宋体"/>
                <w:color w:val="auto"/>
                <w:kern w:val="0"/>
                <w:sz w:val="24"/>
                <w:szCs w:val="24"/>
              </w:rPr>
              <w:t>（1）废水污染物总量确定方案</w:t>
            </w:r>
          </w:p>
          <w:p w14:paraId="7F943382">
            <w:pPr>
              <w:keepNext w:val="0"/>
              <w:keepLines w:val="0"/>
              <w:pageBreakBefore w:val="0"/>
              <w:widowControl w:val="0"/>
              <w:kinsoku/>
              <w:wordWrap/>
              <w:overflowPunct/>
              <w:topLinePunct w:val="0"/>
              <w:autoSpaceDE w:val="0"/>
              <w:autoSpaceDN w:val="0"/>
              <w:bidi w:val="0"/>
              <w:adjustRightInd/>
              <w:snapToGrid/>
              <w:spacing w:line="360" w:lineRule="auto"/>
              <w:ind w:firstLine="482"/>
              <w:jc w:val="left"/>
              <w:textAlignment w:val="auto"/>
              <w:rPr>
                <w:rFonts w:hint="eastAsia" w:hAnsi="宋体"/>
                <w:color w:val="auto"/>
                <w:kern w:val="0"/>
                <w:sz w:val="24"/>
                <w:szCs w:val="24"/>
              </w:rPr>
            </w:pPr>
            <w:r>
              <w:rPr>
                <w:rFonts w:hint="eastAsia" w:hAnsi="宋体"/>
                <w:color w:val="auto"/>
                <w:kern w:val="0"/>
                <w:sz w:val="24"/>
                <w:szCs w:val="24"/>
              </w:rPr>
              <w:t>本项目外排污水为生活污水，根据《福建省环保厅关于进一步加快推进排污权有偿使用和交易工作的意见》（闽环发</w:t>
            </w:r>
            <w:r>
              <w:rPr>
                <w:rFonts w:hint="eastAsia" w:hAnsi="宋体"/>
                <w:color w:val="auto"/>
                <w:kern w:val="0"/>
                <w:sz w:val="24"/>
                <w:szCs w:val="24"/>
                <w:lang w:eastAsia="zh-CN"/>
              </w:rPr>
              <w:t>〔2015〕</w:t>
            </w:r>
            <w:r>
              <w:rPr>
                <w:rFonts w:hint="eastAsia" w:hAnsi="宋体"/>
                <w:color w:val="auto"/>
                <w:kern w:val="0"/>
                <w:sz w:val="24"/>
                <w:szCs w:val="24"/>
              </w:rPr>
              <w:t>6号）文“一、全面加快排污权核定、确权工作”中的“（二）进一步明确部分核定原则"，对水污染仅核定工业废水部分。因此，项目生活污水不纳入建设项目主要污染物排放总量指标管理范围。</w:t>
            </w:r>
          </w:p>
          <w:p w14:paraId="635F5615">
            <w:pPr>
              <w:keepNext w:val="0"/>
              <w:keepLines w:val="0"/>
              <w:pageBreakBefore w:val="0"/>
              <w:widowControl w:val="0"/>
              <w:kinsoku/>
              <w:wordWrap/>
              <w:overflowPunct/>
              <w:topLinePunct w:val="0"/>
              <w:autoSpaceDE w:val="0"/>
              <w:autoSpaceDN w:val="0"/>
              <w:bidi w:val="0"/>
              <w:adjustRightInd/>
              <w:snapToGrid/>
              <w:spacing w:line="360" w:lineRule="auto"/>
              <w:ind w:firstLine="482"/>
              <w:jc w:val="left"/>
              <w:textAlignment w:val="auto"/>
              <w:rPr>
                <w:rFonts w:hint="eastAsia" w:hAnsi="宋体"/>
                <w:color w:val="auto"/>
                <w:kern w:val="0"/>
                <w:sz w:val="24"/>
                <w:szCs w:val="24"/>
              </w:rPr>
            </w:pPr>
          </w:p>
          <w:p w14:paraId="6C708FF7">
            <w:pPr>
              <w:keepNext w:val="0"/>
              <w:keepLines w:val="0"/>
              <w:pageBreakBefore w:val="0"/>
              <w:widowControl w:val="0"/>
              <w:kinsoku/>
              <w:wordWrap/>
              <w:overflowPunct/>
              <w:topLinePunct w:val="0"/>
              <w:autoSpaceDE w:val="0"/>
              <w:autoSpaceDN w:val="0"/>
              <w:bidi w:val="0"/>
              <w:adjustRightInd/>
              <w:snapToGrid/>
              <w:spacing w:line="360" w:lineRule="auto"/>
              <w:ind w:firstLine="482"/>
              <w:jc w:val="left"/>
              <w:textAlignment w:val="auto"/>
              <w:rPr>
                <w:rFonts w:hint="eastAsia" w:hAnsi="宋体"/>
                <w:color w:val="auto"/>
                <w:kern w:val="0"/>
                <w:sz w:val="24"/>
                <w:szCs w:val="24"/>
              </w:rPr>
            </w:pPr>
            <w:r>
              <w:rPr>
                <w:rFonts w:hint="eastAsia" w:hAnsi="宋体"/>
                <w:color w:val="auto"/>
                <w:kern w:val="0"/>
                <w:sz w:val="24"/>
                <w:szCs w:val="24"/>
              </w:rPr>
              <w:t>（2）废气污染物总量确定方案</w:t>
            </w:r>
          </w:p>
          <w:p w14:paraId="1F5E5E1E">
            <w:pPr>
              <w:pStyle w:val="18"/>
              <w:spacing w:after="0" w:line="360" w:lineRule="auto"/>
              <w:ind w:left="0" w:leftChars="0" w:firstLine="482"/>
              <w:rPr>
                <w:rFonts w:hint="default" w:ascii="Times New Roman" w:hAnsi="Times New Roman" w:eastAsia="宋体" w:cs="Times New Roman"/>
                <w:color w:val="auto"/>
                <w:sz w:val="24"/>
                <w:szCs w:val="24"/>
                <w:u w:val="none"/>
              </w:rPr>
            </w:pPr>
            <w:r>
              <w:rPr>
                <w:rFonts w:hint="default" w:ascii="Times New Roman" w:hAnsi="Times New Roman" w:cs="Times New Roman"/>
                <w:color w:val="auto"/>
                <w:sz w:val="24"/>
                <w:szCs w:val="24"/>
                <w:u w:val="none"/>
                <w:lang w:val="en-US" w:eastAsia="zh-CN"/>
              </w:rPr>
              <w:t>根据</w:t>
            </w:r>
            <w:r>
              <w:rPr>
                <w:rFonts w:hint="default" w:ascii="Times New Roman" w:hAnsi="Times New Roman" w:eastAsia="宋体" w:cs="Times New Roman"/>
                <w:color w:val="auto"/>
                <w:sz w:val="24"/>
                <w:szCs w:val="24"/>
                <w:u w:val="none"/>
              </w:rPr>
              <w:t>《三明市生态环境局关于印发授权各县(市)生态环境局开展行政许可具体工作方案(试行)的通知》（明环〔2019〕33号）附件4第4条中豁免购买排放权及来源确认的规定“新扩改建设项目环评文件中载明的4项主要污染物年排放量同时满足化学需氧量≤1.5吨、氨氮≤0.25吨、二氧化硫≤1吨、氮氧化物≤1吨的，可豁免购买排污权及来源确认；不属于挥发性有机物排放重点行业，且环评文件中载明的挥发性有机物年排放量≤0.5吨的，可豁免挥发性有机物排放量的调剂。”</w:t>
            </w:r>
          </w:p>
          <w:p w14:paraId="763933C8">
            <w:pPr>
              <w:pStyle w:val="18"/>
              <w:spacing w:after="0" w:line="360" w:lineRule="auto"/>
              <w:ind w:left="0" w:leftChars="0" w:firstLine="482"/>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lang w:val="en-US" w:eastAsia="zh-CN"/>
              </w:rPr>
              <w:t>本项目</w:t>
            </w:r>
            <w:r>
              <w:rPr>
                <w:rFonts w:hint="default" w:ascii="Times New Roman" w:hAnsi="Times New Roman" w:cs="Times New Roman"/>
                <w:b w:val="0"/>
                <w:bCs w:val="0"/>
                <w:color w:val="auto"/>
                <w:sz w:val="24"/>
                <w:szCs w:val="24"/>
                <w:highlight w:val="none"/>
                <w:u w:val="none"/>
                <w:lang w:val="en-US" w:eastAsia="zh-CN"/>
              </w:rPr>
              <w:t>二氧化硫</w:t>
            </w:r>
            <w:r>
              <w:rPr>
                <w:rFonts w:hint="default" w:ascii="Times New Roman" w:hAnsi="Times New Roman" w:cs="Times New Roman"/>
                <w:b w:val="0"/>
                <w:bCs w:val="0"/>
                <w:color w:val="auto"/>
                <w:sz w:val="24"/>
                <w:szCs w:val="24"/>
                <w:highlight w:val="none"/>
                <w:u w:val="none"/>
              </w:rPr>
              <w:t>排放量为</w:t>
            </w:r>
            <w:r>
              <w:rPr>
                <w:rFonts w:hint="default" w:ascii="Times New Roman" w:hAnsi="Times New Roman" w:cs="Times New Roman"/>
                <w:b w:val="0"/>
                <w:bCs w:val="0"/>
                <w:color w:val="auto"/>
                <w:sz w:val="24"/>
                <w:szCs w:val="24"/>
                <w:highlight w:val="none"/>
                <w:u w:val="none"/>
                <w:lang w:val="en-US" w:eastAsia="zh-CN"/>
              </w:rPr>
              <w:t>0.372</w:t>
            </w:r>
            <w:r>
              <w:rPr>
                <w:rFonts w:hint="default" w:ascii="Times New Roman" w:hAnsi="Times New Roman" w:cs="Times New Roman"/>
                <w:b w:val="0"/>
                <w:bCs w:val="0"/>
                <w:color w:val="auto"/>
                <w:sz w:val="24"/>
                <w:szCs w:val="24"/>
                <w:highlight w:val="none"/>
                <w:u w:val="none"/>
              </w:rPr>
              <w:t>吨</w:t>
            </w:r>
            <w:r>
              <w:rPr>
                <w:rFonts w:hint="default" w:ascii="Times New Roman" w:hAnsi="Times New Roman" w:cs="Times New Roman"/>
                <w:b w:val="0"/>
                <w:bCs w:val="0"/>
                <w:color w:val="auto"/>
                <w:sz w:val="24"/>
                <w:szCs w:val="24"/>
                <w:highlight w:val="none"/>
                <w:u w:val="none"/>
                <w:lang w:val="en-US" w:eastAsia="zh-CN"/>
              </w:rPr>
              <w:t>＜1</w:t>
            </w:r>
            <w:r>
              <w:rPr>
                <w:rFonts w:hint="default" w:ascii="Times New Roman" w:hAnsi="Times New Roman" w:cs="Times New Roman"/>
                <w:b w:val="0"/>
                <w:bCs w:val="0"/>
                <w:color w:val="auto"/>
                <w:sz w:val="24"/>
                <w:szCs w:val="24"/>
                <w:highlight w:val="none"/>
                <w:u w:val="none"/>
              </w:rPr>
              <w:t>吨</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lang w:val="en-US" w:eastAsia="zh-CN"/>
              </w:rPr>
              <w:t>氮氧化物排放量3.479t/a＞1吨</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eastAsia="zh-CN"/>
              </w:rPr>
              <w:t>应</w:t>
            </w:r>
            <w:r>
              <w:rPr>
                <w:rFonts w:hint="default" w:ascii="Times New Roman" w:hAnsi="Times New Roman" w:cs="Times New Roman"/>
                <w:color w:val="auto"/>
                <w:sz w:val="24"/>
                <w:szCs w:val="24"/>
                <w:u w:val="none"/>
              </w:rPr>
              <w:t>购买</w:t>
            </w:r>
            <w:r>
              <w:rPr>
                <w:rFonts w:hint="default" w:ascii="Times New Roman" w:hAnsi="Times New Roman" w:cs="Times New Roman"/>
                <w:color w:val="auto"/>
                <w:sz w:val="24"/>
                <w:szCs w:val="24"/>
                <w:u w:val="none"/>
                <w:lang w:val="en-US" w:eastAsia="zh-CN"/>
              </w:rPr>
              <w:t>总量控制指标。</w:t>
            </w:r>
            <w:r>
              <w:rPr>
                <w:rFonts w:hint="default" w:ascii="Times New Roman" w:hAnsi="Times New Roman" w:cs="Times New Roman"/>
                <w:color w:val="auto"/>
                <w:sz w:val="24"/>
                <w:szCs w:val="24"/>
                <w:u w:val="none"/>
              </w:rPr>
              <w:t>本项目</w:t>
            </w:r>
            <w:r>
              <w:rPr>
                <w:rFonts w:hint="default" w:ascii="Times New Roman" w:hAnsi="Times New Roman" w:cs="Times New Roman"/>
                <w:color w:val="auto"/>
                <w:sz w:val="24"/>
                <w:szCs w:val="24"/>
                <w:u w:val="none"/>
                <w:lang w:val="en-US" w:eastAsia="zh-CN"/>
              </w:rPr>
              <w:t>属于</w:t>
            </w:r>
            <w:r>
              <w:rPr>
                <w:rFonts w:hint="default" w:ascii="Times New Roman" w:hAnsi="Times New Roman" w:eastAsia="宋体" w:cs="Times New Roman"/>
                <w:color w:val="auto"/>
                <w:sz w:val="24"/>
                <w:szCs w:val="24"/>
                <w:u w:val="none"/>
              </w:rPr>
              <w:t>挥发性有机物排放重点行业</w:t>
            </w:r>
            <w:r>
              <w:rPr>
                <w:rFonts w:hint="default" w:ascii="Times New Roman" w:hAnsi="Times New Roman" w:eastAsia="宋体" w:cs="Times New Roman"/>
                <w:color w:val="auto"/>
                <w:sz w:val="24"/>
                <w:szCs w:val="24"/>
                <w:u w:val="none"/>
                <w:lang w:eastAsia="zh-CN"/>
              </w:rPr>
              <w:t>，</w:t>
            </w:r>
            <w:r>
              <w:rPr>
                <w:rFonts w:hint="default" w:ascii="Times New Roman" w:hAnsi="Times New Roman" w:cs="Times New Roman"/>
                <w:color w:val="auto"/>
                <w:sz w:val="24"/>
                <w:szCs w:val="24"/>
                <w:u w:val="none"/>
              </w:rPr>
              <w:t>排放VOCs总量为</w:t>
            </w:r>
            <w:r>
              <w:rPr>
                <w:rFonts w:hint="eastAsia" w:cs="Times New Roman"/>
                <w:color w:val="auto"/>
                <w:sz w:val="24"/>
                <w:szCs w:val="24"/>
                <w:u w:val="none"/>
                <w:lang w:val="en-US" w:eastAsia="zh-CN"/>
              </w:rPr>
              <w:t>4.130</w:t>
            </w:r>
            <w:r>
              <w:rPr>
                <w:rFonts w:hint="default" w:ascii="Times New Roman" w:hAnsi="Times New Roman" w:cs="Times New Roman"/>
                <w:color w:val="auto"/>
                <w:sz w:val="24"/>
                <w:szCs w:val="24"/>
                <w:u w:val="none"/>
                <w:lang w:val="en-US" w:eastAsia="zh-CN"/>
              </w:rPr>
              <w:t>t</w:t>
            </w:r>
            <w:r>
              <w:rPr>
                <w:rFonts w:hint="default" w:ascii="Times New Roman" w:hAnsi="Times New Roman" w:cs="Times New Roman"/>
                <w:color w:val="auto"/>
                <w:sz w:val="24"/>
                <w:szCs w:val="24"/>
                <w:u w:val="none"/>
              </w:rPr>
              <w:t>/a</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lang w:val="en-US" w:eastAsia="zh-CN"/>
              </w:rPr>
              <w:t>其中有组织</w:t>
            </w:r>
            <w:r>
              <w:rPr>
                <w:rFonts w:hint="eastAsia" w:cs="Times New Roman"/>
                <w:color w:val="auto"/>
                <w:sz w:val="24"/>
                <w:szCs w:val="24"/>
                <w:u w:val="none"/>
                <w:lang w:val="en-US" w:eastAsia="zh-CN"/>
              </w:rPr>
              <w:t>2.649</w:t>
            </w:r>
            <w:r>
              <w:rPr>
                <w:rFonts w:hint="default" w:ascii="Times New Roman" w:hAnsi="Times New Roman" w:cs="Times New Roman"/>
                <w:color w:val="auto"/>
                <w:sz w:val="24"/>
                <w:szCs w:val="24"/>
                <w:u w:val="none"/>
                <w:lang w:val="en-US" w:eastAsia="zh-CN"/>
              </w:rPr>
              <w:t>t/a、无组织</w:t>
            </w:r>
            <w:r>
              <w:rPr>
                <w:rFonts w:hint="eastAsia" w:cs="Times New Roman"/>
                <w:color w:val="auto"/>
                <w:sz w:val="24"/>
                <w:szCs w:val="24"/>
                <w:u w:val="none"/>
                <w:lang w:val="en-US" w:eastAsia="zh-CN"/>
              </w:rPr>
              <w:t>1.481</w:t>
            </w:r>
            <w:r>
              <w:rPr>
                <w:rFonts w:hint="default" w:ascii="Times New Roman" w:hAnsi="Times New Roman" w:cs="Times New Roman"/>
                <w:color w:val="auto"/>
                <w:sz w:val="24"/>
                <w:szCs w:val="24"/>
                <w:u w:val="none"/>
                <w:lang w:val="en-US" w:eastAsia="zh-CN"/>
              </w:rPr>
              <w:t>t/a</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en-US" w:eastAsia="zh-CN"/>
              </w:rPr>
              <w:t>应实行区域内等量替代</w:t>
            </w:r>
            <w:r>
              <w:rPr>
                <w:rFonts w:hint="default" w:ascii="Times New Roman" w:hAnsi="Times New Roman" w:cs="Times New Roman"/>
                <w:color w:val="auto"/>
                <w:sz w:val="24"/>
                <w:szCs w:val="24"/>
                <w:u w:val="none"/>
              </w:rPr>
              <w:t>。</w:t>
            </w:r>
          </w:p>
          <w:p w14:paraId="25CBD5E7">
            <w:pPr>
              <w:spacing w:line="360" w:lineRule="auto"/>
              <w:ind w:firstLine="480" w:firstLineChars="200"/>
              <w:rPr>
                <w:color w:val="auto"/>
                <w:sz w:val="24"/>
                <w:szCs w:val="24"/>
              </w:rPr>
            </w:pPr>
            <w:r>
              <w:rPr>
                <w:rFonts w:hint="eastAsia" w:cs="Times New Roman"/>
                <w:color w:val="auto"/>
                <w:sz w:val="24"/>
                <w:szCs w:val="24"/>
                <w:u w:val="none"/>
                <w:lang w:val="en-US" w:eastAsia="zh-CN"/>
              </w:rPr>
              <w:t>原项目环评通过审批后，二氧化硫、氮氧化物未购买总量，VOCs未申请调剂。因此，本次环评通过审批后，</w:t>
            </w:r>
            <w:r>
              <w:rPr>
                <w:rFonts w:hint="default" w:ascii="Times New Roman" w:hAnsi="Times New Roman" w:cs="Times New Roman"/>
                <w:color w:val="auto"/>
                <w:sz w:val="24"/>
                <w:szCs w:val="24"/>
                <w:u w:val="none"/>
              </w:rPr>
              <w:t>建设单位应在项目投入生产前向排污权交易机构购买项目所需</w:t>
            </w:r>
            <w:r>
              <w:rPr>
                <w:rFonts w:hint="default" w:ascii="Times New Roman" w:hAnsi="Times New Roman" w:cs="Times New Roman"/>
                <w:color w:val="auto"/>
                <w:sz w:val="24"/>
                <w:szCs w:val="24"/>
                <w:u w:val="none"/>
                <w:lang w:val="en-US" w:eastAsia="zh-CN"/>
              </w:rPr>
              <w:t>二氧化硫、</w:t>
            </w:r>
            <w:r>
              <w:rPr>
                <w:rFonts w:hint="default" w:ascii="Times New Roman" w:hAnsi="Times New Roman" w:cs="Times New Roman"/>
                <w:color w:val="auto"/>
                <w:sz w:val="24"/>
                <w:szCs w:val="24"/>
                <w:u w:val="none"/>
              </w:rPr>
              <w:t>氮氧化物总量指标</w:t>
            </w:r>
            <w:r>
              <w:rPr>
                <w:rFonts w:hint="eastAsia" w:cs="Times New Roman"/>
                <w:color w:val="auto"/>
                <w:sz w:val="24"/>
                <w:szCs w:val="24"/>
                <w:u w:val="none"/>
                <w:lang w:eastAsia="zh-CN"/>
              </w:rPr>
              <w:t>；</w:t>
            </w:r>
            <w:r>
              <w:rPr>
                <w:rFonts w:hint="eastAsia" w:cs="Times New Roman"/>
                <w:color w:val="auto"/>
                <w:sz w:val="24"/>
                <w:szCs w:val="24"/>
                <w:u w:val="none"/>
                <w:lang w:val="en-US" w:eastAsia="zh-CN"/>
              </w:rPr>
              <w:t>根据</w:t>
            </w:r>
            <w:r>
              <w:rPr>
                <w:color w:val="auto"/>
                <w:sz w:val="24"/>
                <w:szCs w:val="24"/>
              </w:rPr>
              <w:t>《</w:t>
            </w:r>
            <w:r>
              <w:rPr>
                <w:rFonts w:hint="eastAsia"/>
                <w:color w:val="auto"/>
                <w:sz w:val="24"/>
                <w:szCs w:val="24"/>
              </w:rPr>
              <w:t>三明市2023年生态环境分区管控动态更新成果</w:t>
            </w:r>
            <w:r>
              <w:rPr>
                <w:color w:val="auto"/>
                <w:sz w:val="24"/>
                <w:szCs w:val="24"/>
              </w:rPr>
              <w:t>》</w:t>
            </w:r>
            <w:r>
              <w:rPr>
                <w:rFonts w:hint="eastAsia"/>
                <w:color w:val="auto"/>
                <w:sz w:val="24"/>
                <w:szCs w:val="24"/>
                <w:lang w:eastAsia="zh-CN"/>
              </w:rPr>
              <w:t>，</w:t>
            </w:r>
            <w:r>
              <w:rPr>
                <w:rFonts w:hint="default" w:ascii="Times New Roman" w:hAnsi="Times New Roman" w:cs="Times New Roman"/>
                <w:color w:val="auto"/>
                <w:sz w:val="24"/>
                <w:szCs w:val="24"/>
                <w:u w:val="none"/>
              </w:rPr>
              <w:t>项目所需的VOCs（非甲烷总烃）总量指标应</w:t>
            </w:r>
            <w:r>
              <w:rPr>
                <w:rFonts w:hint="eastAsia" w:cs="Times New Roman"/>
                <w:color w:val="auto"/>
                <w:sz w:val="24"/>
                <w:szCs w:val="24"/>
                <w:u w:val="none"/>
                <w:lang w:val="en-US" w:eastAsia="zh-CN"/>
              </w:rPr>
              <w:t>通过区域等量替代获得</w:t>
            </w:r>
            <w:r>
              <w:rPr>
                <w:rFonts w:hint="default" w:ascii="Times New Roman" w:hAnsi="Times New Roman" w:cs="Times New Roman"/>
                <w:color w:val="auto"/>
                <w:sz w:val="24"/>
                <w:szCs w:val="24"/>
                <w:u w:val="none"/>
              </w:rPr>
              <w:t>。</w:t>
            </w:r>
          </w:p>
        </w:tc>
      </w:tr>
    </w:tbl>
    <w:p w14:paraId="2ADA4CFA">
      <w:pPr>
        <w:pStyle w:val="24"/>
        <w:jc w:val="center"/>
        <w:outlineLvl w:val="0"/>
        <w:rPr>
          <w:rFonts w:hint="eastAsia" w:ascii="黑体" w:hAnsi="黑体" w:eastAsia="黑体"/>
          <w:snapToGrid w:val="0"/>
          <w:color w:val="auto"/>
          <w:sz w:val="24"/>
          <w:szCs w:val="24"/>
        </w:rPr>
      </w:pPr>
      <w:r>
        <w:rPr>
          <w:rFonts w:ascii="黑体" w:hAnsi="黑体" w:eastAsia="黑体"/>
          <w:snapToGrid w:val="0"/>
          <w:color w:val="auto"/>
          <w:sz w:val="24"/>
          <w:szCs w:val="24"/>
        </w:rPr>
        <w:br w:type="page"/>
      </w:r>
      <w:bookmarkStart w:id="21" w:name="_Toc2477"/>
      <w:bookmarkStart w:id="22" w:name="_Toc1136"/>
      <w:bookmarkStart w:id="23" w:name="_Toc1928"/>
      <w:r>
        <w:rPr>
          <w:rFonts w:hint="eastAsia" w:ascii="黑体" w:hAnsi="黑体" w:eastAsia="黑体"/>
          <w:snapToGrid w:val="0"/>
          <w:color w:val="auto"/>
          <w:sz w:val="24"/>
          <w:szCs w:val="24"/>
        </w:rPr>
        <w:t>四、主要环境影响和保护措施</w:t>
      </w:r>
      <w:bookmarkEnd w:id="21"/>
      <w:bookmarkEnd w:id="22"/>
      <w:bookmarkEnd w:id="23"/>
    </w:p>
    <w:tbl>
      <w:tblPr>
        <w:tblStyle w:val="29"/>
        <w:tblW w:w="91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4"/>
        <w:gridCol w:w="8593"/>
      </w:tblGrid>
      <w:tr w14:paraId="18AE3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524" w:type="dxa"/>
            <w:tcMar>
              <w:left w:w="28" w:type="dxa"/>
              <w:right w:w="28" w:type="dxa"/>
            </w:tcMar>
            <w:vAlign w:val="center"/>
          </w:tcPr>
          <w:p w14:paraId="33303EEE">
            <w:pPr>
              <w:pStyle w:val="24"/>
              <w:adjustRightInd w:val="0"/>
              <w:snapToGrid w:val="0"/>
              <w:spacing w:before="0" w:beforeAutospacing="0" w:after="0" w:afterAutospacing="0"/>
              <w:jc w:val="center"/>
              <w:rPr>
                <w:rFonts w:hint="eastAsia" w:cs="宋体"/>
                <w:bCs/>
                <w:color w:val="auto"/>
                <w:kern w:val="2"/>
                <w:sz w:val="24"/>
                <w:szCs w:val="24"/>
              </w:rPr>
            </w:pPr>
            <w:r>
              <w:rPr>
                <w:rFonts w:hint="eastAsia" w:cs="宋体"/>
                <w:color w:val="auto"/>
                <w:kern w:val="2"/>
                <w:sz w:val="24"/>
                <w:szCs w:val="24"/>
              </w:rPr>
              <w:t>施工期环境保护措施</w:t>
            </w:r>
          </w:p>
        </w:tc>
        <w:tc>
          <w:tcPr>
            <w:tcW w:w="8593" w:type="dxa"/>
            <w:vAlign w:val="center"/>
          </w:tcPr>
          <w:p w14:paraId="6F888E10">
            <w:pPr>
              <w:pStyle w:val="27"/>
              <w:keepNext w:val="0"/>
              <w:keepLines w:val="0"/>
              <w:pageBreakBefore w:val="0"/>
              <w:widowControl/>
              <w:kinsoku/>
              <w:wordWrap/>
              <w:overflowPunct/>
              <w:topLinePunct w:val="0"/>
              <w:autoSpaceDE/>
              <w:autoSpaceDN/>
              <w:bidi w:val="0"/>
              <w:adjustRightInd/>
              <w:snapToGrid w:val="0"/>
              <w:spacing w:before="157" w:beforeLines="50" w:after="0" w:line="360" w:lineRule="auto"/>
              <w:ind w:right="0" w:firstLine="480" w:firstLineChars="200"/>
              <w:textAlignment w:val="auto"/>
              <w:rPr>
                <w:rFonts w:hint="default"/>
                <w:bCs/>
                <w:color w:val="auto"/>
                <w:sz w:val="24"/>
                <w:szCs w:val="24"/>
                <w:lang w:val="en-US" w:eastAsia="zh-CN"/>
              </w:rPr>
            </w:pPr>
            <w:bookmarkStart w:id="24" w:name="_Toc11037"/>
            <w:bookmarkStart w:id="25" w:name="_Toc28048"/>
            <w:r>
              <w:rPr>
                <w:rFonts w:hint="eastAsia"/>
                <w:bCs/>
                <w:color w:val="auto"/>
                <w:sz w:val="24"/>
                <w:szCs w:val="24"/>
                <w:lang w:val="en-US" w:eastAsia="zh-CN"/>
              </w:rPr>
              <w:t>本</w:t>
            </w:r>
            <w:r>
              <w:rPr>
                <w:bCs/>
                <w:color w:val="auto"/>
                <w:sz w:val="24"/>
                <w:szCs w:val="24"/>
              </w:rPr>
              <w:t>项目</w:t>
            </w:r>
            <w:r>
              <w:rPr>
                <w:rFonts w:hint="eastAsia"/>
                <w:bCs/>
                <w:color w:val="auto"/>
                <w:sz w:val="24"/>
                <w:szCs w:val="24"/>
                <w:lang w:val="en-US" w:eastAsia="zh-CN"/>
              </w:rPr>
              <w:t>已建1#厂房、3#厂房，均为钢结构厂房，2#厂房（3F）、综合楼（5F）（均为砼结构厂房）还未施工建设，厂区部分道路路面还未硬化。因此，项目施工内容主要为2#厂房、综合楼、配套设施的施工及生产设备安装。</w:t>
            </w:r>
          </w:p>
          <w:p w14:paraId="5096104B">
            <w:pPr>
              <w:adjustRightInd w:val="0"/>
              <w:snapToGrid w:val="0"/>
              <w:spacing w:line="360" w:lineRule="auto"/>
              <w:jc w:val="left"/>
              <w:rPr>
                <w:rFonts w:eastAsia="黑体"/>
                <w:bCs/>
                <w:color w:val="auto"/>
                <w:kern w:val="0"/>
                <w:sz w:val="24"/>
                <w:szCs w:val="24"/>
              </w:rPr>
            </w:pPr>
            <w:r>
              <w:rPr>
                <w:rFonts w:eastAsia="黑体"/>
                <w:bCs/>
                <w:color w:val="auto"/>
                <w:kern w:val="0"/>
                <w:sz w:val="24"/>
                <w:szCs w:val="24"/>
              </w:rPr>
              <w:t>1</w:t>
            </w:r>
            <w:r>
              <w:rPr>
                <w:rFonts w:hAnsi="黑体" w:eastAsia="黑体"/>
                <w:bCs/>
                <w:color w:val="auto"/>
                <w:kern w:val="0"/>
                <w:sz w:val="24"/>
                <w:szCs w:val="24"/>
              </w:rPr>
              <w:t>、废水</w:t>
            </w:r>
          </w:p>
          <w:p w14:paraId="247902FE">
            <w:pPr>
              <w:adjustRightInd w:val="0"/>
              <w:snapToGrid w:val="0"/>
              <w:spacing w:line="360" w:lineRule="auto"/>
              <w:ind w:firstLine="480" w:firstLineChars="200"/>
              <w:rPr>
                <w:color w:val="auto"/>
                <w:kern w:val="0"/>
                <w:sz w:val="24"/>
                <w:szCs w:val="24"/>
              </w:rPr>
            </w:pPr>
            <w:r>
              <w:rPr>
                <w:rFonts w:hint="eastAsia"/>
                <w:color w:val="auto"/>
                <w:kern w:val="0"/>
                <w:sz w:val="24"/>
                <w:szCs w:val="24"/>
              </w:rPr>
              <w:t>项目</w:t>
            </w:r>
            <w:r>
              <w:rPr>
                <w:color w:val="auto"/>
                <w:kern w:val="0"/>
                <w:sz w:val="24"/>
                <w:szCs w:val="24"/>
              </w:rPr>
              <w:t>施工期废水主要为施工作业产生的施工</w:t>
            </w:r>
            <w:r>
              <w:rPr>
                <w:rFonts w:hint="eastAsia"/>
                <w:color w:val="auto"/>
                <w:kern w:val="0"/>
                <w:sz w:val="24"/>
                <w:szCs w:val="24"/>
              </w:rPr>
              <w:t>设备</w:t>
            </w:r>
            <w:r>
              <w:rPr>
                <w:color w:val="auto"/>
                <w:kern w:val="0"/>
                <w:sz w:val="24"/>
                <w:szCs w:val="24"/>
              </w:rPr>
              <w:t>冲洗废水和施工人员排放的生活污水。</w:t>
            </w:r>
          </w:p>
          <w:p w14:paraId="498750BF">
            <w:pPr>
              <w:adjustRightInd w:val="0"/>
              <w:snapToGrid w:val="0"/>
              <w:spacing w:line="360" w:lineRule="auto"/>
              <w:ind w:firstLine="480" w:firstLineChars="200"/>
              <w:rPr>
                <w:color w:val="auto"/>
                <w:kern w:val="0"/>
                <w:sz w:val="24"/>
                <w:szCs w:val="24"/>
              </w:rPr>
            </w:pPr>
            <w:r>
              <w:rPr>
                <w:rFonts w:hint="eastAsia"/>
                <w:color w:val="auto"/>
                <w:kern w:val="0"/>
                <w:sz w:val="24"/>
                <w:szCs w:val="24"/>
              </w:rPr>
              <w:t>（1）施工设备冲洗废水</w:t>
            </w:r>
          </w:p>
          <w:p w14:paraId="57B03205">
            <w:pPr>
              <w:adjustRightInd w:val="0"/>
              <w:snapToGrid w:val="0"/>
              <w:spacing w:line="360" w:lineRule="auto"/>
              <w:ind w:firstLine="480" w:firstLineChars="200"/>
              <w:rPr>
                <w:color w:val="auto"/>
                <w:kern w:val="0"/>
                <w:sz w:val="24"/>
                <w:szCs w:val="24"/>
              </w:rPr>
            </w:pPr>
            <w:r>
              <w:rPr>
                <w:color w:val="auto"/>
                <w:kern w:val="0"/>
                <w:sz w:val="24"/>
                <w:szCs w:val="24"/>
              </w:rPr>
              <w:t>根据建设单位提供资料</w:t>
            </w:r>
            <w:r>
              <w:rPr>
                <w:rFonts w:hint="eastAsia"/>
                <w:color w:val="auto"/>
                <w:kern w:val="0"/>
                <w:sz w:val="24"/>
                <w:szCs w:val="24"/>
              </w:rPr>
              <w:t>，本项目</w:t>
            </w:r>
            <w:r>
              <w:rPr>
                <w:color w:val="auto"/>
                <w:kern w:val="0"/>
                <w:sz w:val="24"/>
                <w:szCs w:val="24"/>
              </w:rPr>
              <w:t>施工现场出入口设置于场地</w:t>
            </w:r>
            <w:r>
              <w:rPr>
                <w:rFonts w:hint="eastAsia"/>
                <w:color w:val="auto"/>
                <w:kern w:val="0"/>
                <w:sz w:val="24"/>
                <w:szCs w:val="24"/>
                <w:lang w:val="en-US" w:eastAsia="zh-CN"/>
              </w:rPr>
              <w:t>西南</w:t>
            </w:r>
            <w:r>
              <w:rPr>
                <w:color w:val="auto"/>
                <w:kern w:val="0"/>
                <w:sz w:val="24"/>
                <w:szCs w:val="24"/>
              </w:rPr>
              <w:t>侧</w:t>
            </w:r>
            <w:r>
              <w:rPr>
                <w:rFonts w:hint="eastAsia"/>
                <w:color w:val="auto"/>
                <w:kern w:val="0"/>
                <w:sz w:val="24"/>
                <w:szCs w:val="24"/>
              </w:rPr>
              <w:t>，并在</w:t>
            </w:r>
            <w:r>
              <w:rPr>
                <w:color w:val="auto"/>
                <w:kern w:val="0"/>
                <w:sz w:val="24"/>
                <w:szCs w:val="24"/>
              </w:rPr>
              <w:t>出入口设置</w:t>
            </w:r>
            <w:r>
              <w:rPr>
                <w:rFonts w:hint="eastAsia"/>
                <w:color w:val="auto"/>
                <w:kern w:val="0"/>
                <w:sz w:val="24"/>
                <w:szCs w:val="24"/>
              </w:rPr>
              <w:t>洗车平台</w:t>
            </w:r>
            <w:r>
              <w:rPr>
                <w:color w:val="auto"/>
                <w:kern w:val="0"/>
                <w:sz w:val="24"/>
                <w:szCs w:val="24"/>
              </w:rPr>
              <w:t>和三级沉淀池</w:t>
            </w:r>
            <w:r>
              <w:rPr>
                <w:rFonts w:hint="eastAsia"/>
                <w:color w:val="auto"/>
                <w:kern w:val="0"/>
                <w:sz w:val="24"/>
                <w:szCs w:val="24"/>
              </w:rPr>
              <w:t>，</w:t>
            </w:r>
            <w:r>
              <w:rPr>
                <w:color w:val="auto"/>
                <w:kern w:val="0"/>
                <w:sz w:val="24"/>
                <w:szCs w:val="24"/>
              </w:rPr>
              <w:t>施工设备</w:t>
            </w:r>
            <w:r>
              <w:rPr>
                <w:rFonts w:hint="eastAsia"/>
                <w:color w:val="auto"/>
                <w:kern w:val="0"/>
                <w:sz w:val="24"/>
                <w:szCs w:val="24"/>
              </w:rPr>
              <w:t>、</w:t>
            </w:r>
            <w:r>
              <w:rPr>
                <w:color w:val="auto"/>
                <w:kern w:val="0"/>
                <w:sz w:val="24"/>
                <w:szCs w:val="24"/>
              </w:rPr>
              <w:t>运输车辆冲洗废水通过沉淀处理后将上清液回用于设备及场地冲洗、洒水降尘，不外排。</w:t>
            </w:r>
          </w:p>
          <w:p w14:paraId="79BACE12">
            <w:pPr>
              <w:adjustRightInd w:val="0"/>
              <w:snapToGrid w:val="0"/>
              <w:spacing w:line="360" w:lineRule="auto"/>
              <w:ind w:firstLine="480" w:firstLineChars="200"/>
              <w:rPr>
                <w:color w:val="auto"/>
                <w:kern w:val="0"/>
                <w:sz w:val="24"/>
                <w:szCs w:val="24"/>
              </w:rPr>
            </w:pPr>
            <w:r>
              <w:rPr>
                <w:rFonts w:hint="eastAsia"/>
                <w:color w:val="auto"/>
                <w:kern w:val="0"/>
                <w:sz w:val="24"/>
                <w:szCs w:val="24"/>
              </w:rPr>
              <w:t>（2）生活污水</w:t>
            </w:r>
          </w:p>
          <w:p w14:paraId="038F60B0">
            <w:pPr>
              <w:adjustRightInd w:val="0"/>
              <w:snapToGrid w:val="0"/>
              <w:spacing w:line="360" w:lineRule="auto"/>
              <w:ind w:firstLine="480" w:firstLineChars="200"/>
              <w:rPr>
                <w:color w:val="auto"/>
                <w:kern w:val="0"/>
                <w:sz w:val="24"/>
                <w:szCs w:val="24"/>
              </w:rPr>
            </w:pPr>
            <w:r>
              <w:rPr>
                <w:color w:val="auto"/>
                <w:kern w:val="0"/>
                <w:sz w:val="24"/>
                <w:szCs w:val="24"/>
              </w:rPr>
              <w:t>根据建设单位提供资料</w:t>
            </w:r>
            <w:r>
              <w:rPr>
                <w:rFonts w:hint="eastAsia"/>
                <w:color w:val="auto"/>
                <w:kern w:val="0"/>
                <w:sz w:val="24"/>
                <w:szCs w:val="24"/>
              </w:rPr>
              <w:t>，</w:t>
            </w:r>
            <w:r>
              <w:rPr>
                <w:color w:val="auto"/>
                <w:kern w:val="0"/>
                <w:sz w:val="24"/>
                <w:szCs w:val="24"/>
              </w:rPr>
              <w:t>项目不设施工营地，施工人员租住在附近</w:t>
            </w:r>
            <w:r>
              <w:rPr>
                <w:rFonts w:hint="eastAsia"/>
                <w:color w:val="auto"/>
                <w:kern w:val="0"/>
                <w:sz w:val="24"/>
                <w:szCs w:val="24"/>
              </w:rPr>
              <w:t>民房</w:t>
            </w:r>
            <w:r>
              <w:rPr>
                <w:color w:val="auto"/>
                <w:kern w:val="0"/>
                <w:sz w:val="24"/>
                <w:szCs w:val="24"/>
              </w:rPr>
              <w:t>中，产生的生活污水</w:t>
            </w:r>
            <w:r>
              <w:rPr>
                <w:rFonts w:hint="eastAsia"/>
                <w:color w:val="auto"/>
                <w:kern w:val="0"/>
                <w:sz w:val="24"/>
                <w:szCs w:val="24"/>
              </w:rPr>
              <w:t>依托</w:t>
            </w:r>
            <w:r>
              <w:rPr>
                <w:color w:val="auto"/>
                <w:kern w:val="0"/>
                <w:sz w:val="24"/>
                <w:szCs w:val="24"/>
              </w:rPr>
              <w:t>当地现有的污水</w:t>
            </w:r>
            <w:r>
              <w:rPr>
                <w:rFonts w:hint="eastAsia"/>
                <w:color w:val="auto"/>
                <w:kern w:val="0"/>
                <w:sz w:val="24"/>
                <w:szCs w:val="24"/>
              </w:rPr>
              <w:t>处理</w:t>
            </w:r>
            <w:r>
              <w:rPr>
                <w:color w:val="auto"/>
                <w:kern w:val="0"/>
                <w:sz w:val="24"/>
                <w:szCs w:val="24"/>
              </w:rPr>
              <w:t>系统中，不单独收集处理</w:t>
            </w:r>
            <w:r>
              <w:rPr>
                <w:rFonts w:hint="eastAsia"/>
                <w:color w:val="auto"/>
                <w:kern w:val="0"/>
                <w:sz w:val="24"/>
                <w:szCs w:val="24"/>
              </w:rPr>
              <w:t>。</w:t>
            </w:r>
            <w:r>
              <w:rPr>
                <w:color w:val="auto"/>
                <w:kern w:val="0"/>
                <w:sz w:val="24"/>
                <w:szCs w:val="24"/>
              </w:rPr>
              <w:t>现场施工</w:t>
            </w:r>
            <w:r>
              <w:rPr>
                <w:rFonts w:hint="eastAsia"/>
                <w:color w:val="auto"/>
                <w:kern w:val="0"/>
                <w:sz w:val="24"/>
                <w:szCs w:val="24"/>
              </w:rPr>
              <w:t>、</w:t>
            </w:r>
            <w:r>
              <w:rPr>
                <w:color w:val="auto"/>
                <w:kern w:val="0"/>
                <w:sz w:val="24"/>
                <w:szCs w:val="24"/>
              </w:rPr>
              <w:t>办公人员生活污水经临时化粪池处理后排入市政污水管网。</w:t>
            </w:r>
          </w:p>
          <w:p w14:paraId="0E985998">
            <w:pPr>
              <w:adjustRightInd w:val="0"/>
              <w:snapToGrid w:val="0"/>
              <w:spacing w:line="360" w:lineRule="auto"/>
              <w:ind w:firstLine="480" w:firstLineChars="200"/>
              <w:rPr>
                <w:color w:val="auto"/>
                <w:kern w:val="0"/>
                <w:sz w:val="24"/>
                <w:szCs w:val="24"/>
              </w:rPr>
            </w:pPr>
            <w:r>
              <w:rPr>
                <w:rFonts w:hint="eastAsia"/>
                <w:color w:val="auto"/>
                <w:kern w:val="0"/>
                <w:sz w:val="24"/>
                <w:szCs w:val="24"/>
              </w:rPr>
              <w:t>采取上述治理措施后，施工期施工废水、生活污水不会对项目所在区域地表水环境造成不利影响。</w:t>
            </w:r>
          </w:p>
          <w:p w14:paraId="0F503723">
            <w:pPr>
              <w:adjustRightInd w:val="0"/>
              <w:snapToGrid w:val="0"/>
              <w:spacing w:line="360" w:lineRule="auto"/>
              <w:jc w:val="left"/>
              <w:rPr>
                <w:rFonts w:eastAsia="黑体"/>
                <w:bCs/>
                <w:color w:val="auto"/>
                <w:kern w:val="0"/>
                <w:sz w:val="24"/>
                <w:szCs w:val="24"/>
              </w:rPr>
            </w:pPr>
            <w:r>
              <w:rPr>
                <w:rFonts w:hint="eastAsia" w:eastAsia="黑体"/>
                <w:bCs/>
                <w:color w:val="auto"/>
                <w:kern w:val="0"/>
                <w:sz w:val="24"/>
                <w:szCs w:val="24"/>
              </w:rPr>
              <w:t>2、废气</w:t>
            </w:r>
          </w:p>
          <w:p w14:paraId="250E1CB3">
            <w:pPr>
              <w:spacing w:line="360" w:lineRule="auto"/>
              <w:ind w:firstLine="480" w:firstLineChars="200"/>
              <w:rPr>
                <w:rFonts w:ascii="宋体" w:hAnsi="宋体"/>
                <w:bCs/>
                <w:color w:val="auto"/>
                <w:sz w:val="24"/>
                <w:szCs w:val="24"/>
              </w:rPr>
            </w:pPr>
            <w:r>
              <w:rPr>
                <w:rFonts w:hint="eastAsia" w:ascii="宋体" w:hAnsi="宋体"/>
                <w:bCs/>
                <w:color w:val="auto"/>
                <w:sz w:val="24"/>
                <w:szCs w:val="24"/>
              </w:rPr>
              <w:t>（1）施工扬尘</w:t>
            </w:r>
          </w:p>
          <w:p w14:paraId="3C92096F">
            <w:pPr>
              <w:pStyle w:val="165"/>
              <w:ind w:firstLine="420"/>
              <w:rPr>
                <w:color w:val="auto"/>
                <w:sz w:val="24"/>
                <w:szCs w:val="24"/>
              </w:rPr>
            </w:pPr>
            <w:r>
              <w:rPr>
                <w:color w:val="auto"/>
                <w:sz w:val="24"/>
                <w:szCs w:val="24"/>
              </w:rPr>
              <w:t>项目施工过程中对大气环境有影响的是因施工而产生的地面扬尘，根据类比调查，确定施工现场主要起尘点有：</w:t>
            </w:r>
          </w:p>
          <w:p w14:paraId="3557ECB7">
            <w:pPr>
              <w:pStyle w:val="165"/>
              <w:ind w:firstLine="420"/>
              <w:rPr>
                <w:color w:val="auto"/>
                <w:sz w:val="24"/>
                <w:szCs w:val="24"/>
              </w:rPr>
            </w:pPr>
            <w:r>
              <w:rPr>
                <w:rFonts w:hint="eastAsia"/>
                <w:color w:val="auto"/>
                <w:sz w:val="24"/>
                <w:szCs w:val="24"/>
                <w:lang w:val="en-US"/>
              </w:rPr>
              <w:t>①</w:t>
            </w:r>
            <w:r>
              <w:rPr>
                <w:color w:val="auto"/>
                <w:sz w:val="24"/>
                <w:szCs w:val="24"/>
              </w:rPr>
              <w:t>砂石料、水泥等建材堆场在空气动力作用下扬尘；</w:t>
            </w:r>
          </w:p>
          <w:p w14:paraId="64FF07CC">
            <w:pPr>
              <w:pStyle w:val="165"/>
              <w:ind w:firstLine="420"/>
              <w:rPr>
                <w:color w:val="auto"/>
                <w:sz w:val="24"/>
                <w:szCs w:val="24"/>
              </w:rPr>
            </w:pPr>
            <w:r>
              <w:rPr>
                <w:rFonts w:hint="eastAsia"/>
                <w:color w:val="auto"/>
                <w:sz w:val="24"/>
                <w:szCs w:val="24"/>
                <w:lang w:val="en-US"/>
              </w:rPr>
              <w:t>②</w:t>
            </w:r>
            <w:r>
              <w:rPr>
                <w:color w:val="auto"/>
                <w:sz w:val="24"/>
                <w:szCs w:val="24"/>
              </w:rPr>
              <w:t>运输车辆在运送砂石料过程中，由于振动和自然风力等因素引起的物料洒落起尘和道路扬尘；</w:t>
            </w:r>
          </w:p>
          <w:p w14:paraId="04EF80C2">
            <w:pPr>
              <w:pStyle w:val="165"/>
              <w:ind w:firstLine="420"/>
              <w:rPr>
                <w:color w:val="auto"/>
                <w:sz w:val="24"/>
                <w:szCs w:val="24"/>
              </w:rPr>
            </w:pPr>
            <w:r>
              <w:rPr>
                <w:rFonts w:hint="eastAsia"/>
                <w:color w:val="auto"/>
                <w:sz w:val="24"/>
                <w:szCs w:val="24"/>
                <w:lang w:val="en-US"/>
              </w:rPr>
              <w:t>③</w:t>
            </w:r>
            <w:r>
              <w:rPr>
                <w:color w:val="auto"/>
                <w:sz w:val="24"/>
                <w:szCs w:val="24"/>
              </w:rPr>
              <w:t>施工垃圾在其堆放和清运过程中产生扬尘</w:t>
            </w:r>
            <w:r>
              <w:rPr>
                <w:rFonts w:hint="eastAsia"/>
                <w:color w:val="auto"/>
                <w:sz w:val="24"/>
                <w:szCs w:val="24"/>
              </w:rPr>
              <w:t>。</w:t>
            </w:r>
          </w:p>
          <w:p w14:paraId="12852A73">
            <w:pPr>
              <w:spacing w:line="360" w:lineRule="auto"/>
              <w:ind w:firstLine="480" w:firstLineChars="200"/>
              <w:rPr>
                <w:rFonts w:ascii="宋体" w:hAnsi="宋体"/>
                <w:bCs/>
                <w:color w:val="auto"/>
                <w:sz w:val="24"/>
                <w:szCs w:val="24"/>
              </w:rPr>
            </w:pPr>
            <w:r>
              <w:rPr>
                <w:rFonts w:hAnsi="宋体"/>
                <w:bCs/>
                <w:color w:val="auto"/>
                <w:sz w:val="24"/>
                <w:szCs w:val="24"/>
              </w:rPr>
              <w:t>（</w:t>
            </w:r>
            <w:r>
              <w:rPr>
                <w:bCs/>
                <w:color w:val="auto"/>
                <w:sz w:val="24"/>
                <w:szCs w:val="24"/>
              </w:rPr>
              <w:t>2</w:t>
            </w:r>
            <w:r>
              <w:rPr>
                <w:rFonts w:hAnsi="宋体"/>
                <w:bCs/>
                <w:color w:val="auto"/>
                <w:sz w:val="24"/>
                <w:szCs w:val="24"/>
              </w:rPr>
              <w:t>）施</w:t>
            </w:r>
            <w:r>
              <w:rPr>
                <w:rFonts w:hint="eastAsia" w:ascii="宋体" w:hAnsi="宋体"/>
                <w:bCs/>
                <w:color w:val="auto"/>
                <w:sz w:val="24"/>
                <w:szCs w:val="24"/>
              </w:rPr>
              <w:t>工扬尘影响分析</w:t>
            </w:r>
          </w:p>
          <w:p w14:paraId="06B12029">
            <w:pPr>
              <w:spacing w:line="360" w:lineRule="auto"/>
              <w:ind w:firstLine="480" w:firstLineChars="200"/>
              <w:rPr>
                <w:bCs/>
                <w:color w:val="auto"/>
                <w:sz w:val="24"/>
                <w:szCs w:val="24"/>
              </w:rPr>
            </w:pPr>
            <w:r>
              <w:rPr>
                <w:rFonts w:hAnsi="宋体"/>
                <w:bCs/>
                <w:color w:val="auto"/>
                <w:sz w:val="24"/>
                <w:szCs w:val="24"/>
              </w:rPr>
              <w:t>根据类比调查，施工扬尘的影响范围主要在施工现场附近，一般情况下，施工工地在自然风的作用下产生的扬尘所影响的范围在</w:t>
            </w:r>
            <w:r>
              <w:rPr>
                <w:bCs/>
                <w:color w:val="auto"/>
                <w:sz w:val="24"/>
                <w:szCs w:val="24"/>
              </w:rPr>
              <w:t>100m</w:t>
            </w:r>
            <w:r>
              <w:rPr>
                <w:rFonts w:hAnsi="宋体"/>
                <w:bCs/>
                <w:color w:val="auto"/>
                <w:sz w:val="24"/>
                <w:szCs w:val="24"/>
              </w:rPr>
              <w:t>以内。如果施工期间对作业面实施洒水抑尘（每天</w:t>
            </w:r>
            <w:r>
              <w:rPr>
                <w:bCs/>
                <w:color w:val="auto"/>
                <w:sz w:val="24"/>
                <w:szCs w:val="24"/>
              </w:rPr>
              <w:t>4~5</w:t>
            </w:r>
            <w:r>
              <w:rPr>
                <w:rFonts w:hAnsi="宋体"/>
                <w:bCs/>
                <w:color w:val="auto"/>
                <w:sz w:val="24"/>
                <w:szCs w:val="24"/>
              </w:rPr>
              <w:t>次），可使扬尘减少</w:t>
            </w:r>
            <w:r>
              <w:rPr>
                <w:bCs/>
                <w:color w:val="auto"/>
                <w:sz w:val="24"/>
                <w:szCs w:val="24"/>
              </w:rPr>
              <w:t>70%</w:t>
            </w:r>
            <w:r>
              <w:rPr>
                <w:rFonts w:hAnsi="宋体"/>
                <w:bCs/>
                <w:color w:val="auto"/>
                <w:sz w:val="24"/>
                <w:szCs w:val="24"/>
              </w:rPr>
              <w:t>左右。相关洒水降尘的试验资料如表</w:t>
            </w:r>
            <w:r>
              <w:rPr>
                <w:rFonts w:hint="eastAsia"/>
                <w:bCs/>
                <w:color w:val="auto"/>
                <w:sz w:val="24"/>
                <w:szCs w:val="24"/>
              </w:rPr>
              <w:t>4-1</w:t>
            </w:r>
            <w:r>
              <w:rPr>
                <w:rFonts w:hAnsi="宋体"/>
                <w:bCs/>
                <w:color w:val="auto"/>
                <w:sz w:val="24"/>
                <w:szCs w:val="24"/>
              </w:rPr>
              <w:t>所示。</w:t>
            </w:r>
          </w:p>
          <w:p w14:paraId="61C222A4">
            <w:pPr>
              <w:tabs>
                <w:tab w:val="left" w:pos="1039"/>
              </w:tabs>
              <w:spacing w:line="360" w:lineRule="auto"/>
              <w:jc w:val="center"/>
              <w:rPr>
                <w:rFonts w:ascii="黑体" w:hAnsi="宋体" w:eastAsia="黑体" w:cs="宋体"/>
                <w:color w:val="auto"/>
                <w:sz w:val="24"/>
                <w:szCs w:val="24"/>
              </w:rPr>
            </w:pPr>
            <w:r>
              <w:rPr>
                <w:rFonts w:hint="eastAsia" w:ascii="黑体" w:hAnsi="宋体" w:eastAsia="黑体" w:cs="宋体"/>
                <w:color w:val="auto"/>
                <w:spacing w:val="-1"/>
                <w:sz w:val="24"/>
                <w:szCs w:val="24"/>
              </w:rPr>
              <w:t>表</w:t>
            </w:r>
            <w:r>
              <w:rPr>
                <w:rFonts w:hint="eastAsia" w:hAnsi="宋体" w:cs="宋体"/>
                <w:color w:val="auto"/>
                <w:sz w:val="24"/>
                <w:szCs w:val="24"/>
              </w:rPr>
              <w:t xml:space="preserve">4-1  </w:t>
            </w:r>
            <w:r>
              <w:rPr>
                <w:rFonts w:hint="eastAsia" w:ascii="黑体" w:hAnsi="宋体" w:eastAsia="黑体" w:cs="宋体"/>
                <w:color w:val="auto"/>
                <w:sz w:val="24"/>
                <w:szCs w:val="24"/>
              </w:rPr>
              <w:t>施工场地洒水抑尘试验结果</w:t>
            </w: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633"/>
              <w:gridCol w:w="1150"/>
              <w:gridCol w:w="1391"/>
              <w:gridCol w:w="1391"/>
              <w:gridCol w:w="1393"/>
              <w:gridCol w:w="1391"/>
            </w:tblGrid>
            <w:tr w14:paraId="08E92C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trPr>
              <w:tc>
                <w:tcPr>
                  <w:tcW w:w="1667" w:type="pct"/>
                  <w:gridSpan w:val="2"/>
                  <w:tcBorders>
                    <w:left w:val="nil"/>
                    <w:bottom w:val="single" w:color="000000" w:sz="4" w:space="0"/>
                    <w:right w:val="single" w:color="000000" w:sz="4" w:space="0"/>
                  </w:tcBorders>
                  <w:vAlign w:val="center"/>
                </w:tcPr>
                <w:p w14:paraId="092135E1">
                  <w:pPr>
                    <w:autoSpaceDE w:val="0"/>
                    <w:autoSpaceDN w:val="0"/>
                    <w:jc w:val="center"/>
                    <w:rPr>
                      <w:rFonts w:ascii="宋体" w:hAnsi="宋体" w:cs="宋体"/>
                      <w:b/>
                      <w:color w:val="auto"/>
                      <w:kern w:val="0"/>
                      <w:sz w:val="21"/>
                      <w:szCs w:val="21"/>
                      <w:lang w:eastAsia="en-US"/>
                    </w:rPr>
                  </w:pPr>
                  <w:r>
                    <w:rPr>
                      <w:rFonts w:ascii="宋体" w:hAnsi="宋体" w:cs="宋体"/>
                      <w:b/>
                      <w:color w:val="auto"/>
                      <w:w w:val="95"/>
                      <w:kern w:val="0"/>
                      <w:sz w:val="21"/>
                      <w:szCs w:val="21"/>
                      <w:lang w:eastAsia="en-US"/>
                    </w:rPr>
                    <w:t>距离（</w:t>
                  </w:r>
                  <w:r>
                    <w:rPr>
                      <w:rFonts w:hAnsi="宋体" w:eastAsia="Times New Roman" w:cs="宋体"/>
                      <w:b/>
                      <w:color w:val="auto"/>
                      <w:w w:val="95"/>
                      <w:kern w:val="0"/>
                      <w:sz w:val="21"/>
                      <w:szCs w:val="21"/>
                      <w:lang w:eastAsia="en-US"/>
                    </w:rPr>
                    <w:t>m</w:t>
                  </w:r>
                  <w:r>
                    <w:rPr>
                      <w:rFonts w:ascii="宋体" w:hAnsi="宋体" w:cs="宋体"/>
                      <w:b/>
                      <w:color w:val="auto"/>
                      <w:w w:val="95"/>
                      <w:kern w:val="0"/>
                      <w:sz w:val="21"/>
                      <w:szCs w:val="21"/>
                      <w:lang w:eastAsia="en-US"/>
                    </w:rPr>
                    <w:t>）</w:t>
                  </w:r>
                </w:p>
              </w:tc>
              <w:tc>
                <w:tcPr>
                  <w:tcW w:w="833" w:type="pct"/>
                  <w:tcBorders>
                    <w:left w:val="single" w:color="000000" w:sz="4" w:space="0"/>
                    <w:bottom w:val="single" w:color="000000" w:sz="4" w:space="0"/>
                    <w:right w:val="single" w:color="000000" w:sz="4" w:space="0"/>
                  </w:tcBorders>
                  <w:vAlign w:val="center"/>
                </w:tcPr>
                <w:p w14:paraId="681A673D">
                  <w:pPr>
                    <w:autoSpaceDE w:val="0"/>
                    <w:autoSpaceDN w:val="0"/>
                    <w:jc w:val="center"/>
                    <w:rPr>
                      <w:rFonts w:hAnsi="宋体" w:cs="宋体"/>
                      <w:b/>
                      <w:color w:val="auto"/>
                      <w:kern w:val="0"/>
                      <w:sz w:val="21"/>
                      <w:szCs w:val="21"/>
                      <w:lang w:eastAsia="en-US"/>
                    </w:rPr>
                  </w:pPr>
                  <w:r>
                    <w:rPr>
                      <w:rFonts w:hAnsi="宋体" w:cs="宋体"/>
                      <w:b/>
                      <w:color w:val="auto"/>
                      <w:w w:val="99"/>
                      <w:kern w:val="0"/>
                      <w:sz w:val="21"/>
                      <w:szCs w:val="21"/>
                      <w:lang w:eastAsia="en-US"/>
                    </w:rPr>
                    <w:t>5</w:t>
                  </w:r>
                </w:p>
              </w:tc>
              <w:tc>
                <w:tcPr>
                  <w:tcW w:w="833" w:type="pct"/>
                  <w:tcBorders>
                    <w:left w:val="single" w:color="000000" w:sz="4" w:space="0"/>
                    <w:bottom w:val="single" w:color="000000" w:sz="4" w:space="0"/>
                    <w:right w:val="single" w:color="000000" w:sz="4" w:space="0"/>
                  </w:tcBorders>
                  <w:vAlign w:val="center"/>
                </w:tcPr>
                <w:p w14:paraId="0CDB350E">
                  <w:pPr>
                    <w:autoSpaceDE w:val="0"/>
                    <w:autoSpaceDN w:val="0"/>
                    <w:jc w:val="center"/>
                    <w:rPr>
                      <w:rFonts w:hAnsi="宋体" w:cs="宋体"/>
                      <w:b/>
                      <w:color w:val="auto"/>
                      <w:kern w:val="0"/>
                      <w:sz w:val="21"/>
                      <w:szCs w:val="21"/>
                      <w:lang w:eastAsia="en-US"/>
                    </w:rPr>
                  </w:pPr>
                  <w:r>
                    <w:rPr>
                      <w:rFonts w:hAnsi="宋体" w:cs="宋体"/>
                      <w:b/>
                      <w:color w:val="auto"/>
                      <w:kern w:val="0"/>
                      <w:sz w:val="21"/>
                      <w:szCs w:val="21"/>
                      <w:lang w:eastAsia="en-US"/>
                    </w:rPr>
                    <w:t>20</w:t>
                  </w:r>
                </w:p>
              </w:tc>
              <w:tc>
                <w:tcPr>
                  <w:tcW w:w="834" w:type="pct"/>
                  <w:tcBorders>
                    <w:left w:val="single" w:color="000000" w:sz="4" w:space="0"/>
                    <w:bottom w:val="single" w:color="000000" w:sz="4" w:space="0"/>
                    <w:right w:val="single" w:color="000000" w:sz="4" w:space="0"/>
                  </w:tcBorders>
                  <w:vAlign w:val="center"/>
                </w:tcPr>
                <w:p w14:paraId="19E87E96">
                  <w:pPr>
                    <w:autoSpaceDE w:val="0"/>
                    <w:autoSpaceDN w:val="0"/>
                    <w:jc w:val="center"/>
                    <w:rPr>
                      <w:rFonts w:hAnsi="宋体" w:cs="宋体"/>
                      <w:b/>
                      <w:color w:val="auto"/>
                      <w:kern w:val="0"/>
                      <w:sz w:val="21"/>
                      <w:szCs w:val="21"/>
                      <w:lang w:eastAsia="en-US"/>
                    </w:rPr>
                  </w:pPr>
                  <w:r>
                    <w:rPr>
                      <w:rFonts w:hAnsi="宋体" w:cs="宋体"/>
                      <w:b/>
                      <w:color w:val="auto"/>
                      <w:kern w:val="0"/>
                      <w:sz w:val="21"/>
                      <w:szCs w:val="21"/>
                      <w:lang w:eastAsia="en-US"/>
                    </w:rPr>
                    <w:t>50</w:t>
                  </w:r>
                </w:p>
              </w:tc>
              <w:tc>
                <w:tcPr>
                  <w:tcW w:w="833" w:type="pct"/>
                  <w:tcBorders>
                    <w:left w:val="single" w:color="000000" w:sz="4" w:space="0"/>
                    <w:bottom w:val="single" w:color="000000" w:sz="4" w:space="0"/>
                    <w:right w:val="nil"/>
                  </w:tcBorders>
                  <w:vAlign w:val="center"/>
                </w:tcPr>
                <w:p w14:paraId="7511E22A">
                  <w:pPr>
                    <w:autoSpaceDE w:val="0"/>
                    <w:autoSpaceDN w:val="0"/>
                    <w:jc w:val="center"/>
                    <w:rPr>
                      <w:rFonts w:hAnsi="宋体" w:cs="宋体"/>
                      <w:b/>
                      <w:color w:val="auto"/>
                      <w:kern w:val="0"/>
                      <w:sz w:val="21"/>
                      <w:szCs w:val="21"/>
                      <w:lang w:eastAsia="en-US"/>
                    </w:rPr>
                  </w:pPr>
                  <w:r>
                    <w:rPr>
                      <w:rFonts w:hAnsi="宋体" w:cs="宋体"/>
                      <w:b/>
                      <w:color w:val="auto"/>
                      <w:kern w:val="0"/>
                      <w:sz w:val="21"/>
                      <w:szCs w:val="21"/>
                      <w:lang w:eastAsia="en-US"/>
                    </w:rPr>
                    <w:t>100</w:t>
                  </w:r>
                </w:p>
              </w:tc>
            </w:tr>
            <w:tr w14:paraId="1D9DC6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trPr>
              <w:tc>
                <w:tcPr>
                  <w:tcW w:w="978" w:type="pct"/>
                  <w:vMerge w:val="restart"/>
                  <w:tcBorders>
                    <w:top w:val="single" w:color="000000" w:sz="4" w:space="0"/>
                    <w:left w:val="nil"/>
                    <w:right w:val="single" w:color="000000" w:sz="4" w:space="0"/>
                  </w:tcBorders>
                  <w:vAlign w:val="center"/>
                </w:tcPr>
                <w:p w14:paraId="65B8B2E8">
                  <w:pPr>
                    <w:autoSpaceDE w:val="0"/>
                    <w:autoSpaceDN w:val="0"/>
                    <w:jc w:val="center"/>
                    <w:rPr>
                      <w:color w:val="auto"/>
                      <w:kern w:val="0"/>
                      <w:sz w:val="21"/>
                      <w:szCs w:val="21"/>
                    </w:rPr>
                  </w:pPr>
                  <w:r>
                    <w:rPr>
                      <w:color w:val="auto"/>
                      <w:kern w:val="0"/>
                      <w:sz w:val="21"/>
                      <w:szCs w:val="21"/>
                    </w:rPr>
                    <w:t>TSP</w:t>
                  </w:r>
                  <w:r>
                    <w:rPr>
                      <w:rFonts w:hAnsi="宋体"/>
                      <w:color w:val="auto"/>
                      <w:kern w:val="0"/>
                      <w:sz w:val="21"/>
                      <w:szCs w:val="21"/>
                    </w:rPr>
                    <w:t>小时平均浓度（</w:t>
                  </w:r>
                  <w:r>
                    <w:rPr>
                      <w:color w:val="auto"/>
                      <w:kern w:val="0"/>
                      <w:sz w:val="21"/>
                      <w:szCs w:val="21"/>
                    </w:rPr>
                    <w:t>mg/m</w:t>
                  </w:r>
                  <w:r>
                    <w:rPr>
                      <w:color w:val="auto"/>
                      <w:kern w:val="0"/>
                      <w:sz w:val="21"/>
                      <w:szCs w:val="21"/>
                      <w:vertAlign w:val="superscript"/>
                    </w:rPr>
                    <w:t>3</w:t>
                  </w:r>
                  <w:r>
                    <w:rPr>
                      <w:rFonts w:hAnsi="宋体"/>
                      <w:color w:val="auto"/>
                      <w:kern w:val="0"/>
                      <w:sz w:val="21"/>
                      <w:szCs w:val="21"/>
                    </w:rPr>
                    <w:t>）</w:t>
                  </w:r>
                </w:p>
              </w:tc>
              <w:tc>
                <w:tcPr>
                  <w:tcW w:w="688" w:type="pct"/>
                  <w:tcBorders>
                    <w:top w:val="single" w:color="000000" w:sz="4" w:space="0"/>
                    <w:left w:val="single" w:color="000000" w:sz="4" w:space="0"/>
                    <w:bottom w:val="single" w:color="000000" w:sz="4" w:space="0"/>
                    <w:right w:val="single" w:color="000000" w:sz="4" w:space="0"/>
                  </w:tcBorders>
                  <w:vAlign w:val="center"/>
                </w:tcPr>
                <w:p w14:paraId="2A6CC8CF">
                  <w:pPr>
                    <w:autoSpaceDE w:val="0"/>
                    <w:autoSpaceDN w:val="0"/>
                    <w:jc w:val="center"/>
                    <w:rPr>
                      <w:rFonts w:ascii="宋体" w:hAnsi="宋体" w:cs="宋体"/>
                      <w:color w:val="auto"/>
                      <w:kern w:val="0"/>
                      <w:sz w:val="21"/>
                      <w:szCs w:val="21"/>
                    </w:rPr>
                  </w:pPr>
                  <w:r>
                    <w:rPr>
                      <w:rFonts w:ascii="宋体" w:hAnsi="宋体" w:cs="宋体"/>
                      <w:color w:val="auto"/>
                      <w:kern w:val="0"/>
                      <w:sz w:val="21"/>
                      <w:szCs w:val="21"/>
                    </w:rPr>
                    <w:t>不洒水</w:t>
                  </w:r>
                </w:p>
              </w:tc>
              <w:tc>
                <w:tcPr>
                  <w:tcW w:w="833" w:type="pct"/>
                  <w:tcBorders>
                    <w:top w:val="single" w:color="000000" w:sz="4" w:space="0"/>
                    <w:left w:val="single" w:color="000000" w:sz="4" w:space="0"/>
                    <w:bottom w:val="single" w:color="000000" w:sz="4" w:space="0"/>
                    <w:right w:val="single" w:color="000000" w:sz="4" w:space="0"/>
                  </w:tcBorders>
                  <w:vAlign w:val="center"/>
                </w:tcPr>
                <w:p w14:paraId="522D54F9">
                  <w:pPr>
                    <w:autoSpaceDE w:val="0"/>
                    <w:autoSpaceDN w:val="0"/>
                    <w:jc w:val="center"/>
                    <w:rPr>
                      <w:rFonts w:hAnsi="宋体" w:cs="宋体"/>
                      <w:color w:val="auto"/>
                      <w:kern w:val="0"/>
                      <w:sz w:val="21"/>
                      <w:szCs w:val="21"/>
                    </w:rPr>
                  </w:pPr>
                  <w:r>
                    <w:rPr>
                      <w:rFonts w:hAnsi="宋体" w:cs="宋体"/>
                      <w:color w:val="auto"/>
                      <w:kern w:val="0"/>
                      <w:sz w:val="21"/>
                      <w:szCs w:val="21"/>
                    </w:rPr>
                    <w:t>10.14</w:t>
                  </w:r>
                </w:p>
              </w:tc>
              <w:tc>
                <w:tcPr>
                  <w:tcW w:w="833" w:type="pct"/>
                  <w:tcBorders>
                    <w:top w:val="single" w:color="000000" w:sz="4" w:space="0"/>
                    <w:left w:val="single" w:color="000000" w:sz="4" w:space="0"/>
                    <w:bottom w:val="single" w:color="000000" w:sz="4" w:space="0"/>
                    <w:right w:val="single" w:color="000000" w:sz="4" w:space="0"/>
                  </w:tcBorders>
                  <w:vAlign w:val="center"/>
                </w:tcPr>
                <w:p w14:paraId="77B7ADB2">
                  <w:pPr>
                    <w:autoSpaceDE w:val="0"/>
                    <w:autoSpaceDN w:val="0"/>
                    <w:jc w:val="center"/>
                    <w:rPr>
                      <w:rFonts w:hAnsi="宋体" w:cs="宋体"/>
                      <w:color w:val="auto"/>
                      <w:kern w:val="0"/>
                      <w:sz w:val="21"/>
                      <w:szCs w:val="21"/>
                    </w:rPr>
                  </w:pPr>
                  <w:r>
                    <w:rPr>
                      <w:rFonts w:hAnsi="宋体" w:cs="宋体"/>
                      <w:color w:val="auto"/>
                      <w:kern w:val="0"/>
                      <w:sz w:val="21"/>
                      <w:szCs w:val="21"/>
                    </w:rPr>
                    <w:t>2.89</w:t>
                  </w:r>
                </w:p>
              </w:tc>
              <w:tc>
                <w:tcPr>
                  <w:tcW w:w="834" w:type="pct"/>
                  <w:tcBorders>
                    <w:top w:val="single" w:color="000000" w:sz="4" w:space="0"/>
                    <w:left w:val="single" w:color="000000" w:sz="4" w:space="0"/>
                    <w:bottom w:val="single" w:color="000000" w:sz="4" w:space="0"/>
                    <w:right w:val="single" w:color="000000" w:sz="4" w:space="0"/>
                  </w:tcBorders>
                  <w:vAlign w:val="center"/>
                </w:tcPr>
                <w:p w14:paraId="4864A0E5">
                  <w:pPr>
                    <w:autoSpaceDE w:val="0"/>
                    <w:autoSpaceDN w:val="0"/>
                    <w:jc w:val="center"/>
                    <w:rPr>
                      <w:rFonts w:hAnsi="宋体" w:cs="宋体"/>
                      <w:color w:val="auto"/>
                      <w:kern w:val="0"/>
                      <w:sz w:val="21"/>
                      <w:szCs w:val="21"/>
                    </w:rPr>
                  </w:pPr>
                  <w:r>
                    <w:rPr>
                      <w:rFonts w:hAnsi="宋体" w:cs="宋体"/>
                      <w:color w:val="auto"/>
                      <w:kern w:val="0"/>
                      <w:sz w:val="21"/>
                      <w:szCs w:val="21"/>
                    </w:rPr>
                    <w:t>1.15</w:t>
                  </w:r>
                </w:p>
              </w:tc>
              <w:tc>
                <w:tcPr>
                  <w:tcW w:w="833" w:type="pct"/>
                  <w:tcBorders>
                    <w:top w:val="single" w:color="000000" w:sz="4" w:space="0"/>
                    <w:left w:val="single" w:color="000000" w:sz="4" w:space="0"/>
                    <w:bottom w:val="single" w:color="000000" w:sz="4" w:space="0"/>
                    <w:right w:val="nil"/>
                  </w:tcBorders>
                  <w:vAlign w:val="center"/>
                </w:tcPr>
                <w:p w14:paraId="1C2936F5">
                  <w:pPr>
                    <w:autoSpaceDE w:val="0"/>
                    <w:autoSpaceDN w:val="0"/>
                    <w:jc w:val="center"/>
                    <w:rPr>
                      <w:rFonts w:hAnsi="宋体" w:cs="宋体"/>
                      <w:color w:val="auto"/>
                      <w:kern w:val="0"/>
                      <w:sz w:val="21"/>
                      <w:szCs w:val="21"/>
                    </w:rPr>
                  </w:pPr>
                  <w:r>
                    <w:rPr>
                      <w:rFonts w:hAnsi="宋体" w:cs="宋体"/>
                      <w:color w:val="auto"/>
                      <w:kern w:val="0"/>
                      <w:sz w:val="21"/>
                      <w:szCs w:val="21"/>
                    </w:rPr>
                    <w:t>0.86</w:t>
                  </w:r>
                </w:p>
              </w:tc>
            </w:tr>
            <w:tr w14:paraId="50147A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40" w:hRule="atLeast"/>
              </w:trPr>
              <w:tc>
                <w:tcPr>
                  <w:tcW w:w="978" w:type="pct"/>
                  <w:vMerge w:val="continue"/>
                  <w:tcBorders>
                    <w:top w:val="nil"/>
                    <w:left w:val="nil"/>
                    <w:right w:val="single" w:color="000000" w:sz="4" w:space="0"/>
                  </w:tcBorders>
                  <w:vAlign w:val="center"/>
                </w:tcPr>
                <w:p w14:paraId="6620490D">
                  <w:pPr>
                    <w:autoSpaceDE w:val="0"/>
                    <w:autoSpaceDN w:val="0"/>
                    <w:jc w:val="center"/>
                    <w:rPr>
                      <w:rFonts w:ascii="Calibri" w:hAnsi="Calibri"/>
                      <w:color w:val="auto"/>
                      <w:sz w:val="21"/>
                      <w:szCs w:val="21"/>
                    </w:rPr>
                  </w:pPr>
                </w:p>
              </w:tc>
              <w:tc>
                <w:tcPr>
                  <w:tcW w:w="688" w:type="pct"/>
                  <w:tcBorders>
                    <w:top w:val="single" w:color="000000" w:sz="4" w:space="0"/>
                    <w:left w:val="single" w:color="000000" w:sz="4" w:space="0"/>
                    <w:right w:val="single" w:color="000000" w:sz="4" w:space="0"/>
                  </w:tcBorders>
                  <w:vAlign w:val="center"/>
                </w:tcPr>
                <w:p w14:paraId="2BCEDEBA">
                  <w:pPr>
                    <w:autoSpaceDE w:val="0"/>
                    <w:autoSpaceDN w:val="0"/>
                    <w:jc w:val="center"/>
                    <w:rPr>
                      <w:rFonts w:ascii="宋体" w:hAnsi="宋体" w:cs="宋体"/>
                      <w:color w:val="auto"/>
                      <w:kern w:val="0"/>
                      <w:sz w:val="21"/>
                      <w:szCs w:val="21"/>
                    </w:rPr>
                  </w:pPr>
                  <w:r>
                    <w:rPr>
                      <w:rFonts w:ascii="宋体" w:hAnsi="宋体" w:cs="宋体"/>
                      <w:color w:val="auto"/>
                      <w:kern w:val="0"/>
                      <w:sz w:val="21"/>
                      <w:szCs w:val="21"/>
                    </w:rPr>
                    <w:t>洒水</w:t>
                  </w:r>
                </w:p>
              </w:tc>
              <w:tc>
                <w:tcPr>
                  <w:tcW w:w="833" w:type="pct"/>
                  <w:tcBorders>
                    <w:top w:val="single" w:color="000000" w:sz="4" w:space="0"/>
                    <w:left w:val="single" w:color="000000" w:sz="4" w:space="0"/>
                    <w:right w:val="single" w:color="000000" w:sz="4" w:space="0"/>
                  </w:tcBorders>
                  <w:vAlign w:val="center"/>
                </w:tcPr>
                <w:p w14:paraId="7E436B6D">
                  <w:pPr>
                    <w:autoSpaceDE w:val="0"/>
                    <w:autoSpaceDN w:val="0"/>
                    <w:jc w:val="center"/>
                    <w:rPr>
                      <w:rFonts w:hAnsi="宋体" w:cs="宋体"/>
                      <w:color w:val="auto"/>
                      <w:kern w:val="0"/>
                      <w:sz w:val="21"/>
                      <w:szCs w:val="21"/>
                    </w:rPr>
                  </w:pPr>
                  <w:r>
                    <w:rPr>
                      <w:rFonts w:hAnsi="宋体" w:cs="宋体"/>
                      <w:color w:val="auto"/>
                      <w:kern w:val="0"/>
                      <w:sz w:val="21"/>
                      <w:szCs w:val="21"/>
                    </w:rPr>
                    <w:t>2.01</w:t>
                  </w:r>
                </w:p>
              </w:tc>
              <w:tc>
                <w:tcPr>
                  <w:tcW w:w="833" w:type="pct"/>
                  <w:tcBorders>
                    <w:top w:val="single" w:color="000000" w:sz="4" w:space="0"/>
                    <w:left w:val="single" w:color="000000" w:sz="4" w:space="0"/>
                    <w:right w:val="single" w:color="000000" w:sz="4" w:space="0"/>
                  </w:tcBorders>
                  <w:vAlign w:val="center"/>
                </w:tcPr>
                <w:p w14:paraId="5B5C2AC2">
                  <w:pPr>
                    <w:autoSpaceDE w:val="0"/>
                    <w:autoSpaceDN w:val="0"/>
                    <w:jc w:val="center"/>
                    <w:rPr>
                      <w:rFonts w:hAnsi="宋体" w:cs="宋体"/>
                      <w:color w:val="auto"/>
                      <w:kern w:val="0"/>
                      <w:sz w:val="21"/>
                      <w:szCs w:val="21"/>
                    </w:rPr>
                  </w:pPr>
                  <w:r>
                    <w:rPr>
                      <w:rFonts w:hAnsi="宋体" w:cs="宋体"/>
                      <w:color w:val="auto"/>
                      <w:kern w:val="0"/>
                      <w:sz w:val="21"/>
                      <w:szCs w:val="21"/>
                    </w:rPr>
                    <w:t>1.40</w:t>
                  </w:r>
                </w:p>
              </w:tc>
              <w:tc>
                <w:tcPr>
                  <w:tcW w:w="834" w:type="pct"/>
                  <w:tcBorders>
                    <w:top w:val="single" w:color="000000" w:sz="4" w:space="0"/>
                    <w:left w:val="single" w:color="000000" w:sz="4" w:space="0"/>
                    <w:right w:val="single" w:color="000000" w:sz="4" w:space="0"/>
                  </w:tcBorders>
                  <w:vAlign w:val="center"/>
                </w:tcPr>
                <w:p w14:paraId="60F1D214">
                  <w:pPr>
                    <w:autoSpaceDE w:val="0"/>
                    <w:autoSpaceDN w:val="0"/>
                    <w:jc w:val="center"/>
                    <w:rPr>
                      <w:rFonts w:hAnsi="宋体" w:cs="宋体"/>
                      <w:color w:val="auto"/>
                      <w:kern w:val="0"/>
                      <w:sz w:val="21"/>
                      <w:szCs w:val="21"/>
                    </w:rPr>
                  </w:pPr>
                  <w:r>
                    <w:rPr>
                      <w:rFonts w:hAnsi="宋体" w:cs="宋体"/>
                      <w:color w:val="auto"/>
                      <w:kern w:val="0"/>
                      <w:sz w:val="21"/>
                      <w:szCs w:val="21"/>
                    </w:rPr>
                    <w:t>0.67</w:t>
                  </w:r>
                </w:p>
              </w:tc>
              <w:tc>
                <w:tcPr>
                  <w:tcW w:w="833" w:type="pct"/>
                  <w:tcBorders>
                    <w:top w:val="single" w:color="000000" w:sz="4" w:space="0"/>
                    <w:left w:val="single" w:color="000000" w:sz="4" w:space="0"/>
                    <w:right w:val="nil"/>
                  </w:tcBorders>
                  <w:vAlign w:val="center"/>
                </w:tcPr>
                <w:p w14:paraId="7C37BF15">
                  <w:pPr>
                    <w:autoSpaceDE w:val="0"/>
                    <w:autoSpaceDN w:val="0"/>
                    <w:jc w:val="center"/>
                    <w:rPr>
                      <w:rFonts w:hAnsi="宋体" w:cs="宋体"/>
                      <w:color w:val="auto"/>
                      <w:kern w:val="0"/>
                      <w:sz w:val="21"/>
                      <w:szCs w:val="21"/>
                    </w:rPr>
                  </w:pPr>
                  <w:r>
                    <w:rPr>
                      <w:rFonts w:hAnsi="宋体" w:cs="宋体"/>
                      <w:color w:val="auto"/>
                      <w:kern w:val="0"/>
                      <w:sz w:val="21"/>
                      <w:szCs w:val="21"/>
                    </w:rPr>
                    <w:t>0.60</w:t>
                  </w:r>
                </w:p>
              </w:tc>
            </w:tr>
          </w:tbl>
          <w:p w14:paraId="6611E3A4">
            <w:pPr>
              <w:spacing w:beforeLines="50" w:line="360" w:lineRule="auto"/>
              <w:ind w:firstLine="436" w:firstLineChars="200"/>
              <w:jc w:val="left"/>
              <w:rPr>
                <w:rFonts w:ascii="宋体" w:hAnsi="宋体" w:cs="宋体"/>
                <w:color w:val="auto"/>
                <w:sz w:val="24"/>
                <w:szCs w:val="24"/>
              </w:rPr>
            </w:pPr>
            <w:r>
              <w:rPr>
                <w:rFonts w:ascii="宋体" w:hAnsi="宋体" w:cs="宋体"/>
                <w:color w:val="auto"/>
                <w:spacing w:val="-11"/>
                <w:sz w:val="24"/>
                <w:szCs w:val="24"/>
              </w:rPr>
              <w:t>结果表明，每天实施洒水</w:t>
            </w:r>
            <w:r>
              <w:rPr>
                <w:rFonts w:hAnsi="宋体" w:eastAsia="Times New Roman" w:cs="宋体"/>
                <w:color w:val="auto"/>
                <w:sz w:val="24"/>
                <w:szCs w:val="24"/>
              </w:rPr>
              <w:t>4</w:t>
            </w:r>
            <w:r>
              <w:rPr>
                <w:rFonts w:ascii="宋体" w:hAnsi="宋体" w:cs="宋体"/>
                <w:color w:val="auto"/>
                <w:sz w:val="24"/>
                <w:szCs w:val="24"/>
              </w:rPr>
              <w:t>～</w:t>
            </w:r>
            <w:r>
              <w:rPr>
                <w:rFonts w:hAnsi="宋体" w:eastAsia="Times New Roman" w:cs="宋体"/>
                <w:color w:val="auto"/>
                <w:sz w:val="24"/>
                <w:szCs w:val="24"/>
              </w:rPr>
              <w:t>5</w:t>
            </w:r>
            <w:r>
              <w:rPr>
                <w:rFonts w:ascii="宋体" w:hAnsi="宋体" w:cs="宋体"/>
                <w:color w:val="auto"/>
                <w:spacing w:val="-8"/>
                <w:sz w:val="24"/>
                <w:szCs w:val="24"/>
              </w:rPr>
              <w:t>次抑尘，可有效地控制施工扬尘，将</w:t>
            </w:r>
            <w:r>
              <w:rPr>
                <w:rFonts w:hAnsi="宋体" w:eastAsia="Times New Roman" w:cs="宋体"/>
                <w:color w:val="auto"/>
                <w:spacing w:val="-1"/>
                <w:sz w:val="24"/>
                <w:szCs w:val="24"/>
              </w:rPr>
              <w:t>TSP</w:t>
            </w:r>
            <w:r>
              <w:rPr>
                <w:rFonts w:ascii="宋体" w:hAnsi="宋体" w:cs="宋体"/>
                <w:color w:val="auto"/>
                <w:spacing w:val="-3"/>
                <w:sz w:val="24"/>
                <w:szCs w:val="24"/>
              </w:rPr>
              <w:t>污染距离缩</w:t>
            </w:r>
            <w:r>
              <w:rPr>
                <w:rFonts w:ascii="宋体" w:hAnsi="宋体" w:cs="宋体"/>
                <w:color w:val="auto"/>
                <w:spacing w:val="-20"/>
                <w:sz w:val="24"/>
                <w:szCs w:val="24"/>
              </w:rPr>
              <w:t>小至</w:t>
            </w:r>
            <w:r>
              <w:rPr>
                <w:rFonts w:hAnsi="宋体" w:eastAsia="Times New Roman" w:cs="宋体"/>
                <w:color w:val="auto"/>
                <w:sz w:val="24"/>
                <w:szCs w:val="24"/>
              </w:rPr>
              <w:t>20m</w:t>
            </w:r>
            <w:r>
              <w:rPr>
                <w:rFonts w:ascii="宋体" w:hAnsi="宋体" w:cs="宋体"/>
                <w:color w:val="auto"/>
                <w:sz w:val="24"/>
                <w:szCs w:val="24"/>
              </w:rPr>
              <w:t>～</w:t>
            </w:r>
            <w:r>
              <w:rPr>
                <w:rFonts w:hAnsi="宋体" w:eastAsia="Times New Roman" w:cs="宋体"/>
                <w:color w:val="auto"/>
                <w:sz w:val="24"/>
                <w:szCs w:val="24"/>
              </w:rPr>
              <w:t>50m</w:t>
            </w:r>
            <w:r>
              <w:rPr>
                <w:rFonts w:ascii="宋体" w:hAnsi="宋体" w:cs="宋体"/>
                <w:color w:val="auto"/>
                <w:sz w:val="24"/>
                <w:szCs w:val="24"/>
              </w:rPr>
              <w:t>范围内。</w:t>
            </w:r>
          </w:p>
          <w:p w14:paraId="4047470B">
            <w:pPr>
              <w:spacing w:line="360" w:lineRule="auto"/>
              <w:ind w:firstLine="480" w:firstLineChars="200"/>
              <w:jc w:val="left"/>
              <w:rPr>
                <w:color w:val="auto"/>
                <w:sz w:val="24"/>
                <w:szCs w:val="24"/>
              </w:rPr>
            </w:pPr>
            <w:r>
              <w:rPr>
                <w:rFonts w:ascii="宋体" w:hAnsi="宋体" w:cs="宋体"/>
                <w:color w:val="auto"/>
                <w:sz w:val="24"/>
                <w:szCs w:val="24"/>
              </w:rPr>
              <w:t>为尽量减少施工扬尘对周围环境的影响，本项目场地四周应设置</w:t>
            </w:r>
            <w:r>
              <w:rPr>
                <w:color w:val="auto"/>
                <w:sz w:val="24"/>
                <w:szCs w:val="24"/>
              </w:rPr>
              <w:t>2.5m</w:t>
            </w:r>
            <w:r>
              <w:rPr>
                <w:rFonts w:hAnsi="宋体"/>
                <w:color w:val="auto"/>
                <w:sz w:val="24"/>
                <w:szCs w:val="24"/>
              </w:rPr>
              <w:t>高围挡，围挡上方安装水喷雾设施，场地内应配备移动式洒水车。工程施工期间，对施工作业面、运输车辆经过的道路路面以及运输车辆表面进行清理；非雨日实施洒水抑</w:t>
            </w:r>
            <w:r>
              <w:rPr>
                <w:color w:val="auto"/>
                <w:sz w:val="24"/>
                <w:szCs w:val="24"/>
              </w:rPr>
              <w:t>尘（每天5~6次），降低施工扬尘对周边环境影响。</w:t>
            </w:r>
          </w:p>
          <w:p w14:paraId="3FE770F3">
            <w:pPr>
              <w:spacing w:line="360" w:lineRule="auto"/>
              <w:ind w:firstLine="480" w:firstLineChars="200"/>
              <w:rPr>
                <w:bCs/>
                <w:color w:val="auto"/>
                <w:sz w:val="24"/>
                <w:szCs w:val="24"/>
              </w:rPr>
            </w:pPr>
            <w:r>
              <w:rPr>
                <w:rFonts w:ascii="宋体" w:hAnsi="宋体"/>
                <w:bCs/>
                <w:color w:val="auto"/>
                <w:sz w:val="24"/>
                <w:szCs w:val="24"/>
              </w:rPr>
              <w:t>（</w:t>
            </w:r>
            <w:r>
              <w:rPr>
                <w:rFonts w:hint="eastAsia"/>
                <w:bCs/>
                <w:color w:val="auto"/>
                <w:sz w:val="24"/>
                <w:szCs w:val="24"/>
              </w:rPr>
              <w:t>3</w:t>
            </w:r>
            <w:r>
              <w:rPr>
                <w:rFonts w:ascii="宋体" w:hAnsi="宋体"/>
                <w:bCs/>
                <w:color w:val="auto"/>
                <w:sz w:val="24"/>
                <w:szCs w:val="24"/>
              </w:rPr>
              <w:t>）施工扬尘防治措施</w:t>
            </w:r>
          </w:p>
          <w:p w14:paraId="0D064094">
            <w:pPr>
              <w:spacing w:line="360" w:lineRule="auto"/>
              <w:ind w:firstLine="480" w:firstLineChars="200"/>
              <w:rPr>
                <w:bCs/>
                <w:color w:val="auto"/>
                <w:sz w:val="24"/>
                <w:szCs w:val="24"/>
              </w:rPr>
            </w:pPr>
            <w:r>
              <w:rPr>
                <w:rFonts w:hAnsi="宋体"/>
                <w:bCs/>
                <w:color w:val="auto"/>
                <w:sz w:val="24"/>
                <w:szCs w:val="24"/>
              </w:rPr>
              <w:t>①</w:t>
            </w:r>
            <w:r>
              <w:rPr>
                <w:bCs/>
                <w:color w:val="auto"/>
                <w:sz w:val="24"/>
                <w:szCs w:val="24"/>
              </w:rPr>
              <w:t>工地周边100%围挡。施工场地四周应设置2.5m高硬质围挡，并做到坚固、平整、整洁、美观，建筑物施工设垂直封闭网。</w:t>
            </w:r>
          </w:p>
          <w:p w14:paraId="760E3BF8">
            <w:pPr>
              <w:spacing w:line="360" w:lineRule="auto"/>
              <w:ind w:firstLine="480" w:firstLineChars="200"/>
              <w:rPr>
                <w:bCs/>
                <w:color w:val="auto"/>
                <w:sz w:val="24"/>
                <w:szCs w:val="24"/>
              </w:rPr>
            </w:pPr>
            <w:r>
              <w:rPr>
                <w:rFonts w:hAnsi="宋体"/>
                <w:bCs/>
                <w:color w:val="auto"/>
                <w:sz w:val="24"/>
                <w:szCs w:val="24"/>
              </w:rPr>
              <w:t>②</w:t>
            </w:r>
            <w:r>
              <w:rPr>
                <w:bCs/>
                <w:color w:val="auto"/>
                <w:sz w:val="24"/>
                <w:szCs w:val="24"/>
              </w:rPr>
              <w:t>物料堆放100%覆盖。项目施工过程中，砂石料、水泥的材料均采取防尘网遮盖，建筑垃圾及时清运，不在场地内长时间堆存。</w:t>
            </w:r>
            <w:r>
              <w:rPr>
                <w:color w:val="auto"/>
                <w:sz w:val="24"/>
                <w:szCs w:val="24"/>
              </w:rPr>
              <w:t>场地内配备移动式洒水车，</w:t>
            </w:r>
            <w:r>
              <w:rPr>
                <w:rFonts w:hAnsi="宋体"/>
                <w:bCs/>
                <w:color w:val="auto"/>
                <w:sz w:val="24"/>
                <w:szCs w:val="24"/>
              </w:rPr>
              <w:t>并指定专人定期对易产生扬尘的地点进行喷水，使其保持一定的湿度，降低扬尘。</w:t>
            </w:r>
          </w:p>
          <w:p w14:paraId="051F137A">
            <w:pPr>
              <w:spacing w:line="360" w:lineRule="auto"/>
              <w:ind w:firstLine="480" w:firstLineChars="200"/>
              <w:rPr>
                <w:bCs/>
                <w:color w:val="auto"/>
                <w:sz w:val="24"/>
                <w:szCs w:val="24"/>
              </w:rPr>
            </w:pPr>
            <w:r>
              <w:rPr>
                <w:rFonts w:hAnsi="宋体"/>
                <w:bCs/>
                <w:color w:val="auto"/>
                <w:sz w:val="24"/>
                <w:szCs w:val="24"/>
              </w:rPr>
              <w:t>③出入车辆</w:t>
            </w:r>
            <w:r>
              <w:rPr>
                <w:bCs/>
                <w:color w:val="auto"/>
                <w:sz w:val="24"/>
                <w:szCs w:val="24"/>
              </w:rPr>
              <w:t>100%</w:t>
            </w:r>
            <w:r>
              <w:rPr>
                <w:rFonts w:hAnsi="宋体"/>
                <w:bCs/>
                <w:color w:val="auto"/>
                <w:sz w:val="24"/>
                <w:szCs w:val="24"/>
              </w:rPr>
              <w:t>冲洗。施工场地出入口设置洗车平台，运输车辆底盘和车轮冲洗干净后，方驶离施工现场。</w:t>
            </w:r>
          </w:p>
          <w:p w14:paraId="55F3F726">
            <w:pPr>
              <w:spacing w:line="360" w:lineRule="auto"/>
              <w:ind w:firstLine="480" w:firstLineChars="200"/>
              <w:rPr>
                <w:color w:val="auto"/>
                <w:sz w:val="24"/>
                <w:szCs w:val="24"/>
              </w:rPr>
            </w:pPr>
            <w:r>
              <w:rPr>
                <w:rFonts w:hAnsi="宋体"/>
                <w:color w:val="auto"/>
                <w:sz w:val="24"/>
                <w:szCs w:val="24"/>
              </w:rPr>
              <w:t>④施工现场地面</w:t>
            </w:r>
            <w:r>
              <w:rPr>
                <w:color w:val="auto"/>
                <w:sz w:val="24"/>
                <w:szCs w:val="24"/>
              </w:rPr>
              <w:t>100%</w:t>
            </w:r>
            <w:r>
              <w:rPr>
                <w:rFonts w:hAnsi="宋体"/>
                <w:color w:val="auto"/>
                <w:sz w:val="24"/>
                <w:szCs w:val="24"/>
              </w:rPr>
              <w:t>硬化。对施工区的主要通道、进出道路、材料加工区及办公生活区地面进行硬化处理，并且工地出入口与城市道路连接区域在全部硬化的同时，按要求敷设钢板，防止路面破损。</w:t>
            </w:r>
          </w:p>
          <w:p w14:paraId="65D30C46">
            <w:pPr>
              <w:spacing w:line="360" w:lineRule="auto"/>
              <w:ind w:firstLine="480" w:firstLineChars="200"/>
              <w:rPr>
                <w:bCs/>
                <w:color w:val="auto"/>
                <w:sz w:val="24"/>
                <w:szCs w:val="24"/>
              </w:rPr>
            </w:pPr>
            <w:r>
              <w:rPr>
                <w:rFonts w:hAnsi="宋体"/>
                <w:bCs/>
                <w:color w:val="auto"/>
                <w:sz w:val="24"/>
                <w:szCs w:val="24"/>
              </w:rPr>
              <w:t>⑤在建工地</w:t>
            </w:r>
            <w:r>
              <w:rPr>
                <w:bCs/>
                <w:color w:val="auto"/>
                <w:sz w:val="24"/>
                <w:szCs w:val="24"/>
              </w:rPr>
              <w:t>100%</w:t>
            </w:r>
            <w:r>
              <w:rPr>
                <w:rFonts w:hAnsi="宋体"/>
                <w:bCs/>
                <w:color w:val="auto"/>
                <w:sz w:val="24"/>
                <w:szCs w:val="24"/>
              </w:rPr>
              <w:t>湿法作业。施工现场安排专人负责卫生保洁工作，围挡上方设置水喷雾设</w:t>
            </w:r>
            <w:r>
              <w:rPr>
                <w:rFonts w:hint="eastAsia" w:hAnsi="宋体"/>
                <w:bCs/>
                <w:color w:val="auto"/>
                <w:sz w:val="24"/>
                <w:szCs w:val="24"/>
              </w:rPr>
              <w:t>施</w:t>
            </w:r>
            <w:r>
              <w:rPr>
                <w:rFonts w:hAnsi="宋体"/>
                <w:bCs/>
                <w:color w:val="auto"/>
                <w:sz w:val="24"/>
                <w:szCs w:val="24"/>
              </w:rPr>
              <w:t>，并配备移动式洒水车，施工期间遇到大风天气时，增加洒水降尘次数。工程竣工后，施工现场的临设、围挡、垃圾等，必须及时清理完毕，清理时必须采取有效的降尘措施。</w:t>
            </w:r>
          </w:p>
          <w:p w14:paraId="6E6A78DF">
            <w:pPr>
              <w:spacing w:line="360" w:lineRule="auto"/>
              <w:ind w:firstLine="480" w:firstLineChars="200"/>
              <w:rPr>
                <w:rFonts w:ascii="宋体" w:hAnsi="宋体"/>
                <w:bCs/>
                <w:color w:val="auto"/>
                <w:sz w:val="24"/>
                <w:szCs w:val="24"/>
              </w:rPr>
            </w:pPr>
            <w:r>
              <w:rPr>
                <w:rFonts w:hAnsi="宋体"/>
                <w:bCs/>
                <w:color w:val="auto"/>
                <w:sz w:val="24"/>
                <w:szCs w:val="24"/>
              </w:rPr>
              <w:t>⑥渣土车辆</w:t>
            </w:r>
            <w:r>
              <w:rPr>
                <w:bCs/>
                <w:color w:val="auto"/>
                <w:sz w:val="24"/>
                <w:szCs w:val="24"/>
              </w:rPr>
              <w:t>100%</w:t>
            </w:r>
            <w:r>
              <w:rPr>
                <w:rFonts w:hAnsi="宋体"/>
                <w:bCs/>
                <w:color w:val="auto"/>
                <w:sz w:val="24"/>
                <w:szCs w:val="24"/>
              </w:rPr>
              <w:t>密闭运输。车辆在运输建筑材料等散装物料时，采取密闭措施，做到车辆密封、</w:t>
            </w:r>
            <w:r>
              <w:rPr>
                <w:rFonts w:hint="eastAsia" w:ascii="宋体" w:hAnsi="宋体"/>
                <w:bCs/>
                <w:color w:val="auto"/>
                <w:sz w:val="24"/>
                <w:szCs w:val="24"/>
              </w:rPr>
              <w:t>装载均衡，不出现沿途洒落，造成二次道路扬尘污染</w:t>
            </w:r>
            <w:r>
              <w:rPr>
                <w:rFonts w:ascii="宋体" w:hAnsi="宋体"/>
                <w:bCs/>
                <w:color w:val="auto"/>
                <w:sz w:val="24"/>
                <w:szCs w:val="24"/>
              </w:rPr>
              <w:t>。</w:t>
            </w:r>
          </w:p>
          <w:p w14:paraId="3E3F7426">
            <w:pPr>
              <w:adjustRightInd w:val="0"/>
              <w:snapToGrid w:val="0"/>
              <w:spacing w:line="360" w:lineRule="auto"/>
              <w:jc w:val="left"/>
              <w:rPr>
                <w:rFonts w:eastAsia="黑体"/>
                <w:bCs/>
                <w:color w:val="auto"/>
                <w:kern w:val="0"/>
                <w:sz w:val="24"/>
                <w:szCs w:val="24"/>
              </w:rPr>
            </w:pPr>
            <w:r>
              <w:rPr>
                <w:rFonts w:hint="eastAsia" w:eastAsia="黑体"/>
                <w:bCs/>
                <w:color w:val="auto"/>
                <w:kern w:val="0"/>
                <w:sz w:val="24"/>
                <w:szCs w:val="24"/>
              </w:rPr>
              <w:t>3、噪声</w:t>
            </w:r>
          </w:p>
          <w:p w14:paraId="10F2879D">
            <w:pPr>
              <w:widowControl/>
              <w:spacing w:line="360" w:lineRule="auto"/>
              <w:ind w:firstLine="480" w:firstLineChars="200"/>
              <w:jc w:val="left"/>
              <w:rPr>
                <w:color w:val="auto"/>
                <w:kern w:val="0"/>
                <w:sz w:val="24"/>
                <w:szCs w:val="24"/>
              </w:rPr>
            </w:pPr>
            <w:r>
              <w:rPr>
                <w:rFonts w:hint="eastAsia"/>
                <w:color w:val="auto"/>
                <w:kern w:val="0"/>
                <w:sz w:val="24"/>
                <w:szCs w:val="24"/>
              </w:rPr>
              <w:t>（1）施工噪声环境影响分析</w:t>
            </w:r>
          </w:p>
          <w:p w14:paraId="368A43FB">
            <w:pPr>
              <w:spacing w:line="360" w:lineRule="auto"/>
              <w:ind w:firstLine="480" w:firstLineChars="200"/>
              <w:jc w:val="left"/>
              <w:rPr>
                <w:color w:val="auto"/>
                <w:sz w:val="24"/>
                <w:szCs w:val="24"/>
              </w:rPr>
            </w:pPr>
            <w:r>
              <w:rPr>
                <w:rFonts w:hAnsi="Calibri"/>
                <w:color w:val="auto"/>
                <w:sz w:val="24"/>
                <w:szCs w:val="24"/>
              </w:rPr>
              <w:t>施工期噪声源主要来自</w:t>
            </w:r>
            <w:r>
              <w:rPr>
                <w:rFonts w:hint="eastAsia" w:hAnsi="Calibri"/>
                <w:color w:val="auto"/>
                <w:sz w:val="24"/>
                <w:szCs w:val="24"/>
                <w:lang w:val="en-US" w:eastAsia="zh-CN"/>
              </w:rPr>
              <w:t>施工</w:t>
            </w:r>
            <w:r>
              <w:rPr>
                <w:rFonts w:hAnsi="Calibri"/>
                <w:color w:val="auto"/>
                <w:sz w:val="24"/>
                <w:szCs w:val="24"/>
              </w:rPr>
              <w:t>机械设备运转产生的噪声以及</w:t>
            </w:r>
            <w:r>
              <w:rPr>
                <w:rFonts w:hint="eastAsia" w:hAnsi="Calibri"/>
                <w:color w:val="auto"/>
                <w:sz w:val="24"/>
                <w:szCs w:val="24"/>
              </w:rPr>
              <w:t>运输车辆</w:t>
            </w:r>
            <w:r>
              <w:rPr>
                <w:rFonts w:hAnsi="Calibri"/>
                <w:color w:val="auto"/>
                <w:sz w:val="24"/>
                <w:szCs w:val="24"/>
              </w:rPr>
              <w:t>在运行时产生的噪声。根据所用的各类施工机械和设备，确定施工噪声源强，预测计算施工噪声随距离衰减情况，参照《声环境质量标准》（</w:t>
            </w:r>
            <w:r>
              <w:rPr>
                <w:color w:val="auto"/>
                <w:sz w:val="24"/>
                <w:szCs w:val="24"/>
              </w:rPr>
              <w:t>GB/T3096-2008</w:t>
            </w:r>
            <w:r>
              <w:rPr>
                <w:rFonts w:hAnsi="Calibri"/>
                <w:color w:val="auto"/>
                <w:sz w:val="24"/>
                <w:szCs w:val="24"/>
              </w:rPr>
              <w:t>）和《建筑施工场界环境噪声排放标准》（</w:t>
            </w:r>
            <w:r>
              <w:rPr>
                <w:color w:val="auto"/>
                <w:sz w:val="24"/>
                <w:szCs w:val="24"/>
              </w:rPr>
              <w:t>GB12523-2011</w:t>
            </w:r>
            <w:r>
              <w:rPr>
                <w:rFonts w:hAnsi="Calibri"/>
                <w:color w:val="auto"/>
                <w:sz w:val="24"/>
                <w:szCs w:val="24"/>
              </w:rPr>
              <w:t>），评价施工场界达标情况及施工噪声对周围声环境敏感点的影响。</w:t>
            </w:r>
          </w:p>
          <w:p w14:paraId="755F1B72">
            <w:pPr>
              <w:spacing w:line="360" w:lineRule="auto"/>
              <w:ind w:firstLine="480" w:firstLineChars="200"/>
              <w:jc w:val="left"/>
              <w:rPr>
                <w:rFonts w:ascii="Calibri" w:hAnsi="Calibri"/>
                <w:color w:val="auto"/>
                <w:sz w:val="24"/>
                <w:szCs w:val="24"/>
              </w:rPr>
            </w:pPr>
            <w:r>
              <w:rPr>
                <w:rFonts w:hAnsi="Calibri"/>
                <w:color w:val="auto"/>
                <w:sz w:val="24"/>
                <w:szCs w:val="24"/>
              </w:rPr>
              <w:t>施工机械一般露天作业，在没有隔声措施、周围无屏障的情况下，对单台施</w:t>
            </w:r>
            <w:r>
              <w:rPr>
                <w:rFonts w:ascii="Calibri" w:hAnsi="Calibri"/>
                <w:color w:val="auto"/>
                <w:sz w:val="24"/>
                <w:szCs w:val="24"/>
              </w:rPr>
              <w:t>工机械设备峰值噪声随距离的衰减进行预测，公式如下：</w:t>
            </w:r>
          </w:p>
          <w:p w14:paraId="20B8AE90">
            <w:pPr>
              <w:spacing w:line="360" w:lineRule="auto"/>
              <w:jc w:val="center"/>
              <w:rPr>
                <w:rFonts w:hAnsi="宋体" w:cs="宋体"/>
                <w:color w:val="auto"/>
                <w:sz w:val="24"/>
                <w:szCs w:val="24"/>
              </w:rPr>
            </w:pPr>
            <w:r>
              <w:rPr>
                <w:rFonts w:hAnsi="宋体" w:cs="宋体"/>
                <w:color w:val="auto"/>
                <w:position w:val="2"/>
                <w:sz w:val="24"/>
                <w:szCs w:val="24"/>
              </w:rPr>
              <w:t>L</w:t>
            </w:r>
            <w:r>
              <w:rPr>
                <w:rFonts w:hAnsi="宋体" w:cs="宋体"/>
                <w:color w:val="auto"/>
                <w:sz w:val="24"/>
                <w:szCs w:val="24"/>
              </w:rPr>
              <w:t>A</w:t>
            </w:r>
            <w:r>
              <w:rPr>
                <w:rFonts w:hAnsi="宋体" w:cs="宋体"/>
                <w:color w:val="auto"/>
                <w:position w:val="2"/>
                <w:sz w:val="24"/>
                <w:szCs w:val="24"/>
              </w:rPr>
              <w:t>(r)=L</w:t>
            </w:r>
            <w:r>
              <w:rPr>
                <w:rFonts w:hAnsi="宋体" w:cs="宋体"/>
                <w:color w:val="auto"/>
                <w:sz w:val="24"/>
                <w:szCs w:val="24"/>
              </w:rPr>
              <w:t>A</w:t>
            </w:r>
            <w:r>
              <w:rPr>
                <w:rFonts w:hAnsi="宋体" w:cs="宋体"/>
                <w:color w:val="auto"/>
                <w:position w:val="2"/>
                <w:sz w:val="24"/>
                <w:szCs w:val="24"/>
              </w:rPr>
              <w:t>(r</w:t>
            </w:r>
            <w:r>
              <w:rPr>
                <w:rFonts w:hAnsi="宋体" w:cs="宋体"/>
                <w:color w:val="auto"/>
                <w:sz w:val="24"/>
                <w:szCs w:val="24"/>
              </w:rPr>
              <w:t>0</w:t>
            </w:r>
            <w:r>
              <w:rPr>
                <w:rFonts w:hAnsi="宋体" w:cs="宋体"/>
                <w:color w:val="auto"/>
                <w:position w:val="2"/>
                <w:sz w:val="24"/>
                <w:szCs w:val="24"/>
              </w:rPr>
              <w:t>)-20lg(r/r</w:t>
            </w:r>
            <w:r>
              <w:rPr>
                <w:rFonts w:hAnsi="宋体" w:cs="宋体"/>
                <w:color w:val="auto"/>
                <w:sz w:val="24"/>
                <w:szCs w:val="24"/>
              </w:rPr>
              <w:t>0</w:t>
            </w:r>
            <w:r>
              <w:rPr>
                <w:rFonts w:hAnsi="宋体" w:cs="宋体"/>
                <w:color w:val="auto"/>
                <w:position w:val="2"/>
                <w:sz w:val="24"/>
                <w:szCs w:val="24"/>
              </w:rPr>
              <w:t>)-a(r/r</w:t>
            </w:r>
            <w:r>
              <w:rPr>
                <w:rFonts w:hAnsi="宋体" w:cs="宋体"/>
                <w:color w:val="auto"/>
                <w:sz w:val="24"/>
                <w:szCs w:val="24"/>
              </w:rPr>
              <w:t>0</w:t>
            </w:r>
            <w:r>
              <w:rPr>
                <w:rFonts w:hAnsi="宋体" w:cs="宋体"/>
                <w:color w:val="auto"/>
                <w:position w:val="2"/>
                <w:sz w:val="24"/>
                <w:szCs w:val="24"/>
              </w:rPr>
              <w:t>)</w:t>
            </w:r>
          </w:p>
          <w:p w14:paraId="0671AD6A">
            <w:pPr>
              <w:spacing w:line="360" w:lineRule="auto"/>
              <w:ind w:firstLine="480" w:firstLineChars="200"/>
              <w:jc w:val="left"/>
              <w:rPr>
                <w:color w:val="auto"/>
                <w:sz w:val="24"/>
                <w:szCs w:val="24"/>
              </w:rPr>
            </w:pPr>
            <w:r>
              <w:rPr>
                <w:rFonts w:ascii="Calibri" w:hAnsi="Calibri"/>
                <w:color w:val="auto"/>
                <w:position w:val="2"/>
                <w:sz w:val="24"/>
                <w:szCs w:val="24"/>
              </w:rPr>
              <w:t>式中：</w:t>
            </w:r>
            <w:r>
              <w:rPr>
                <w:rFonts w:eastAsia="Times New Roman"/>
                <w:color w:val="auto"/>
                <w:position w:val="2"/>
                <w:sz w:val="24"/>
                <w:szCs w:val="24"/>
              </w:rPr>
              <w:t>L</w:t>
            </w:r>
            <w:r>
              <w:rPr>
                <w:rFonts w:eastAsia="Times New Roman"/>
                <w:color w:val="auto"/>
                <w:sz w:val="24"/>
                <w:szCs w:val="24"/>
              </w:rPr>
              <w:t>A</w:t>
            </w:r>
            <w:r>
              <w:rPr>
                <w:rFonts w:eastAsia="Times New Roman"/>
                <w:color w:val="auto"/>
                <w:position w:val="2"/>
                <w:sz w:val="24"/>
                <w:szCs w:val="24"/>
              </w:rPr>
              <w:t>(r)—</w:t>
            </w:r>
            <w:r>
              <w:rPr>
                <w:rFonts w:ascii="Calibri" w:hAnsi="Calibri"/>
                <w:color w:val="auto"/>
                <w:spacing w:val="-2"/>
                <w:position w:val="2"/>
                <w:sz w:val="24"/>
                <w:szCs w:val="24"/>
              </w:rPr>
              <w:t xml:space="preserve">预测点的噪声 </w:t>
            </w:r>
            <w:r>
              <w:rPr>
                <w:rFonts w:eastAsia="Times New Roman"/>
                <w:color w:val="auto"/>
                <w:position w:val="2"/>
                <w:sz w:val="24"/>
                <w:szCs w:val="24"/>
              </w:rPr>
              <w:t>A</w:t>
            </w:r>
            <w:r>
              <w:rPr>
                <w:rFonts w:ascii="Calibri" w:hAnsi="Calibri"/>
                <w:color w:val="auto"/>
                <w:position w:val="2"/>
                <w:sz w:val="24"/>
                <w:szCs w:val="24"/>
              </w:rPr>
              <w:t>声级，</w:t>
            </w:r>
            <w:r>
              <w:rPr>
                <w:rFonts w:eastAsia="Times New Roman"/>
                <w:color w:val="auto"/>
                <w:position w:val="2"/>
                <w:sz w:val="24"/>
                <w:szCs w:val="24"/>
              </w:rPr>
              <w:t>dB</w:t>
            </w:r>
            <w:r>
              <w:rPr>
                <w:rFonts w:ascii="Calibri" w:hAnsi="Calibri"/>
                <w:color w:val="auto"/>
                <w:position w:val="2"/>
                <w:sz w:val="24"/>
                <w:szCs w:val="24"/>
              </w:rPr>
              <w:t>；</w:t>
            </w:r>
          </w:p>
          <w:p w14:paraId="045F15BA">
            <w:pPr>
              <w:spacing w:line="360" w:lineRule="auto"/>
              <w:ind w:firstLine="1200" w:firstLineChars="500"/>
              <w:rPr>
                <w:rFonts w:ascii="宋体" w:hAnsi="宋体" w:cs="宋体"/>
                <w:color w:val="auto"/>
                <w:sz w:val="24"/>
                <w:szCs w:val="24"/>
              </w:rPr>
            </w:pPr>
            <w:r>
              <w:rPr>
                <w:rFonts w:eastAsia="Times New Roman" w:cs="宋体"/>
                <w:color w:val="auto"/>
                <w:position w:val="2"/>
                <w:sz w:val="24"/>
                <w:szCs w:val="24"/>
              </w:rPr>
              <w:t>L</w:t>
            </w:r>
            <w:r>
              <w:rPr>
                <w:rFonts w:eastAsia="Times New Roman" w:cs="宋体"/>
                <w:color w:val="auto"/>
                <w:sz w:val="24"/>
                <w:szCs w:val="24"/>
              </w:rPr>
              <w:t>A</w:t>
            </w:r>
            <w:r>
              <w:rPr>
                <w:rFonts w:eastAsia="Times New Roman" w:cs="宋体"/>
                <w:color w:val="auto"/>
                <w:position w:val="2"/>
                <w:sz w:val="24"/>
                <w:szCs w:val="24"/>
              </w:rPr>
              <w:t>(r</w:t>
            </w:r>
            <w:r>
              <w:rPr>
                <w:rFonts w:eastAsia="Times New Roman" w:cs="宋体"/>
                <w:color w:val="auto"/>
                <w:sz w:val="24"/>
                <w:szCs w:val="24"/>
              </w:rPr>
              <w:t>0</w:t>
            </w:r>
            <w:r>
              <w:rPr>
                <w:rFonts w:eastAsia="Times New Roman" w:cs="宋体"/>
                <w:color w:val="auto"/>
                <w:position w:val="2"/>
                <w:sz w:val="24"/>
                <w:szCs w:val="24"/>
              </w:rPr>
              <w:t>)—</w:t>
            </w:r>
            <w:r>
              <w:rPr>
                <w:rFonts w:ascii="宋体" w:hAnsi="宋体" w:cs="宋体"/>
                <w:color w:val="auto"/>
                <w:position w:val="2"/>
                <w:sz w:val="24"/>
                <w:szCs w:val="24"/>
              </w:rPr>
              <w:t xml:space="preserve">参考位置 </w:t>
            </w:r>
            <w:r>
              <w:rPr>
                <w:rFonts w:eastAsia="Times New Roman" w:cs="宋体"/>
                <w:color w:val="auto"/>
                <w:position w:val="2"/>
                <w:sz w:val="24"/>
                <w:szCs w:val="24"/>
              </w:rPr>
              <w:t>r</w:t>
            </w:r>
            <w:r>
              <w:rPr>
                <w:rFonts w:eastAsia="Times New Roman" w:cs="宋体"/>
                <w:color w:val="auto"/>
                <w:sz w:val="24"/>
                <w:szCs w:val="24"/>
              </w:rPr>
              <w:t>0</w:t>
            </w:r>
            <w:r>
              <w:rPr>
                <w:rFonts w:ascii="宋体" w:hAnsi="宋体" w:cs="宋体"/>
                <w:color w:val="auto"/>
                <w:spacing w:val="-12"/>
                <w:position w:val="2"/>
                <w:sz w:val="24"/>
                <w:szCs w:val="24"/>
              </w:rPr>
              <w:t xml:space="preserve">处的噪声 </w:t>
            </w:r>
            <w:r>
              <w:rPr>
                <w:rFonts w:eastAsia="Times New Roman" w:cs="宋体"/>
                <w:color w:val="auto"/>
                <w:position w:val="2"/>
                <w:sz w:val="24"/>
                <w:szCs w:val="24"/>
              </w:rPr>
              <w:t xml:space="preserve">A </w:t>
            </w:r>
            <w:r>
              <w:rPr>
                <w:rFonts w:ascii="宋体" w:hAnsi="宋体" w:cs="宋体"/>
                <w:color w:val="auto"/>
                <w:position w:val="2"/>
                <w:sz w:val="24"/>
                <w:szCs w:val="24"/>
              </w:rPr>
              <w:t>声级，</w:t>
            </w:r>
            <w:r>
              <w:rPr>
                <w:rFonts w:eastAsia="Times New Roman" w:cs="宋体"/>
                <w:color w:val="auto"/>
                <w:position w:val="2"/>
                <w:sz w:val="24"/>
                <w:szCs w:val="24"/>
              </w:rPr>
              <w:t>dB</w:t>
            </w:r>
            <w:r>
              <w:rPr>
                <w:rFonts w:ascii="宋体" w:hAnsi="宋体" w:cs="宋体"/>
                <w:color w:val="auto"/>
                <w:position w:val="2"/>
                <w:sz w:val="24"/>
                <w:szCs w:val="24"/>
              </w:rPr>
              <w:t>；</w:t>
            </w:r>
          </w:p>
          <w:p w14:paraId="7FCB79D8">
            <w:pPr>
              <w:spacing w:line="360" w:lineRule="auto"/>
              <w:ind w:firstLine="1200" w:firstLineChars="500"/>
              <w:rPr>
                <w:rFonts w:ascii="宋体" w:hAnsi="宋体" w:cs="宋体"/>
                <w:color w:val="auto"/>
                <w:sz w:val="24"/>
                <w:szCs w:val="24"/>
              </w:rPr>
            </w:pPr>
            <w:r>
              <w:rPr>
                <w:rFonts w:eastAsia="Times New Roman" w:cs="宋体"/>
                <w:color w:val="auto"/>
                <w:sz w:val="24"/>
                <w:szCs w:val="24"/>
              </w:rPr>
              <w:t>r—</w:t>
            </w:r>
            <w:r>
              <w:rPr>
                <w:rFonts w:ascii="宋体" w:hAnsi="宋体" w:cs="宋体"/>
                <w:color w:val="auto"/>
                <w:sz w:val="24"/>
                <w:szCs w:val="24"/>
              </w:rPr>
              <w:t>预测点与声源距离，</w:t>
            </w:r>
            <w:r>
              <w:rPr>
                <w:rFonts w:eastAsia="Times New Roman" w:cs="宋体"/>
                <w:color w:val="auto"/>
                <w:sz w:val="24"/>
                <w:szCs w:val="24"/>
              </w:rPr>
              <w:t>m</w:t>
            </w:r>
            <w:r>
              <w:rPr>
                <w:rFonts w:ascii="宋体" w:hAnsi="宋体" w:cs="宋体"/>
                <w:color w:val="auto"/>
                <w:sz w:val="24"/>
                <w:szCs w:val="24"/>
              </w:rPr>
              <w:t>；</w:t>
            </w:r>
          </w:p>
          <w:p w14:paraId="74A92096">
            <w:pPr>
              <w:spacing w:line="360" w:lineRule="auto"/>
              <w:ind w:firstLine="1200" w:firstLineChars="500"/>
              <w:rPr>
                <w:rFonts w:ascii="宋体" w:hAnsi="宋体" w:cs="宋体"/>
                <w:color w:val="auto"/>
                <w:sz w:val="24"/>
                <w:szCs w:val="24"/>
              </w:rPr>
            </w:pPr>
            <w:r>
              <w:rPr>
                <w:rFonts w:eastAsia="Times New Roman" w:cs="宋体"/>
                <w:color w:val="auto"/>
                <w:position w:val="2"/>
                <w:sz w:val="24"/>
                <w:szCs w:val="24"/>
              </w:rPr>
              <w:t>r</w:t>
            </w:r>
            <w:r>
              <w:rPr>
                <w:rFonts w:eastAsia="Times New Roman" w:cs="宋体"/>
                <w:color w:val="auto"/>
                <w:sz w:val="24"/>
                <w:szCs w:val="24"/>
              </w:rPr>
              <w:t>0</w:t>
            </w:r>
            <w:r>
              <w:rPr>
                <w:rFonts w:eastAsia="Times New Roman" w:cs="宋体"/>
                <w:color w:val="auto"/>
                <w:position w:val="2"/>
                <w:sz w:val="24"/>
                <w:szCs w:val="24"/>
              </w:rPr>
              <w:t>—</w:t>
            </w:r>
            <w:r>
              <w:rPr>
                <w:rFonts w:ascii="宋体" w:hAnsi="宋体" w:cs="宋体"/>
                <w:color w:val="auto"/>
                <w:position w:val="2"/>
                <w:sz w:val="24"/>
                <w:szCs w:val="24"/>
              </w:rPr>
              <w:t>参考位置至噪声源的距离，</w:t>
            </w:r>
            <w:r>
              <w:rPr>
                <w:rFonts w:eastAsia="Times New Roman" w:cs="宋体"/>
                <w:color w:val="auto"/>
                <w:position w:val="2"/>
                <w:sz w:val="24"/>
                <w:szCs w:val="24"/>
              </w:rPr>
              <w:t>m</w:t>
            </w:r>
            <w:r>
              <w:rPr>
                <w:rFonts w:ascii="宋体" w:hAnsi="宋体" w:cs="宋体"/>
                <w:color w:val="auto"/>
                <w:position w:val="2"/>
                <w:sz w:val="24"/>
                <w:szCs w:val="24"/>
              </w:rPr>
              <w:t>；</w:t>
            </w:r>
          </w:p>
          <w:p w14:paraId="456ABFDA">
            <w:pPr>
              <w:spacing w:line="360" w:lineRule="auto"/>
              <w:ind w:firstLine="1200" w:firstLineChars="500"/>
              <w:jc w:val="left"/>
              <w:rPr>
                <w:rFonts w:ascii="Calibri" w:hAnsi="Calibri"/>
                <w:color w:val="auto"/>
                <w:sz w:val="24"/>
                <w:szCs w:val="24"/>
              </w:rPr>
            </w:pPr>
            <w:r>
              <w:rPr>
                <w:rFonts w:eastAsia="Times New Roman"/>
                <w:color w:val="auto"/>
                <w:sz w:val="24"/>
                <w:szCs w:val="24"/>
              </w:rPr>
              <w:t>a</w:t>
            </w:r>
            <w:r>
              <w:rPr>
                <w:rFonts w:eastAsia="Times New Roman"/>
                <w:color w:val="auto"/>
                <w:spacing w:val="-7"/>
                <w:sz w:val="24"/>
                <w:szCs w:val="24"/>
              </w:rPr>
              <w:t xml:space="preserve"> —</w:t>
            </w:r>
            <w:r>
              <w:rPr>
                <w:rFonts w:ascii="Calibri" w:hAnsi="Calibri"/>
                <w:color w:val="auto"/>
                <w:sz w:val="24"/>
                <w:szCs w:val="24"/>
              </w:rPr>
              <w:t>空气吸收附加衰减系数，</w:t>
            </w:r>
            <w:r>
              <w:rPr>
                <w:rFonts w:eastAsia="Times New Roman"/>
                <w:color w:val="auto"/>
                <w:sz w:val="24"/>
                <w:szCs w:val="24"/>
              </w:rPr>
              <w:t>1dB/100m</w:t>
            </w:r>
            <w:r>
              <w:rPr>
                <w:rFonts w:ascii="Calibri" w:hAnsi="Calibri"/>
                <w:color w:val="auto"/>
                <w:sz w:val="24"/>
                <w:szCs w:val="24"/>
              </w:rPr>
              <w:t>。噪声的叠加按如下公式</w:t>
            </w:r>
          </w:p>
          <w:p w14:paraId="27DF1769">
            <w:pPr>
              <w:spacing w:line="360" w:lineRule="auto"/>
              <w:ind w:firstLine="480" w:firstLineChars="200"/>
              <w:jc w:val="center"/>
              <w:rPr>
                <w:rFonts w:ascii="Calibri" w:hAnsi="Calibri"/>
                <w:color w:val="auto"/>
                <w:sz w:val="24"/>
                <w:szCs w:val="24"/>
              </w:rPr>
            </w:pPr>
            <w:r>
              <w:rPr>
                <w:rFonts w:hint="eastAsia" w:ascii="Calibri" w:hAnsi="Calibri"/>
                <w:color w:val="auto"/>
                <w:sz w:val="24"/>
                <w:szCs w:val="24"/>
              </w:rPr>
              <w:drawing>
                <wp:inline distT="0" distB="0" distL="0" distR="0">
                  <wp:extent cx="1657985" cy="554355"/>
                  <wp:effectExtent l="19050" t="0" r="0" b="0"/>
                  <wp:docPr id="47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4"/>
                          <pic:cNvPicPr>
                            <a:picLocks noChangeAspect="1" noChangeArrowheads="1"/>
                          </pic:cNvPicPr>
                        </pic:nvPicPr>
                        <pic:blipFill>
                          <a:blip r:embed="rId13" cstate="screen"/>
                          <a:srcRect/>
                          <a:stretch>
                            <a:fillRect/>
                          </a:stretch>
                        </pic:blipFill>
                        <pic:spPr>
                          <a:xfrm>
                            <a:off x="0" y="0"/>
                            <a:ext cx="1664336" cy="556453"/>
                          </a:xfrm>
                          <a:prstGeom prst="rect">
                            <a:avLst/>
                          </a:prstGeom>
                          <a:noFill/>
                          <a:ln w="9525">
                            <a:noFill/>
                            <a:miter lim="800000"/>
                            <a:headEnd/>
                            <a:tailEnd/>
                          </a:ln>
                        </pic:spPr>
                      </pic:pic>
                    </a:graphicData>
                  </a:graphic>
                </wp:inline>
              </w:drawing>
            </w:r>
          </w:p>
          <w:p w14:paraId="16305FAB">
            <w:pPr>
              <w:spacing w:line="360" w:lineRule="auto"/>
              <w:ind w:firstLine="480" w:firstLineChars="200"/>
              <w:jc w:val="left"/>
              <w:rPr>
                <w:color w:val="auto"/>
                <w:position w:val="2"/>
                <w:sz w:val="24"/>
                <w:szCs w:val="24"/>
              </w:rPr>
            </w:pPr>
            <w:r>
              <w:rPr>
                <w:rFonts w:hAnsi="Calibri"/>
                <w:color w:val="auto"/>
                <w:position w:val="2"/>
                <w:sz w:val="24"/>
                <w:szCs w:val="24"/>
              </w:rPr>
              <w:t>式中</w:t>
            </w:r>
            <w:r>
              <w:rPr>
                <w:rFonts w:hint="eastAsia" w:hAnsi="Calibri"/>
                <w:color w:val="auto"/>
                <w:position w:val="2"/>
                <w:sz w:val="24"/>
                <w:szCs w:val="24"/>
              </w:rPr>
              <w:t>：</w:t>
            </w:r>
            <w:r>
              <w:rPr>
                <w:color w:val="auto"/>
                <w:position w:val="2"/>
                <w:sz w:val="24"/>
                <w:szCs w:val="24"/>
              </w:rPr>
              <w:t>L</w:t>
            </w:r>
            <w:r>
              <w:rPr>
                <w:color w:val="auto"/>
                <w:position w:val="2"/>
                <w:sz w:val="24"/>
                <w:szCs w:val="24"/>
                <w:vertAlign w:val="subscript"/>
              </w:rPr>
              <w:t>Ai</w:t>
            </w:r>
            <w:r>
              <w:rPr>
                <w:rFonts w:hAnsi="Calibri"/>
                <w:color w:val="auto"/>
                <w:position w:val="2"/>
                <w:sz w:val="24"/>
                <w:szCs w:val="24"/>
              </w:rPr>
              <w:t>为第</w:t>
            </w:r>
            <w:r>
              <w:rPr>
                <w:color w:val="auto"/>
                <w:position w:val="2"/>
                <w:sz w:val="24"/>
                <w:szCs w:val="24"/>
              </w:rPr>
              <w:t>i</w:t>
            </w:r>
            <w:r>
              <w:rPr>
                <w:rFonts w:hAnsi="Calibri"/>
                <w:color w:val="auto"/>
                <w:position w:val="2"/>
                <w:sz w:val="24"/>
                <w:szCs w:val="24"/>
              </w:rPr>
              <w:t>个噪声源声级，</w:t>
            </w:r>
            <w:r>
              <w:rPr>
                <w:color w:val="auto"/>
                <w:position w:val="2"/>
                <w:sz w:val="24"/>
                <w:szCs w:val="24"/>
              </w:rPr>
              <w:t>n</w:t>
            </w:r>
            <w:r>
              <w:rPr>
                <w:rFonts w:hAnsi="Calibri"/>
                <w:color w:val="auto"/>
                <w:position w:val="2"/>
                <w:sz w:val="24"/>
                <w:szCs w:val="24"/>
              </w:rPr>
              <w:t>为声源数。</w:t>
            </w:r>
          </w:p>
          <w:p w14:paraId="138BC46B">
            <w:pPr>
              <w:spacing w:line="360" w:lineRule="auto"/>
              <w:ind w:firstLine="480" w:firstLineChars="200"/>
              <w:jc w:val="left"/>
              <w:rPr>
                <w:color w:val="auto"/>
                <w:sz w:val="24"/>
                <w:szCs w:val="24"/>
              </w:rPr>
            </w:pPr>
            <w:r>
              <w:rPr>
                <w:rFonts w:hAnsi="Calibri"/>
                <w:color w:val="auto"/>
                <w:sz w:val="24"/>
                <w:szCs w:val="24"/>
              </w:rPr>
              <w:t>根据《建筑施工场界环境噪声排放标准》</w:t>
            </w:r>
            <w:r>
              <w:rPr>
                <w:color w:val="auto"/>
                <w:sz w:val="24"/>
                <w:szCs w:val="24"/>
              </w:rPr>
              <w:t>(GB12523-2011)</w:t>
            </w:r>
            <w:r>
              <w:rPr>
                <w:rFonts w:hAnsi="Calibri"/>
                <w:color w:val="auto"/>
                <w:sz w:val="24"/>
                <w:szCs w:val="24"/>
              </w:rPr>
              <w:t>的限值规定</w:t>
            </w:r>
            <w:r>
              <w:rPr>
                <w:color w:val="auto"/>
                <w:sz w:val="24"/>
                <w:szCs w:val="24"/>
              </w:rPr>
              <w:t>(</w:t>
            </w:r>
            <w:r>
              <w:rPr>
                <w:rFonts w:hAnsi="Calibri"/>
                <w:color w:val="auto"/>
                <w:sz w:val="24"/>
                <w:szCs w:val="24"/>
              </w:rPr>
              <w:t>昼间</w:t>
            </w:r>
            <w:r>
              <w:rPr>
                <w:color w:val="auto"/>
                <w:sz w:val="24"/>
                <w:szCs w:val="24"/>
              </w:rPr>
              <w:t xml:space="preserve"> 70dB</w:t>
            </w:r>
            <w:r>
              <w:rPr>
                <w:rFonts w:hAnsi="Calibri"/>
                <w:color w:val="auto"/>
                <w:sz w:val="24"/>
                <w:szCs w:val="24"/>
              </w:rPr>
              <w:t>，夜间</w:t>
            </w:r>
            <w:r>
              <w:rPr>
                <w:color w:val="auto"/>
                <w:sz w:val="24"/>
                <w:szCs w:val="24"/>
              </w:rPr>
              <w:t>55dB)</w:t>
            </w:r>
            <w:r>
              <w:rPr>
                <w:rFonts w:hAnsi="Calibri"/>
                <w:color w:val="auto"/>
                <w:sz w:val="24"/>
                <w:szCs w:val="24"/>
              </w:rPr>
              <w:t>，经预测，不同施工阶段主要机械的峰值噪声随距离的衰减情况及达标距离见表</w:t>
            </w:r>
            <w:r>
              <w:rPr>
                <w:rFonts w:hint="eastAsia"/>
                <w:color w:val="auto"/>
                <w:sz w:val="24"/>
                <w:szCs w:val="24"/>
              </w:rPr>
              <w:t>4-2</w:t>
            </w:r>
            <w:r>
              <w:rPr>
                <w:rFonts w:hAnsi="Calibri"/>
                <w:color w:val="auto"/>
                <w:sz w:val="24"/>
                <w:szCs w:val="24"/>
              </w:rPr>
              <w:t>。</w:t>
            </w:r>
          </w:p>
          <w:p w14:paraId="4742BE6E">
            <w:pPr>
              <w:spacing w:line="360" w:lineRule="auto"/>
              <w:jc w:val="center"/>
              <w:rPr>
                <w:rFonts w:hint="eastAsia" w:ascii="黑体" w:hAnsi="宋体" w:eastAsia="黑体" w:cs="宋体"/>
                <w:color w:val="auto"/>
                <w:spacing w:val="-30"/>
                <w:sz w:val="24"/>
                <w:szCs w:val="24"/>
              </w:rPr>
            </w:pPr>
          </w:p>
          <w:p w14:paraId="29B2077B">
            <w:pPr>
              <w:spacing w:line="360" w:lineRule="auto"/>
              <w:jc w:val="center"/>
              <w:rPr>
                <w:rFonts w:hint="eastAsia" w:ascii="黑体" w:hAnsi="宋体" w:eastAsia="黑体" w:cs="宋体"/>
                <w:color w:val="auto"/>
                <w:spacing w:val="-30"/>
                <w:sz w:val="24"/>
                <w:szCs w:val="24"/>
              </w:rPr>
            </w:pPr>
          </w:p>
          <w:p w14:paraId="3BD70B21">
            <w:pPr>
              <w:spacing w:line="360" w:lineRule="auto"/>
              <w:jc w:val="center"/>
              <w:rPr>
                <w:rFonts w:hint="eastAsia" w:ascii="黑体" w:hAnsi="宋体" w:eastAsia="黑体" w:cs="宋体"/>
                <w:color w:val="auto"/>
                <w:spacing w:val="-30"/>
                <w:sz w:val="24"/>
                <w:szCs w:val="24"/>
              </w:rPr>
            </w:pPr>
          </w:p>
          <w:p w14:paraId="1092AF7A">
            <w:pPr>
              <w:spacing w:line="360" w:lineRule="auto"/>
              <w:jc w:val="center"/>
              <w:rPr>
                <w:rFonts w:ascii="黑体" w:hAnsi="宋体" w:eastAsia="黑体" w:cs="宋体"/>
                <w:color w:val="auto"/>
                <w:sz w:val="24"/>
                <w:szCs w:val="24"/>
              </w:rPr>
            </w:pPr>
            <w:r>
              <w:rPr>
                <w:rFonts w:hint="eastAsia" w:ascii="黑体" w:hAnsi="宋体" w:eastAsia="黑体" w:cs="宋体"/>
                <w:color w:val="auto"/>
                <w:spacing w:val="-30"/>
                <w:sz w:val="24"/>
                <w:szCs w:val="24"/>
              </w:rPr>
              <w:t>表</w:t>
            </w:r>
            <w:r>
              <w:rPr>
                <w:rFonts w:hint="eastAsia" w:hAnsi="宋体" w:cs="宋体"/>
                <w:color w:val="auto"/>
                <w:spacing w:val="-1"/>
                <w:sz w:val="24"/>
                <w:szCs w:val="24"/>
              </w:rPr>
              <w:t xml:space="preserve">4-2  </w:t>
            </w:r>
            <w:r>
              <w:rPr>
                <w:rFonts w:hint="eastAsia" w:ascii="黑体" w:hAnsi="宋体" w:eastAsia="黑体" w:cs="宋体"/>
                <w:color w:val="auto"/>
                <w:sz w:val="24"/>
                <w:szCs w:val="24"/>
              </w:rPr>
              <w:t>施工机械噪声在不同距离的预测结果表单位：</w:t>
            </w:r>
            <w:r>
              <w:rPr>
                <w:rFonts w:hAnsi="宋体" w:eastAsia="Times New Roman" w:cs="宋体"/>
                <w:color w:val="auto"/>
                <w:sz w:val="24"/>
                <w:szCs w:val="24"/>
              </w:rPr>
              <w:t>dB</w:t>
            </w:r>
            <w:r>
              <w:rPr>
                <w:rFonts w:hint="eastAsia" w:ascii="黑体" w:hAnsi="宋体" w:eastAsia="黑体" w:cs="宋体"/>
                <w:color w:val="auto"/>
                <w:sz w:val="24"/>
                <w:szCs w:val="24"/>
              </w:rPr>
              <w:t>（</w:t>
            </w:r>
            <w:r>
              <w:rPr>
                <w:rFonts w:hAnsi="宋体" w:eastAsia="Times New Roman" w:cs="宋体"/>
                <w:color w:val="auto"/>
                <w:sz w:val="24"/>
                <w:szCs w:val="24"/>
              </w:rPr>
              <w:t>A</w:t>
            </w:r>
            <w:r>
              <w:rPr>
                <w:rFonts w:hint="eastAsia" w:ascii="黑体" w:hAnsi="宋体" w:eastAsia="黑体" w:cs="宋体"/>
                <w:color w:val="auto"/>
                <w:sz w:val="24"/>
                <w:szCs w:val="24"/>
              </w:rPr>
              <w:t>）</w:t>
            </w:r>
          </w:p>
          <w:tbl>
            <w:tblPr>
              <w:tblStyle w:val="2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72"/>
              <w:gridCol w:w="851"/>
              <w:gridCol w:w="851"/>
              <w:gridCol w:w="851"/>
              <w:gridCol w:w="851"/>
              <w:gridCol w:w="851"/>
              <w:gridCol w:w="851"/>
              <w:gridCol w:w="851"/>
              <w:gridCol w:w="794"/>
            </w:tblGrid>
            <w:tr w14:paraId="020B1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Merge w:val="restart"/>
                  <w:vAlign w:val="center"/>
                </w:tcPr>
                <w:p w14:paraId="5639A78A">
                  <w:pPr>
                    <w:jc w:val="center"/>
                    <w:rPr>
                      <w:b/>
                      <w:color w:val="auto"/>
                      <w:sz w:val="18"/>
                      <w:szCs w:val="18"/>
                    </w:rPr>
                  </w:pPr>
                  <w:r>
                    <w:rPr>
                      <w:b/>
                      <w:color w:val="auto"/>
                      <w:sz w:val="18"/>
                      <w:szCs w:val="18"/>
                    </w:rPr>
                    <w:t>设备名称</w:t>
                  </w:r>
                </w:p>
              </w:tc>
              <w:tc>
                <w:tcPr>
                  <w:tcW w:w="6751" w:type="dxa"/>
                  <w:gridSpan w:val="8"/>
                  <w:vAlign w:val="center"/>
                </w:tcPr>
                <w:p w14:paraId="0889BE48">
                  <w:pPr>
                    <w:jc w:val="center"/>
                    <w:rPr>
                      <w:b/>
                      <w:color w:val="auto"/>
                      <w:sz w:val="18"/>
                      <w:szCs w:val="18"/>
                    </w:rPr>
                  </w:pPr>
                  <w:r>
                    <w:rPr>
                      <w:b/>
                      <w:color w:val="auto"/>
                      <w:sz w:val="18"/>
                      <w:szCs w:val="18"/>
                    </w:rPr>
                    <w:t>噪声值（dB（A））</w:t>
                  </w:r>
                </w:p>
              </w:tc>
            </w:tr>
            <w:tr w14:paraId="507CEE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Merge w:val="continue"/>
                  <w:vAlign w:val="center"/>
                </w:tcPr>
                <w:p w14:paraId="0B066248">
                  <w:pPr>
                    <w:jc w:val="center"/>
                    <w:rPr>
                      <w:b/>
                      <w:color w:val="auto"/>
                      <w:sz w:val="18"/>
                      <w:szCs w:val="18"/>
                    </w:rPr>
                  </w:pPr>
                </w:p>
              </w:tc>
              <w:tc>
                <w:tcPr>
                  <w:tcW w:w="851" w:type="dxa"/>
                  <w:vAlign w:val="center"/>
                </w:tcPr>
                <w:p w14:paraId="38950FCC">
                  <w:pPr>
                    <w:jc w:val="center"/>
                    <w:rPr>
                      <w:b/>
                      <w:color w:val="auto"/>
                      <w:sz w:val="18"/>
                      <w:szCs w:val="18"/>
                    </w:rPr>
                  </w:pPr>
                  <w:r>
                    <w:rPr>
                      <w:b/>
                      <w:color w:val="auto"/>
                      <w:sz w:val="18"/>
                      <w:szCs w:val="18"/>
                    </w:rPr>
                    <w:t>5m</w:t>
                  </w:r>
                </w:p>
              </w:tc>
              <w:tc>
                <w:tcPr>
                  <w:tcW w:w="851" w:type="dxa"/>
                  <w:vAlign w:val="center"/>
                </w:tcPr>
                <w:p w14:paraId="4540FAA5">
                  <w:pPr>
                    <w:jc w:val="center"/>
                    <w:rPr>
                      <w:b/>
                      <w:color w:val="auto"/>
                      <w:sz w:val="18"/>
                      <w:szCs w:val="18"/>
                    </w:rPr>
                  </w:pPr>
                  <w:r>
                    <w:rPr>
                      <w:b/>
                      <w:color w:val="auto"/>
                      <w:sz w:val="18"/>
                      <w:szCs w:val="18"/>
                    </w:rPr>
                    <w:t>10m</w:t>
                  </w:r>
                </w:p>
              </w:tc>
              <w:tc>
                <w:tcPr>
                  <w:tcW w:w="851" w:type="dxa"/>
                  <w:vAlign w:val="center"/>
                </w:tcPr>
                <w:p w14:paraId="71040E20">
                  <w:pPr>
                    <w:jc w:val="center"/>
                    <w:rPr>
                      <w:b/>
                      <w:color w:val="auto"/>
                      <w:sz w:val="18"/>
                      <w:szCs w:val="18"/>
                    </w:rPr>
                  </w:pPr>
                  <w:r>
                    <w:rPr>
                      <w:b/>
                      <w:color w:val="auto"/>
                      <w:sz w:val="18"/>
                      <w:szCs w:val="18"/>
                    </w:rPr>
                    <w:t>20m</w:t>
                  </w:r>
                </w:p>
              </w:tc>
              <w:tc>
                <w:tcPr>
                  <w:tcW w:w="851" w:type="dxa"/>
                  <w:vAlign w:val="center"/>
                </w:tcPr>
                <w:p w14:paraId="060F4910">
                  <w:pPr>
                    <w:jc w:val="center"/>
                    <w:rPr>
                      <w:b/>
                      <w:color w:val="auto"/>
                      <w:sz w:val="18"/>
                      <w:szCs w:val="18"/>
                    </w:rPr>
                  </w:pPr>
                  <w:r>
                    <w:rPr>
                      <w:b/>
                      <w:color w:val="auto"/>
                      <w:sz w:val="18"/>
                      <w:szCs w:val="18"/>
                    </w:rPr>
                    <w:t>40m</w:t>
                  </w:r>
                </w:p>
              </w:tc>
              <w:tc>
                <w:tcPr>
                  <w:tcW w:w="851" w:type="dxa"/>
                  <w:vAlign w:val="center"/>
                </w:tcPr>
                <w:p w14:paraId="60DB9012">
                  <w:pPr>
                    <w:jc w:val="center"/>
                    <w:rPr>
                      <w:b/>
                      <w:color w:val="auto"/>
                      <w:sz w:val="18"/>
                      <w:szCs w:val="18"/>
                    </w:rPr>
                  </w:pPr>
                  <w:r>
                    <w:rPr>
                      <w:b/>
                      <w:color w:val="auto"/>
                      <w:sz w:val="18"/>
                      <w:szCs w:val="18"/>
                    </w:rPr>
                    <w:t>60m</w:t>
                  </w:r>
                </w:p>
              </w:tc>
              <w:tc>
                <w:tcPr>
                  <w:tcW w:w="851" w:type="dxa"/>
                  <w:vAlign w:val="center"/>
                </w:tcPr>
                <w:p w14:paraId="6756E2EA">
                  <w:pPr>
                    <w:jc w:val="center"/>
                    <w:rPr>
                      <w:b/>
                      <w:color w:val="auto"/>
                      <w:sz w:val="18"/>
                      <w:szCs w:val="18"/>
                    </w:rPr>
                  </w:pPr>
                  <w:r>
                    <w:rPr>
                      <w:b/>
                      <w:color w:val="auto"/>
                      <w:sz w:val="18"/>
                      <w:szCs w:val="18"/>
                    </w:rPr>
                    <w:t>80m</w:t>
                  </w:r>
                </w:p>
              </w:tc>
              <w:tc>
                <w:tcPr>
                  <w:tcW w:w="851" w:type="dxa"/>
                  <w:vAlign w:val="center"/>
                </w:tcPr>
                <w:p w14:paraId="7997590E">
                  <w:pPr>
                    <w:jc w:val="center"/>
                    <w:rPr>
                      <w:b/>
                      <w:color w:val="auto"/>
                      <w:sz w:val="18"/>
                      <w:szCs w:val="18"/>
                    </w:rPr>
                  </w:pPr>
                  <w:r>
                    <w:rPr>
                      <w:b/>
                      <w:color w:val="auto"/>
                      <w:sz w:val="18"/>
                      <w:szCs w:val="18"/>
                    </w:rPr>
                    <w:t>100m</w:t>
                  </w:r>
                </w:p>
              </w:tc>
              <w:tc>
                <w:tcPr>
                  <w:tcW w:w="794" w:type="dxa"/>
                  <w:vAlign w:val="center"/>
                </w:tcPr>
                <w:p w14:paraId="018EBADE">
                  <w:pPr>
                    <w:jc w:val="center"/>
                    <w:rPr>
                      <w:b/>
                      <w:color w:val="auto"/>
                      <w:sz w:val="18"/>
                      <w:szCs w:val="18"/>
                    </w:rPr>
                  </w:pPr>
                  <w:r>
                    <w:rPr>
                      <w:b/>
                      <w:color w:val="auto"/>
                      <w:sz w:val="18"/>
                      <w:szCs w:val="18"/>
                    </w:rPr>
                    <w:t>200m</w:t>
                  </w:r>
                </w:p>
              </w:tc>
            </w:tr>
            <w:tr w14:paraId="09ADCA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46A7A497">
                  <w:pPr>
                    <w:jc w:val="center"/>
                    <w:rPr>
                      <w:color w:val="auto"/>
                      <w:sz w:val="18"/>
                      <w:szCs w:val="18"/>
                    </w:rPr>
                  </w:pPr>
                  <w:r>
                    <w:rPr>
                      <w:color w:val="auto"/>
                      <w:sz w:val="18"/>
                      <w:szCs w:val="18"/>
                    </w:rPr>
                    <w:t>挖掘机</w:t>
                  </w:r>
                </w:p>
              </w:tc>
              <w:tc>
                <w:tcPr>
                  <w:tcW w:w="851" w:type="dxa"/>
                  <w:vAlign w:val="center"/>
                </w:tcPr>
                <w:p w14:paraId="7A70E893">
                  <w:pPr>
                    <w:jc w:val="center"/>
                    <w:rPr>
                      <w:color w:val="auto"/>
                      <w:sz w:val="18"/>
                      <w:szCs w:val="18"/>
                    </w:rPr>
                  </w:pPr>
                  <w:r>
                    <w:rPr>
                      <w:color w:val="auto"/>
                      <w:sz w:val="18"/>
                      <w:szCs w:val="18"/>
                    </w:rPr>
                    <w:t>84</w:t>
                  </w:r>
                </w:p>
              </w:tc>
              <w:tc>
                <w:tcPr>
                  <w:tcW w:w="851" w:type="dxa"/>
                  <w:vAlign w:val="center"/>
                </w:tcPr>
                <w:p w14:paraId="0E2AE618">
                  <w:pPr>
                    <w:jc w:val="center"/>
                    <w:rPr>
                      <w:color w:val="auto"/>
                      <w:sz w:val="18"/>
                      <w:szCs w:val="18"/>
                    </w:rPr>
                  </w:pPr>
                  <w:r>
                    <w:rPr>
                      <w:color w:val="auto"/>
                      <w:sz w:val="18"/>
                      <w:szCs w:val="18"/>
                    </w:rPr>
                    <w:t>78</w:t>
                  </w:r>
                </w:p>
              </w:tc>
              <w:tc>
                <w:tcPr>
                  <w:tcW w:w="851" w:type="dxa"/>
                  <w:vAlign w:val="center"/>
                </w:tcPr>
                <w:p w14:paraId="74D0C6AA">
                  <w:pPr>
                    <w:jc w:val="center"/>
                    <w:rPr>
                      <w:color w:val="auto"/>
                      <w:sz w:val="18"/>
                      <w:szCs w:val="18"/>
                    </w:rPr>
                  </w:pPr>
                  <w:r>
                    <w:rPr>
                      <w:color w:val="auto"/>
                      <w:sz w:val="18"/>
                      <w:szCs w:val="18"/>
                    </w:rPr>
                    <w:t>72</w:t>
                  </w:r>
                </w:p>
              </w:tc>
              <w:tc>
                <w:tcPr>
                  <w:tcW w:w="851" w:type="dxa"/>
                  <w:vAlign w:val="center"/>
                </w:tcPr>
                <w:p w14:paraId="144B403B">
                  <w:pPr>
                    <w:jc w:val="center"/>
                    <w:rPr>
                      <w:color w:val="auto"/>
                      <w:sz w:val="18"/>
                      <w:szCs w:val="18"/>
                    </w:rPr>
                  </w:pPr>
                  <w:r>
                    <w:rPr>
                      <w:color w:val="auto"/>
                      <w:sz w:val="18"/>
                      <w:szCs w:val="18"/>
                    </w:rPr>
                    <w:t>66</w:t>
                  </w:r>
                </w:p>
              </w:tc>
              <w:tc>
                <w:tcPr>
                  <w:tcW w:w="851" w:type="dxa"/>
                  <w:vAlign w:val="center"/>
                </w:tcPr>
                <w:p w14:paraId="17892CBF">
                  <w:pPr>
                    <w:jc w:val="center"/>
                    <w:rPr>
                      <w:color w:val="auto"/>
                      <w:sz w:val="18"/>
                      <w:szCs w:val="18"/>
                    </w:rPr>
                  </w:pPr>
                  <w:r>
                    <w:rPr>
                      <w:color w:val="auto"/>
                      <w:sz w:val="18"/>
                      <w:szCs w:val="18"/>
                    </w:rPr>
                    <w:t>62</w:t>
                  </w:r>
                </w:p>
              </w:tc>
              <w:tc>
                <w:tcPr>
                  <w:tcW w:w="851" w:type="dxa"/>
                  <w:vAlign w:val="center"/>
                </w:tcPr>
                <w:p w14:paraId="16B83E51">
                  <w:pPr>
                    <w:jc w:val="center"/>
                    <w:rPr>
                      <w:color w:val="auto"/>
                      <w:sz w:val="18"/>
                      <w:szCs w:val="18"/>
                    </w:rPr>
                  </w:pPr>
                  <w:r>
                    <w:rPr>
                      <w:color w:val="auto"/>
                      <w:sz w:val="18"/>
                      <w:szCs w:val="18"/>
                    </w:rPr>
                    <w:t>60</w:t>
                  </w:r>
                </w:p>
              </w:tc>
              <w:tc>
                <w:tcPr>
                  <w:tcW w:w="851" w:type="dxa"/>
                  <w:vAlign w:val="center"/>
                </w:tcPr>
                <w:p w14:paraId="65C5840F">
                  <w:pPr>
                    <w:jc w:val="center"/>
                    <w:rPr>
                      <w:color w:val="auto"/>
                      <w:sz w:val="18"/>
                      <w:szCs w:val="18"/>
                    </w:rPr>
                  </w:pPr>
                  <w:r>
                    <w:rPr>
                      <w:color w:val="auto"/>
                      <w:sz w:val="18"/>
                      <w:szCs w:val="18"/>
                    </w:rPr>
                    <w:t>60</w:t>
                  </w:r>
                </w:p>
              </w:tc>
              <w:tc>
                <w:tcPr>
                  <w:tcW w:w="794" w:type="dxa"/>
                  <w:vAlign w:val="center"/>
                </w:tcPr>
                <w:p w14:paraId="61E3925E">
                  <w:pPr>
                    <w:jc w:val="center"/>
                    <w:rPr>
                      <w:color w:val="auto"/>
                      <w:sz w:val="18"/>
                      <w:szCs w:val="18"/>
                    </w:rPr>
                  </w:pPr>
                  <w:r>
                    <w:rPr>
                      <w:color w:val="auto"/>
                      <w:sz w:val="18"/>
                      <w:szCs w:val="18"/>
                    </w:rPr>
                    <w:t>54</w:t>
                  </w:r>
                </w:p>
              </w:tc>
            </w:tr>
            <w:tr w14:paraId="1B9ABC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0E09DC82">
                  <w:pPr>
                    <w:jc w:val="center"/>
                    <w:rPr>
                      <w:color w:val="auto"/>
                      <w:sz w:val="18"/>
                      <w:szCs w:val="18"/>
                    </w:rPr>
                  </w:pPr>
                  <w:r>
                    <w:rPr>
                      <w:color w:val="auto"/>
                      <w:sz w:val="18"/>
                      <w:szCs w:val="18"/>
                    </w:rPr>
                    <w:t>净压打桩机</w:t>
                  </w:r>
                </w:p>
              </w:tc>
              <w:tc>
                <w:tcPr>
                  <w:tcW w:w="851" w:type="dxa"/>
                  <w:vAlign w:val="center"/>
                </w:tcPr>
                <w:p w14:paraId="354EDFC5">
                  <w:pPr>
                    <w:jc w:val="center"/>
                    <w:rPr>
                      <w:color w:val="auto"/>
                      <w:sz w:val="18"/>
                      <w:szCs w:val="18"/>
                    </w:rPr>
                  </w:pPr>
                  <w:r>
                    <w:rPr>
                      <w:color w:val="auto"/>
                      <w:sz w:val="18"/>
                      <w:szCs w:val="18"/>
                    </w:rPr>
                    <w:t>90</w:t>
                  </w:r>
                </w:p>
              </w:tc>
              <w:tc>
                <w:tcPr>
                  <w:tcW w:w="851" w:type="dxa"/>
                  <w:vAlign w:val="center"/>
                </w:tcPr>
                <w:p w14:paraId="71E10D80">
                  <w:pPr>
                    <w:jc w:val="center"/>
                    <w:rPr>
                      <w:color w:val="auto"/>
                      <w:sz w:val="18"/>
                      <w:szCs w:val="18"/>
                    </w:rPr>
                  </w:pPr>
                  <w:r>
                    <w:rPr>
                      <w:color w:val="auto"/>
                      <w:sz w:val="18"/>
                      <w:szCs w:val="18"/>
                    </w:rPr>
                    <w:t>84</w:t>
                  </w:r>
                </w:p>
              </w:tc>
              <w:tc>
                <w:tcPr>
                  <w:tcW w:w="851" w:type="dxa"/>
                  <w:vAlign w:val="center"/>
                </w:tcPr>
                <w:p w14:paraId="3CB40662">
                  <w:pPr>
                    <w:jc w:val="center"/>
                    <w:rPr>
                      <w:color w:val="auto"/>
                      <w:sz w:val="18"/>
                      <w:szCs w:val="18"/>
                    </w:rPr>
                  </w:pPr>
                  <w:r>
                    <w:rPr>
                      <w:color w:val="auto"/>
                      <w:sz w:val="18"/>
                      <w:szCs w:val="18"/>
                    </w:rPr>
                    <w:t>78</w:t>
                  </w:r>
                </w:p>
              </w:tc>
              <w:tc>
                <w:tcPr>
                  <w:tcW w:w="851" w:type="dxa"/>
                  <w:vAlign w:val="center"/>
                </w:tcPr>
                <w:p w14:paraId="5EFD2781">
                  <w:pPr>
                    <w:jc w:val="center"/>
                    <w:rPr>
                      <w:color w:val="auto"/>
                      <w:sz w:val="18"/>
                      <w:szCs w:val="18"/>
                    </w:rPr>
                  </w:pPr>
                  <w:r>
                    <w:rPr>
                      <w:color w:val="auto"/>
                      <w:sz w:val="18"/>
                      <w:szCs w:val="18"/>
                    </w:rPr>
                    <w:t>72</w:t>
                  </w:r>
                </w:p>
              </w:tc>
              <w:tc>
                <w:tcPr>
                  <w:tcW w:w="851" w:type="dxa"/>
                  <w:vAlign w:val="center"/>
                </w:tcPr>
                <w:p w14:paraId="6BC6C358">
                  <w:pPr>
                    <w:jc w:val="center"/>
                    <w:rPr>
                      <w:color w:val="auto"/>
                      <w:sz w:val="18"/>
                      <w:szCs w:val="18"/>
                    </w:rPr>
                  </w:pPr>
                  <w:r>
                    <w:rPr>
                      <w:color w:val="auto"/>
                      <w:sz w:val="18"/>
                      <w:szCs w:val="18"/>
                    </w:rPr>
                    <w:t>68</w:t>
                  </w:r>
                </w:p>
              </w:tc>
              <w:tc>
                <w:tcPr>
                  <w:tcW w:w="851" w:type="dxa"/>
                  <w:vAlign w:val="center"/>
                </w:tcPr>
                <w:p w14:paraId="0800DFC5">
                  <w:pPr>
                    <w:jc w:val="center"/>
                    <w:rPr>
                      <w:color w:val="auto"/>
                      <w:sz w:val="18"/>
                      <w:szCs w:val="18"/>
                    </w:rPr>
                  </w:pPr>
                  <w:r>
                    <w:rPr>
                      <w:color w:val="auto"/>
                      <w:sz w:val="18"/>
                      <w:szCs w:val="18"/>
                    </w:rPr>
                    <w:t>66</w:t>
                  </w:r>
                </w:p>
              </w:tc>
              <w:tc>
                <w:tcPr>
                  <w:tcW w:w="851" w:type="dxa"/>
                  <w:vAlign w:val="center"/>
                </w:tcPr>
                <w:p w14:paraId="3E0D0E36">
                  <w:pPr>
                    <w:jc w:val="center"/>
                    <w:rPr>
                      <w:color w:val="auto"/>
                      <w:sz w:val="18"/>
                      <w:szCs w:val="18"/>
                    </w:rPr>
                  </w:pPr>
                  <w:r>
                    <w:rPr>
                      <w:color w:val="auto"/>
                      <w:sz w:val="18"/>
                      <w:szCs w:val="18"/>
                    </w:rPr>
                    <w:t>64</w:t>
                  </w:r>
                </w:p>
              </w:tc>
              <w:tc>
                <w:tcPr>
                  <w:tcW w:w="794" w:type="dxa"/>
                  <w:vAlign w:val="center"/>
                </w:tcPr>
                <w:p w14:paraId="2A383E54">
                  <w:pPr>
                    <w:jc w:val="center"/>
                    <w:rPr>
                      <w:color w:val="auto"/>
                      <w:sz w:val="18"/>
                      <w:szCs w:val="18"/>
                    </w:rPr>
                  </w:pPr>
                  <w:r>
                    <w:rPr>
                      <w:rFonts w:hint="eastAsia"/>
                      <w:color w:val="auto"/>
                      <w:sz w:val="18"/>
                      <w:szCs w:val="18"/>
                    </w:rPr>
                    <w:t>54</w:t>
                  </w:r>
                </w:p>
              </w:tc>
            </w:tr>
            <w:tr w14:paraId="1EE447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659A61BB">
                  <w:pPr>
                    <w:jc w:val="center"/>
                    <w:rPr>
                      <w:color w:val="auto"/>
                      <w:sz w:val="18"/>
                      <w:szCs w:val="18"/>
                    </w:rPr>
                  </w:pPr>
                  <w:r>
                    <w:rPr>
                      <w:color w:val="auto"/>
                      <w:sz w:val="18"/>
                      <w:szCs w:val="18"/>
                    </w:rPr>
                    <w:t>振捣棒</w:t>
                  </w:r>
                </w:p>
              </w:tc>
              <w:tc>
                <w:tcPr>
                  <w:tcW w:w="851" w:type="dxa"/>
                  <w:vAlign w:val="center"/>
                </w:tcPr>
                <w:p w14:paraId="2C10A0F3">
                  <w:pPr>
                    <w:jc w:val="center"/>
                    <w:rPr>
                      <w:color w:val="auto"/>
                      <w:sz w:val="18"/>
                      <w:szCs w:val="18"/>
                    </w:rPr>
                  </w:pPr>
                  <w:r>
                    <w:rPr>
                      <w:color w:val="auto"/>
                      <w:sz w:val="18"/>
                      <w:szCs w:val="18"/>
                    </w:rPr>
                    <w:t>86</w:t>
                  </w:r>
                </w:p>
              </w:tc>
              <w:tc>
                <w:tcPr>
                  <w:tcW w:w="851" w:type="dxa"/>
                  <w:vAlign w:val="center"/>
                </w:tcPr>
                <w:p w14:paraId="6C1800D7">
                  <w:pPr>
                    <w:jc w:val="center"/>
                    <w:rPr>
                      <w:color w:val="auto"/>
                      <w:sz w:val="18"/>
                      <w:szCs w:val="18"/>
                    </w:rPr>
                  </w:pPr>
                  <w:r>
                    <w:rPr>
                      <w:color w:val="auto"/>
                      <w:sz w:val="18"/>
                      <w:szCs w:val="18"/>
                    </w:rPr>
                    <w:t>80</w:t>
                  </w:r>
                </w:p>
              </w:tc>
              <w:tc>
                <w:tcPr>
                  <w:tcW w:w="851" w:type="dxa"/>
                  <w:vAlign w:val="center"/>
                </w:tcPr>
                <w:p w14:paraId="0BE86C66">
                  <w:pPr>
                    <w:jc w:val="center"/>
                    <w:rPr>
                      <w:color w:val="auto"/>
                      <w:sz w:val="18"/>
                      <w:szCs w:val="18"/>
                    </w:rPr>
                  </w:pPr>
                  <w:r>
                    <w:rPr>
                      <w:color w:val="auto"/>
                      <w:sz w:val="18"/>
                      <w:szCs w:val="18"/>
                    </w:rPr>
                    <w:t>74</w:t>
                  </w:r>
                </w:p>
              </w:tc>
              <w:tc>
                <w:tcPr>
                  <w:tcW w:w="851" w:type="dxa"/>
                  <w:vAlign w:val="center"/>
                </w:tcPr>
                <w:p w14:paraId="06309BC6">
                  <w:pPr>
                    <w:jc w:val="center"/>
                    <w:rPr>
                      <w:color w:val="auto"/>
                      <w:sz w:val="18"/>
                      <w:szCs w:val="18"/>
                    </w:rPr>
                  </w:pPr>
                  <w:r>
                    <w:rPr>
                      <w:color w:val="auto"/>
                      <w:sz w:val="18"/>
                      <w:szCs w:val="18"/>
                    </w:rPr>
                    <w:t>68</w:t>
                  </w:r>
                </w:p>
              </w:tc>
              <w:tc>
                <w:tcPr>
                  <w:tcW w:w="851" w:type="dxa"/>
                  <w:vAlign w:val="center"/>
                </w:tcPr>
                <w:p w14:paraId="4CCC77D4">
                  <w:pPr>
                    <w:jc w:val="center"/>
                    <w:rPr>
                      <w:color w:val="auto"/>
                      <w:sz w:val="18"/>
                      <w:szCs w:val="18"/>
                    </w:rPr>
                  </w:pPr>
                  <w:r>
                    <w:rPr>
                      <w:color w:val="auto"/>
                      <w:sz w:val="18"/>
                      <w:szCs w:val="18"/>
                    </w:rPr>
                    <w:t>64</w:t>
                  </w:r>
                </w:p>
              </w:tc>
              <w:tc>
                <w:tcPr>
                  <w:tcW w:w="851" w:type="dxa"/>
                  <w:vAlign w:val="center"/>
                </w:tcPr>
                <w:p w14:paraId="58DC8C7D">
                  <w:pPr>
                    <w:jc w:val="center"/>
                    <w:rPr>
                      <w:color w:val="auto"/>
                      <w:sz w:val="18"/>
                      <w:szCs w:val="18"/>
                    </w:rPr>
                  </w:pPr>
                  <w:r>
                    <w:rPr>
                      <w:color w:val="auto"/>
                      <w:sz w:val="18"/>
                      <w:szCs w:val="18"/>
                    </w:rPr>
                    <w:t>62</w:t>
                  </w:r>
                </w:p>
              </w:tc>
              <w:tc>
                <w:tcPr>
                  <w:tcW w:w="851" w:type="dxa"/>
                  <w:vAlign w:val="center"/>
                </w:tcPr>
                <w:p w14:paraId="3610930F">
                  <w:pPr>
                    <w:jc w:val="center"/>
                    <w:rPr>
                      <w:color w:val="auto"/>
                      <w:sz w:val="18"/>
                      <w:szCs w:val="18"/>
                    </w:rPr>
                  </w:pPr>
                  <w:r>
                    <w:rPr>
                      <w:color w:val="auto"/>
                      <w:sz w:val="18"/>
                      <w:szCs w:val="18"/>
                    </w:rPr>
                    <w:t>60</w:t>
                  </w:r>
                </w:p>
              </w:tc>
              <w:tc>
                <w:tcPr>
                  <w:tcW w:w="794" w:type="dxa"/>
                  <w:vAlign w:val="center"/>
                </w:tcPr>
                <w:p w14:paraId="7ABA431A">
                  <w:pPr>
                    <w:jc w:val="center"/>
                    <w:rPr>
                      <w:color w:val="auto"/>
                      <w:sz w:val="18"/>
                      <w:szCs w:val="18"/>
                    </w:rPr>
                  </w:pPr>
                  <w:r>
                    <w:rPr>
                      <w:color w:val="auto"/>
                      <w:sz w:val="18"/>
                      <w:szCs w:val="18"/>
                    </w:rPr>
                    <w:t>54</w:t>
                  </w:r>
                </w:p>
              </w:tc>
            </w:tr>
            <w:tr w14:paraId="189D8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6149A442">
                  <w:pPr>
                    <w:jc w:val="center"/>
                    <w:rPr>
                      <w:color w:val="auto"/>
                      <w:sz w:val="18"/>
                      <w:szCs w:val="18"/>
                    </w:rPr>
                  </w:pPr>
                  <w:r>
                    <w:rPr>
                      <w:color w:val="auto"/>
                      <w:sz w:val="18"/>
                      <w:szCs w:val="18"/>
                    </w:rPr>
                    <w:t>推土机</w:t>
                  </w:r>
                </w:p>
              </w:tc>
              <w:tc>
                <w:tcPr>
                  <w:tcW w:w="851" w:type="dxa"/>
                  <w:vAlign w:val="center"/>
                </w:tcPr>
                <w:p w14:paraId="011D5D61">
                  <w:pPr>
                    <w:jc w:val="center"/>
                    <w:rPr>
                      <w:color w:val="auto"/>
                      <w:sz w:val="18"/>
                      <w:szCs w:val="18"/>
                    </w:rPr>
                  </w:pPr>
                  <w:r>
                    <w:rPr>
                      <w:color w:val="auto"/>
                      <w:sz w:val="18"/>
                      <w:szCs w:val="18"/>
                    </w:rPr>
                    <w:t>81</w:t>
                  </w:r>
                </w:p>
              </w:tc>
              <w:tc>
                <w:tcPr>
                  <w:tcW w:w="851" w:type="dxa"/>
                  <w:vAlign w:val="center"/>
                </w:tcPr>
                <w:p w14:paraId="670E1FCE">
                  <w:pPr>
                    <w:jc w:val="center"/>
                    <w:rPr>
                      <w:color w:val="auto"/>
                      <w:sz w:val="18"/>
                      <w:szCs w:val="18"/>
                    </w:rPr>
                  </w:pPr>
                  <w:r>
                    <w:rPr>
                      <w:color w:val="auto"/>
                      <w:sz w:val="18"/>
                      <w:szCs w:val="18"/>
                    </w:rPr>
                    <w:t>75</w:t>
                  </w:r>
                </w:p>
              </w:tc>
              <w:tc>
                <w:tcPr>
                  <w:tcW w:w="851" w:type="dxa"/>
                  <w:vAlign w:val="center"/>
                </w:tcPr>
                <w:p w14:paraId="667331E5">
                  <w:pPr>
                    <w:jc w:val="center"/>
                    <w:rPr>
                      <w:color w:val="auto"/>
                      <w:sz w:val="18"/>
                      <w:szCs w:val="18"/>
                    </w:rPr>
                  </w:pPr>
                  <w:r>
                    <w:rPr>
                      <w:color w:val="auto"/>
                      <w:sz w:val="18"/>
                      <w:szCs w:val="18"/>
                    </w:rPr>
                    <w:t>69</w:t>
                  </w:r>
                </w:p>
              </w:tc>
              <w:tc>
                <w:tcPr>
                  <w:tcW w:w="851" w:type="dxa"/>
                  <w:vAlign w:val="center"/>
                </w:tcPr>
                <w:p w14:paraId="5CF29E74">
                  <w:pPr>
                    <w:jc w:val="center"/>
                    <w:rPr>
                      <w:color w:val="auto"/>
                      <w:sz w:val="18"/>
                      <w:szCs w:val="18"/>
                    </w:rPr>
                  </w:pPr>
                  <w:r>
                    <w:rPr>
                      <w:color w:val="auto"/>
                      <w:sz w:val="18"/>
                      <w:szCs w:val="18"/>
                    </w:rPr>
                    <w:t>63</w:t>
                  </w:r>
                </w:p>
              </w:tc>
              <w:tc>
                <w:tcPr>
                  <w:tcW w:w="851" w:type="dxa"/>
                  <w:vAlign w:val="center"/>
                </w:tcPr>
                <w:p w14:paraId="2EDC862E">
                  <w:pPr>
                    <w:jc w:val="center"/>
                    <w:rPr>
                      <w:color w:val="auto"/>
                      <w:sz w:val="18"/>
                      <w:szCs w:val="18"/>
                    </w:rPr>
                  </w:pPr>
                  <w:r>
                    <w:rPr>
                      <w:color w:val="auto"/>
                      <w:sz w:val="18"/>
                      <w:szCs w:val="18"/>
                    </w:rPr>
                    <w:t>59</w:t>
                  </w:r>
                </w:p>
              </w:tc>
              <w:tc>
                <w:tcPr>
                  <w:tcW w:w="851" w:type="dxa"/>
                  <w:vAlign w:val="center"/>
                </w:tcPr>
                <w:p w14:paraId="4E18FBEA">
                  <w:pPr>
                    <w:jc w:val="center"/>
                    <w:rPr>
                      <w:color w:val="auto"/>
                      <w:sz w:val="18"/>
                      <w:szCs w:val="18"/>
                    </w:rPr>
                  </w:pPr>
                  <w:r>
                    <w:rPr>
                      <w:color w:val="auto"/>
                      <w:sz w:val="18"/>
                      <w:szCs w:val="18"/>
                    </w:rPr>
                    <w:t>57</w:t>
                  </w:r>
                </w:p>
              </w:tc>
              <w:tc>
                <w:tcPr>
                  <w:tcW w:w="851" w:type="dxa"/>
                  <w:vAlign w:val="center"/>
                </w:tcPr>
                <w:p w14:paraId="33C15C45">
                  <w:pPr>
                    <w:jc w:val="center"/>
                    <w:rPr>
                      <w:color w:val="auto"/>
                      <w:sz w:val="18"/>
                      <w:szCs w:val="18"/>
                    </w:rPr>
                  </w:pPr>
                  <w:r>
                    <w:rPr>
                      <w:color w:val="auto"/>
                      <w:sz w:val="18"/>
                      <w:szCs w:val="18"/>
                    </w:rPr>
                    <w:t>55</w:t>
                  </w:r>
                </w:p>
              </w:tc>
              <w:tc>
                <w:tcPr>
                  <w:tcW w:w="794" w:type="dxa"/>
                  <w:vAlign w:val="center"/>
                </w:tcPr>
                <w:p w14:paraId="1F07FE3B">
                  <w:pPr>
                    <w:jc w:val="center"/>
                    <w:rPr>
                      <w:color w:val="auto"/>
                      <w:sz w:val="18"/>
                      <w:szCs w:val="18"/>
                    </w:rPr>
                  </w:pPr>
                  <w:r>
                    <w:rPr>
                      <w:color w:val="auto"/>
                      <w:sz w:val="18"/>
                      <w:szCs w:val="18"/>
                    </w:rPr>
                    <w:t>49</w:t>
                  </w:r>
                </w:p>
              </w:tc>
            </w:tr>
            <w:tr w14:paraId="24D6B3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22ED40ED">
                  <w:pPr>
                    <w:jc w:val="center"/>
                    <w:rPr>
                      <w:color w:val="auto"/>
                      <w:sz w:val="18"/>
                      <w:szCs w:val="18"/>
                    </w:rPr>
                  </w:pPr>
                  <w:r>
                    <w:rPr>
                      <w:color w:val="auto"/>
                      <w:sz w:val="18"/>
                      <w:szCs w:val="18"/>
                    </w:rPr>
                    <w:t>装载汽车</w:t>
                  </w:r>
                </w:p>
              </w:tc>
              <w:tc>
                <w:tcPr>
                  <w:tcW w:w="851" w:type="dxa"/>
                  <w:vAlign w:val="center"/>
                </w:tcPr>
                <w:p w14:paraId="085D740C">
                  <w:pPr>
                    <w:jc w:val="center"/>
                    <w:rPr>
                      <w:color w:val="auto"/>
                      <w:sz w:val="18"/>
                      <w:szCs w:val="18"/>
                    </w:rPr>
                  </w:pPr>
                  <w:r>
                    <w:rPr>
                      <w:color w:val="auto"/>
                      <w:sz w:val="18"/>
                      <w:szCs w:val="18"/>
                    </w:rPr>
                    <w:t>81</w:t>
                  </w:r>
                </w:p>
              </w:tc>
              <w:tc>
                <w:tcPr>
                  <w:tcW w:w="851" w:type="dxa"/>
                  <w:vAlign w:val="center"/>
                </w:tcPr>
                <w:p w14:paraId="7CAE5CB5">
                  <w:pPr>
                    <w:jc w:val="center"/>
                    <w:rPr>
                      <w:color w:val="auto"/>
                      <w:sz w:val="18"/>
                      <w:szCs w:val="18"/>
                    </w:rPr>
                  </w:pPr>
                  <w:r>
                    <w:rPr>
                      <w:color w:val="auto"/>
                      <w:sz w:val="18"/>
                      <w:szCs w:val="18"/>
                    </w:rPr>
                    <w:t>75</w:t>
                  </w:r>
                </w:p>
              </w:tc>
              <w:tc>
                <w:tcPr>
                  <w:tcW w:w="851" w:type="dxa"/>
                  <w:vAlign w:val="center"/>
                </w:tcPr>
                <w:p w14:paraId="5D7FD17B">
                  <w:pPr>
                    <w:jc w:val="center"/>
                    <w:rPr>
                      <w:color w:val="auto"/>
                      <w:sz w:val="18"/>
                      <w:szCs w:val="18"/>
                    </w:rPr>
                  </w:pPr>
                  <w:r>
                    <w:rPr>
                      <w:color w:val="auto"/>
                      <w:sz w:val="18"/>
                      <w:szCs w:val="18"/>
                    </w:rPr>
                    <w:t>69</w:t>
                  </w:r>
                </w:p>
              </w:tc>
              <w:tc>
                <w:tcPr>
                  <w:tcW w:w="851" w:type="dxa"/>
                  <w:vAlign w:val="center"/>
                </w:tcPr>
                <w:p w14:paraId="06B7741B">
                  <w:pPr>
                    <w:jc w:val="center"/>
                    <w:rPr>
                      <w:color w:val="auto"/>
                      <w:sz w:val="18"/>
                      <w:szCs w:val="18"/>
                    </w:rPr>
                  </w:pPr>
                  <w:r>
                    <w:rPr>
                      <w:color w:val="auto"/>
                      <w:sz w:val="18"/>
                      <w:szCs w:val="18"/>
                    </w:rPr>
                    <w:t>63</w:t>
                  </w:r>
                </w:p>
              </w:tc>
              <w:tc>
                <w:tcPr>
                  <w:tcW w:w="851" w:type="dxa"/>
                  <w:vAlign w:val="center"/>
                </w:tcPr>
                <w:p w14:paraId="7C80BE01">
                  <w:pPr>
                    <w:jc w:val="center"/>
                    <w:rPr>
                      <w:color w:val="auto"/>
                      <w:sz w:val="18"/>
                      <w:szCs w:val="18"/>
                    </w:rPr>
                  </w:pPr>
                  <w:r>
                    <w:rPr>
                      <w:color w:val="auto"/>
                      <w:sz w:val="18"/>
                      <w:szCs w:val="18"/>
                    </w:rPr>
                    <w:t>59</w:t>
                  </w:r>
                </w:p>
              </w:tc>
              <w:tc>
                <w:tcPr>
                  <w:tcW w:w="851" w:type="dxa"/>
                  <w:vAlign w:val="center"/>
                </w:tcPr>
                <w:p w14:paraId="70F6B43A">
                  <w:pPr>
                    <w:jc w:val="center"/>
                    <w:rPr>
                      <w:color w:val="auto"/>
                      <w:sz w:val="18"/>
                      <w:szCs w:val="18"/>
                    </w:rPr>
                  </w:pPr>
                  <w:r>
                    <w:rPr>
                      <w:color w:val="auto"/>
                      <w:sz w:val="18"/>
                      <w:szCs w:val="18"/>
                    </w:rPr>
                    <w:t>57</w:t>
                  </w:r>
                </w:p>
              </w:tc>
              <w:tc>
                <w:tcPr>
                  <w:tcW w:w="851" w:type="dxa"/>
                  <w:vAlign w:val="center"/>
                </w:tcPr>
                <w:p w14:paraId="0CB2514F">
                  <w:pPr>
                    <w:jc w:val="center"/>
                    <w:rPr>
                      <w:color w:val="auto"/>
                      <w:sz w:val="18"/>
                      <w:szCs w:val="18"/>
                    </w:rPr>
                  </w:pPr>
                  <w:r>
                    <w:rPr>
                      <w:color w:val="auto"/>
                      <w:sz w:val="18"/>
                      <w:szCs w:val="18"/>
                    </w:rPr>
                    <w:t>55</w:t>
                  </w:r>
                </w:p>
              </w:tc>
              <w:tc>
                <w:tcPr>
                  <w:tcW w:w="794" w:type="dxa"/>
                  <w:vAlign w:val="center"/>
                </w:tcPr>
                <w:p w14:paraId="01FDB7A7">
                  <w:pPr>
                    <w:jc w:val="center"/>
                    <w:rPr>
                      <w:color w:val="auto"/>
                      <w:sz w:val="18"/>
                      <w:szCs w:val="18"/>
                    </w:rPr>
                  </w:pPr>
                  <w:r>
                    <w:rPr>
                      <w:color w:val="auto"/>
                      <w:sz w:val="18"/>
                      <w:szCs w:val="18"/>
                    </w:rPr>
                    <w:t>49</w:t>
                  </w:r>
                </w:p>
              </w:tc>
            </w:tr>
            <w:tr w14:paraId="1FADA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2A922261">
                  <w:pPr>
                    <w:jc w:val="center"/>
                    <w:rPr>
                      <w:color w:val="auto"/>
                      <w:sz w:val="18"/>
                      <w:szCs w:val="18"/>
                    </w:rPr>
                  </w:pPr>
                  <w:r>
                    <w:rPr>
                      <w:color w:val="auto"/>
                      <w:sz w:val="18"/>
                      <w:szCs w:val="18"/>
                    </w:rPr>
                    <w:t>震动压路机</w:t>
                  </w:r>
                </w:p>
              </w:tc>
              <w:tc>
                <w:tcPr>
                  <w:tcW w:w="851" w:type="dxa"/>
                  <w:vAlign w:val="center"/>
                </w:tcPr>
                <w:p w14:paraId="0E9856DD">
                  <w:pPr>
                    <w:jc w:val="center"/>
                    <w:rPr>
                      <w:color w:val="auto"/>
                      <w:sz w:val="18"/>
                      <w:szCs w:val="18"/>
                    </w:rPr>
                  </w:pPr>
                  <w:r>
                    <w:rPr>
                      <w:color w:val="auto"/>
                      <w:sz w:val="18"/>
                      <w:szCs w:val="18"/>
                    </w:rPr>
                    <w:t>81</w:t>
                  </w:r>
                </w:p>
              </w:tc>
              <w:tc>
                <w:tcPr>
                  <w:tcW w:w="851" w:type="dxa"/>
                  <w:vAlign w:val="center"/>
                </w:tcPr>
                <w:p w14:paraId="6A603C06">
                  <w:pPr>
                    <w:jc w:val="center"/>
                    <w:rPr>
                      <w:color w:val="auto"/>
                      <w:sz w:val="18"/>
                      <w:szCs w:val="18"/>
                    </w:rPr>
                  </w:pPr>
                  <w:r>
                    <w:rPr>
                      <w:color w:val="auto"/>
                      <w:sz w:val="18"/>
                      <w:szCs w:val="18"/>
                    </w:rPr>
                    <w:t>75</w:t>
                  </w:r>
                </w:p>
              </w:tc>
              <w:tc>
                <w:tcPr>
                  <w:tcW w:w="851" w:type="dxa"/>
                  <w:vAlign w:val="center"/>
                </w:tcPr>
                <w:p w14:paraId="3ABB39E9">
                  <w:pPr>
                    <w:jc w:val="center"/>
                    <w:rPr>
                      <w:color w:val="auto"/>
                      <w:sz w:val="18"/>
                      <w:szCs w:val="18"/>
                    </w:rPr>
                  </w:pPr>
                  <w:r>
                    <w:rPr>
                      <w:color w:val="auto"/>
                      <w:sz w:val="18"/>
                      <w:szCs w:val="18"/>
                    </w:rPr>
                    <w:t>69</w:t>
                  </w:r>
                </w:p>
              </w:tc>
              <w:tc>
                <w:tcPr>
                  <w:tcW w:w="851" w:type="dxa"/>
                  <w:vAlign w:val="center"/>
                </w:tcPr>
                <w:p w14:paraId="27BBB23C">
                  <w:pPr>
                    <w:jc w:val="center"/>
                    <w:rPr>
                      <w:color w:val="auto"/>
                      <w:sz w:val="18"/>
                      <w:szCs w:val="18"/>
                    </w:rPr>
                  </w:pPr>
                  <w:r>
                    <w:rPr>
                      <w:color w:val="auto"/>
                      <w:sz w:val="18"/>
                      <w:szCs w:val="18"/>
                    </w:rPr>
                    <w:t>63</w:t>
                  </w:r>
                </w:p>
              </w:tc>
              <w:tc>
                <w:tcPr>
                  <w:tcW w:w="851" w:type="dxa"/>
                  <w:vAlign w:val="center"/>
                </w:tcPr>
                <w:p w14:paraId="063611B0">
                  <w:pPr>
                    <w:jc w:val="center"/>
                    <w:rPr>
                      <w:color w:val="auto"/>
                      <w:sz w:val="18"/>
                      <w:szCs w:val="18"/>
                    </w:rPr>
                  </w:pPr>
                  <w:r>
                    <w:rPr>
                      <w:color w:val="auto"/>
                      <w:sz w:val="18"/>
                      <w:szCs w:val="18"/>
                    </w:rPr>
                    <w:t>59</w:t>
                  </w:r>
                </w:p>
              </w:tc>
              <w:tc>
                <w:tcPr>
                  <w:tcW w:w="851" w:type="dxa"/>
                  <w:vAlign w:val="center"/>
                </w:tcPr>
                <w:p w14:paraId="227C447F">
                  <w:pPr>
                    <w:jc w:val="center"/>
                    <w:rPr>
                      <w:color w:val="auto"/>
                      <w:sz w:val="18"/>
                      <w:szCs w:val="18"/>
                    </w:rPr>
                  </w:pPr>
                  <w:r>
                    <w:rPr>
                      <w:color w:val="auto"/>
                      <w:sz w:val="18"/>
                      <w:szCs w:val="18"/>
                    </w:rPr>
                    <w:t>57</w:t>
                  </w:r>
                </w:p>
              </w:tc>
              <w:tc>
                <w:tcPr>
                  <w:tcW w:w="851" w:type="dxa"/>
                  <w:vAlign w:val="center"/>
                </w:tcPr>
                <w:p w14:paraId="35264645">
                  <w:pPr>
                    <w:jc w:val="center"/>
                    <w:rPr>
                      <w:color w:val="auto"/>
                      <w:sz w:val="18"/>
                      <w:szCs w:val="18"/>
                    </w:rPr>
                  </w:pPr>
                  <w:r>
                    <w:rPr>
                      <w:color w:val="auto"/>
                      <w:sz w:val="18"/>
                      <w:szCs w:val="18"/>
                    </w:rPr>
                    <w:t>55</w:t>
                  </w:r>
                </w:p>
              </w:tc>
              <w:tc>
                <w:tcPr>
                  <w:tcW w:w="794" w:type="dxa"/>
                  <w:vAlign w:val="center"/>
                </w:tcPr>
                <w:p w14:paraId="4DE65234">
                  <w:pPr>
                    <w:jc w:val="center"/>
                    <w:rPr>
                      <w:color w:val="auto"/>
                      <w:sz w:val="18"/>
                      <w:szCs w:val="18"/>
                    </w:rPr>
                  </w:pPr>
                  <w:r>
                    <w:rPr>
                      <w:color w:val="auto"/>
                      <w:sz w:val="18"/>
                      <w:szCs w:val="18"/>
                    </w:rPr>
                    <w:t>49</w:t>
                  </w:r>
                </w:p>
              </w:tc>
            </w:tr>
            <w:tr w14:paraId="03053E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3A733F0D">
                  <w:pPr>
                    <w:jc w:val="center"/>
                    <w:rPr>
                      <w:color w:val="auto"/>
                      <w:sz w:val="18"/>
                      <w:szCs w:val="18"/>
                    </w:rPr>
                  </w:pPr>
                  <w:r>
                    <w:rPr>
                      <w:color w:val="auto"/>
                      <w:sz w:val="18"/>
                      <w:szCs w:val="18"/>
                    </w:rPr>
                    <w:t>吊车</w:t>
                  </w:r>
                </w:p>
              </w:tc>
              <w:tc>
                <w:tcPr>
                  <w:tcW w:w="851" w:type="dxa"/>
                  <w:vAlign w:val="center"/>
                </w:tcPr>
                <w:p w14:paraId="4F57A98B">
                  <w:pPr>
                    <w:jc w:val="center"/>
                    <w:rPr>
                      <w:color w:val="auto"/>
                      <w:sz w:val="18"/>
                      <w:szCs w:val="18"/>
                    </w:rPr>
                  </w:pPr>
                  <w:r>
                    <w:rPr>
                      <w:color w:val="auto"/>
                      <w:sz w:val="18"/>
                      <w:szCs w:val="18"/>
                    </w:rPr>
                    <w:t>86</w:t>
                  </w:r>
                </w:p>
              </w:tc>
              <w:tc>
                <w:tcPr>
                  <w:tcW w:w="851" w:type="dxa"/>
                  <w:vAlign w:val="center"/>
                </w:tcPr>
                <w:p w14:paraId="19708F10">
                  <w:pPr>
                    <w:jc w:val="center"/>
                    <w:rPr>
                      <w:color w:val="auto"/>
                      <w:sz w:val="18"/>
                      <w:szCs w:val="18"/>
                    </w:rPr>
                  </w:pPr>
                  <w:r>
                    <w:rPr>
                      <w:color w:val="auto"/>
                      <w:sz w:val="18"/>
                      <w:szCs w:val="18"/>
                    </w:rPr>
                    <w:t>80</w:t>
                  </w:r>
                </w:p>
              </w:tc>
              <w:tc>
                <w:tcPr>
                  <w:tcW w:w="851" w:type="dxa"/>
                  <w:vAlign w:val="center"/>
                </w:tcPr>
                <w:p w14:paraId="7F7E0C64">
                  <w:pPr>
                    <w:jc w:val="center"/>
                    <w:rPr>
                      <w:color w:val="auto"/>
                      <w:sz w:val="18"/>
                      <w:szCs w:val="18"/>
                    </w:rPr>
                  </w:pPr>
                  <w:r>
                    <w:rPr>
                      <w:color w:val="auto"/>
                      <w:sz w:val="18"/>
                      <w:szCs w:val="18"/>
                    </w:rPr>
                    <w:t>74</w:t>
                  </w:r>
                </w:p>
              </w:tc>
              <w:tc>
                <w:tcPr>
                  <w:tcW w:w="851" w:type="dxa"/>
                  <w:vAlign w:val="center"/>
                </w:tcPr>
                <w:p w14:paraId="7D73AA4F">
                  <w:pPr>
                    <w:jc w:val="center"/>
                    <w:rPr>
                      <w:color w:val="auto"/>
                      <w:sz w:val="18"/>
                      <w:szCs w:val="18"/>
                    </w:rPr>
                  </w:pPr>
                  <w:r>
                    <w:rPr>
                      <w:color w:val="auto"/>
                      <w:sz w:val="18"/>
                      <w:szCs w:val="18"/>
                    </w:rPr>
                    <w:t>68</w:t>
                  </w:r>
                </w:p>
              </w:tc>
              <w:tc>
                <w:tcPr>
                  <w:tcW w:w="851" w:type="dxa"/>
                  <w:vAlign w:val="center"/>
                </w:tcPr>
                <w:p w14:paraId="5BB07914">
                  <w:pPr>
                    <w:jc w:val="center"/>
                    <w:rPr>
                      <w:color w:val="auto"/>
                      <w:sz w:val="18"/>
                      <w:szCs w:val="18"/>
                    </w:rPr>
                  </w:pPr>
                  <w:r>
                    <w:rPr>
                      <w:color w:val="auto"/>
                      <w:sz w:val="18"/>
                      <w:szCs w:val="18"/>
                    </w:rPr>
                    <w:t>64</w:t>
                  </w:r>
                </w:p>
              </w:tc>
              <w:tc>
                <w:tcPr>
                  <w:tcW w:w="851" w:type="dxa"/>
                  <w:vAlign w:val="center"/>
                </w:tcPr>
                <w:p w14:paraId="0C1EAFC1">
                  <w:pPr>
                    <w:jc w:val="center"/>
                    <w:rPr>
                      <w:color w:val="auto"/>
                      <w:sz w:val="18"/>
                      <w:szCs w:val="18"/>
                    </w:rPr>
                  </w:pPr>
                  <w:r>
                    <w:rPr>
                      <w:color w:val="auto"/>
                      <w:sz w:val="18"/>
                      <w:szCs w:val="18"/>
                    </w:rPr>
                    <w:t>62</w:t>
                  </w:r>
                </w:p>
              </w:tc>
              <w:tc>
                <w:tcPr>
                  <w:tcW w:w="851" w:type="dxa"/>
                  <w:vAlign w:val="center"/>
                </w:tcPr>
                <w:p w14:paraId="0B3E5384">
                  <w:pPr>
                    <w:jc w:val="center"/>
                    <w:rPr>
                      <w:color w:val="auto"/>
                      <w:sz w:val="18"/>
                      <w:szCs w:val="18"/>
                    </w:rPr>
                  </w:pPr>
                  <w:r>
                    <w:rPr>
                      <w:color w:val="auto"/>
                      <w:sz w:val="18"/>
                      <w:szCs w:val="18"/>
                    </w:rPr>
                    <w:t>60</w:t>
                  </w:r>
                </w:p>
              </w:tc>
              <w:tc>
                <w:tcPr>
                  <w:tcW w:w="794" w:type="dxa"/>
                  <w:vAlign w:val="center"/>
                </w:tcPr>
                <w:p w14:paraId="4FC271A0">
                  <w:pPr>
                    <w:jc w:val="center"/>
                    <w:rPr>
                      <w:color w:val="auto"/>
                      <w:sz w:val="18"/>
                      <w:szCs w:val="18"/>
                    </w:rPr>
                  </w:pPr>
                  <w:r>
                    <w:rPr>
                      <w:color w:val="auto"/>
                      <w:sz w:val="18"/>
                      <w:szCs w:val="18"/>
                    </w:rPr>
                    <w:t>54</w:t>
                  </w:r>
                </w:p>
              </w:tc>
            </w:tr>
            <w:tr w14:paraId="687B33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72" w:type="dxa"/>
                  <w:vAlign w:val="center"/>
                </w:tcPr>
                <w:p w14:paraId="227BF3D6">
                  <w:pPr>
                    <w:jc w:val="center"/>
                    <w:rPr>
                      <w:color w:val="auto"/>
                      <w:sz w:val="18"/>
                      <w:szCs w:val="18"/>
                    </w:rPr>
                  </w:pPr>
                  <w:r>
                    <w:rPr>
                      <w:color w:val="auto"/>
                      <w:sz w:val="18"/>
                      <w:szCs w:val="18"/>
                    </w:rPr>
                    <w:t>升降机</w:t>
                  </w:r>
                </w:p>
              </w:tc>
              <w:tc>
                <w:tcPr>
                  <w:tcW w:w="851" w:type="dxa"/>
                  <w:vAlign w:val="center"/>
                </w:tcPr>
                <w:p w14:paraId="3392AF92">
                  <w:pPr>
                    <w:jc w:val="center"/>
                    <w:rPr>
                      <w:color w:val="auto"/>
                      <w:sz w:val="18"/>
                      <w:szCs w:val="18"/>
                    </w:rPr>
                  </w:pPr>
                  <w:r>
                    <w:rPr>
                      <w:color w:val="auto"/>
                      <w:sz w:val="18"/>
                      <w:szCs w:val="18"/>
                    </w:rPr>
                    <w:t>81</w:t>
                  </w:r>
                </w:p>
              </w:tc>
              <w:tc>
                <w:tcPr>
                  <w:tcW w:w="851" w:type="dxa"/>
                  <w:vAlign w:val="center"/>
                </w:tcPr>
                <w:p w14:paraId="609EC103">
                  <w:pPr>
                    <w:jc w:val="center"/>
                    <w:rPr>
                      <w:color w:val="auto"/>
                      <w:sz w:val="18"/>
                      <w:szCs w:val="18"/>
                    </w:rPr>
                  </w:pPr>
                  <w:r>
                    <w:rPr>
                      <w:color w:val="auto"/>
                      <w:sz w:val="18"/>
                      <w:szCs w:val="18"/>
                    </w:rPr>
                    <w:t>75</w:t>
                  </w:r>
                </w:p>
              </w:tc>
              <w:tc>
                <w:tcPr>
                  <w:tcW w:w="851" w:type="dxa"/>
                  <w:vAlign w:val="center"/>
                </w:tcPr>
                <w:p w14:paraId="4B6EE237">
                  <w:pPr>
                    <w:jc w:val="center"/>
                    <w:rPr>
                      <w:color w:val="auto"/>
                      <w:sz w:val="18"/>
                      <w:szCs w:val="18"/>
                    </w:rPr>
                  </w:pPr>
                  <w:r>
                    <w:rPr>
                      <w:color w:val="auto"/>
                      <w:sz w:val="18"/>
                      <w:szCs w:val="18"/>
                    </w:rPr>
                    <w:t>69</w:t>
                  </w:r>
                </w:p>
              </w:tc>
              <w:tc>
                <w:tcPr>
                  <w:tcW w:w="851" w:type="dxa"/>
                  <w:vAlign w:val="center"/>
                </w:tcPr>
                <w:p w14:paraId="45E65CD3">
                  <w:pPr>
                    <w:jc w:val="center"/>
                    <w:rPr>
                      <w:color w:val="auto"/>
                      <w:sz w:val="18"/>
                      <w:szCs w:val="18"/>
                    </w:rPr>
                  </w:pPr>
                  <w:r>
                    <w:rPr>
                      <w:color w:val="auto"/>
                      <w:sz w:val="18"/>
                      <w:szCs w:val="18"/>
                    </w:rPr>
                    <w:t>63</w:t>
                  </w:r>
                </w:p>
              </w:tc>
              <w:tc>
                <w:tcPr>
                  <w:tcW w:w="851" w:type="dxa"/>
                  <w:vAlign w:val="center"/>
                </w:tcPr>
                <w:p w14:paraId="2C3C799F">
                  <w:pPr>
                    <w:jc w:val="center"/>
                    <w:rPr>
                      <w:color w:val="auto"/>
                      <w:sz w:val="18"/>
                      <w:szCs w:val="18"/>
                    </w:rPr>
                  </w:pPr>
                  <w:r>
                    <w:rPr>
                      <w:color w:val="auto"/>
                      <w:sz w:val="18"/>
                      <w:szCs w:val="18"/>
                    </w:rPr>
                    <w:t>59</w:t>
                  </w:r>
                </w:p>
              </w:tc>
              <w:tc>
                <w:tcPr>
                  <w:tcW w:w="851" w:type="dxa"/>
                  <w:vAlign w:val="center"/>
                </w:tcPr>
                <w:p w14:paraId="19E724D6">
                  <w:pPr>
                    <w:jc w:val="center"/>
                    <w:rPr>
                      <w:color w:val="auto"/>
                      <w:sz w:val="18"/>
                      <w:szCs w:val="18"/>
                    </w:rPr>
                  </w:pPr>
                  <w:r>
                    <w:rPr>
                      <w:color w:val="auto"/>
                      <w:sz w:val="18"/>
                      <w:szCs w:val="18"/>
                    </w:rPr>
                    <w:t>57</w:t>
                  </w:r>
                </w:p>
              </w:tc>
              <w:tc>
                <w:tcPr>
                  <w:tcW w:w="851" w:type="dxa"/>
                  <w:vAlign w:val="center"/>
                </w:tcPr>
                <w:p w14:paraId="71D904AE">
                  <w:pPr>
                    <w:jc w:val="center"/>
                    <w:rPr>
                      <w:color w:val="auto"/>
                      <w:sz w:val="18"/>
                      <w:szCs w:val="18"/>
                    </w:rPr>
                  </w:pPr>
                  <w:r>
                    <w:rPr>
                      <w:color w:val="auto"/>
                      <w:sz w:val="18"/>
                      <w:szCs w:val="18"/>
                    </w:rPr>
                    <w:t>55</w:t>
                  </w:r>
                </w:p>
              </w:tc>
              <w:tc>
                <w:tcPr>
                  <w:tcW w:w="794" w:type="dxa"/>
                  <w:vAlign w:val="center"/>
                </w:tcPr>
                <w:p w14:paraId="7FA4351F">
                  <w:pPr>
                    <w:jc w:val="center"/>
                    <w:rPr>
                      <w:color w:val="auto"/>
                      <w:sz w:val="18"/>
                      <w:szCs w:val="18"/>
                    </w:rPr>
                  </w:pPr>
                  <w:r>
                    <w:rPr>
                      <w:color w:val="auto"/>
                      <w:sz w:val="18"/>
                      <w:szCs w:val="18"/>
                    </w:rPr>
                    <w:t>49</w:t>
                  </w:r>
                </w:p>
              </w:tc>
            </w:tr>
          </w:tbl>
          <w:p w14:paraId="6A66F83B">
            <w:pPr>
              <w:adjustRightInd w:val="0"/>
              <w:snapToGrid w:val="0"/>
              <w:spacing w:beforeLines="50" w:line="360" w:lineRule="auto"/>
              <w:ind w:firstLine="480" w:firstLineChars="200"/>
              <w:rPr>
                <w:color w:val="auto"/>
                <w:sz w:val="24"/>
                <w:szCs w:val="24"/>
              </w:rPr>
            </w:pPr>
            <w:r>
              <w:rPr>
                <w:color w:val="auto"/>
                <w:sz w:val="24"/>
                <w:szCs w:val="24"/>
              </w:rPr>
              <w:t>施工期场界噪声限值标准执行国家《建筑施工场界环境噪声排放标准》（GB12523-2011），即昼间≤70dB（A）、夜间≤55dB（A）。根据表</w:t>
            </w:r>
            <w:r>
              <w:rPr>
                <w:rFonts w:hint="eastAsia"/>
                <w:color w:val="auto"/>
                <w:sz w:val="24"/>
                <w:szCs w:val="24"/>
              </w:rPr>
              <w:t>4-2，</w:t>
            </w:r>
            <w:r>
              <w:rPr>
                <w:color w:val="auto"/>
                <w:sz w:val="24"/>
                <w:szCs w:val="24"/>
              </w:rPr>
              <w:t>项目施工机械噪声昼间影响将达到60m，夜间将达到</w:t>
            </w:r>
            <w:r>
              <w:rPr>
                <w:rFonts w:hint="eastAsia"/>
                <w:color w:val="auto"/>
                <w:sz w:val="24"/>
                <w:szCs w:val="24"/>
              </w:rPr>
              <w:t>1</w:t>
            </w:r>
            <w:r>
              <w:rPr>
                <w:color w:val="auto"/>
                <w:sz w:val="24"/>
                <w:szCs w:val="24"/>
              </w:rPr>
              <w:t>00m范围以上。根据现场调查，项目周边主要为工业企业</w:t>
            </w:r>
            <w:r>
              <w:rPr>
                <w:rFonts w:hint="eastAsia"/>
                <w:color w:val="auto"/>
                <w:sz w:val="24"/>
                <w:szCs w:val="24"/>
              </w:rPr>
              <w:t>，2</w:t>
            </w:r>
            <w:r>
              <w:rPr>
                <w:color w:val="auto"/>
                <w:sz w:val="24"/>
                <w:szCs w:val="24"/>
              </w:rPr>
              <w:t>00m范围内</w:t>
            </w:r>
            <w:r>
              <w:rPr>
                <w:rFonts w:hint="eastAsia"/>
                <w:color w:val="auto"/>
                <w:sz w:val="24"/>
                <w:szCs w:val="24"/>
              </w:rPr>
              <w:t>无居民集中区</w:t>
            </w:r>
            <w:r>
              <w:rPr>
                <w:color w:val="auto"/>
                <w:sz w:val="24"/>
                <w:szCs w:val="24"/>
              </w:rPr>
              <w:t>。施工噪声的影响随着施工结束而消失，其影响是暂时性的，在施工过程采取必要的防治及管理措施，其施工过程产生的噪声对周边环境的影响是可以接受的。</w:t>
            </w:r>
          </w:p>
          <w:p w14:paraId="31B374B0">
            <w:pPr>
              <w:widowControl/>
              <w:spacing w:line="360" w:lineRule="auto"/>
              <w:ind w:firstLine="480" w:firstLineChars="200"/>
              <w:jc w:val="left"/>
              <w:rPr>
                <w:color w:val="auto"/>
                <w:kern w:val="0"/>
                <w:sz w:val="24"/>
                <w:szCs w:val="24"/>
              </w:rPr>
            </w:pPr>
            <w:r>
              <w:rPr>
                <w:rFonts w:hint="eastAsia"/>
                <w:color w:val="auto"/>
                <w:kern w:val="0"/>
                <w:sz w:val="24"/>
                <w:szCs w:val="24"/>
              </w:rPr>
              <w:t>（2）施工噪声环境保护措施</w:t>
            </w:r>
          </w:p>
          <w:p w14:paraId="5F4EABA1">
            <w:pPr>
              <w:widowControl/>
              <w:spacing w:line="360" w:lineRule="auto"/>
              <w:ind w:firstLine="480" w:firstLineChars="200"/>
              <w:jc w:val="left"/>
              <w:rPr>
                <w:color w:val="auto"/>
                <w:kern w:val="0"/>
                <w:sz w:val="24"/>
                <w:szCs w:val="24"/>
              </w:rPr>
            </w:pPr>
            <w:r>
              <w:rPr>
                <w:rFonts w:hint="eastAsia"/>
                <w:color w:val="auto"/>
                <w:kern w:val="0"/>
                <w:sz w:val="24"/>
                <w:szCs w:val="24"/>
              </w:rPr>
              <w:t>施工期噪声源主要来自于施工场地内所使用的挖掘机、推土机、载重汽车等施工机具产生的噪声。</w:t>
            </w:r>
            <w:r>
              <w:rPr>
                <w:color w:val="auto"/>
                <w:kern w:val="0"/>
                <w:sz w:val="24"/>
                <w:szCs w:val="24"/>
              </w:rPr>
              <w:t>施工方采取以下措施以避免或减缓施工噪声对周围环境产生的不利影响</w:t>
            </w:r>
            <w:r>
              <w:rPr>
                <w:rFonts w:hint="eastAsia"/>
                <w:color w:val="auto"/>
                <w:kern w:val="0"/>
                <w:sz w:val="24"/>
                <w:szCs w:val="24"/>
              </w:rPr>
              <w:t>：</w:t>
            </w:r>
          </w:p>
          <w:p w14:paraId="767563EE">
            <w:pPr>
              <w:widowControl/>
              <w:spacing w:line="360" w:lineRule="auto"/>
              <w:ind w:firstLine="480" w:firstLineChars="200"/>
              <w:jc w:val="left"/>
              <w:rPr>
                <w:color w:val="auto"/>
                <w:kern w:val="0"/>
                <w:sz w:val="24"/>
                <w:szCs w:val="24"/>
              </w:rPr>
            </w:pPr>
            <w:r>
              <w:rPr>
                <w:rFonts w:hint="eastAsia"/>
                <w:color w:val="auto"/>
                <w:kern w:val="0"/>
                <w:sz w:val="24"/>
                <w:szCs w:val="24"/>
              </w:rPr>
              <w:t>①</w:t>
            </w:r>
            <w:r>
              <w:rPr>
                <w:color w:val="auto"/>
                <w:kern w:val="0"/>
                <w:sz w:val="24"/>
                <w:szCs w:val="24"/>
              </w:rPr>
              <w:t>施工单位</w:t>
            </w:r>
            <w:r>
              <w:rPr>
                <w:rFonts w:hint="eastAsia"/>
                <w:color w:val="auto"/>
                <w:kern w:val="0"/>
                <w:sz w:val="24"/>
                <w:szCs w:val="24"/>
              </w:rPr>
              <w:t>严格</w:t>
            </w:r>
            <w:r>
              <w:rPr>
                <w:color w:val="auto"/>
                <w:kern w:val="0"/>
                <w:sz w:val="24"/>
                <w:szCs w:val="24"/>
              </w:rPr>
              <w:t>执行</w:t>
            </w:r>
            <w:r>
              <w:rPr>
                <w:rFonts w:hint="eastAsia"/>
                <w:color w:val="auto"/>
                <w:kern w:val="0"/>
                <w:sz w:val="24"/>
                <w:szCs w:val="24"/>
              </w:rPr>
              <w:t>（</w:t>
            </w:r>
            <w:r>
              <w:rPr>
                <w:color w:val="auto"/>
                <w:kern w:val="0"/>
                <w:sz w:val="24"/>
                <w:szCs w:val="24"/>
              </w:rPr>
              <w:t>GB12523-2011</w:t>
            </w:r>
            <w:r>
              <w:rPr>
                <w:rFonts w:hint="eastAsia"/>
                <w:color w:val="auto"/>
                <w:kern w:val="0"/>
                <w:sz w:val="24"/>
                <w:szCs w:val="24"/>
              </w:rPr>
              <w:t>）</w:t>
            </w:r>
            <w:r>
              <w:rPr>
                <w:color w:val="auto"/>
                <w:kern w:val="0"/>
                <w:sz w:val="24"/>
                <w:szCs w:val="24"/>
              </w:rPr>
              <w:t>《建筑施工场界环境噪声排放标准》中的各项规定</w:t>
            </w:r>
            <w:r>
              <w:rPr>
                <w:rFonts w:hint="eastAsia"/>
                <w:color w:val="auto"/>
                <w:kern w:val="0"/>
                <w:sz w:val="24"/>
                <w:szCs w:val="24"/>
              </w:rPr>
              <w:t>，</w:t>
            </w:r>
            <w:r>
              <w:rPr>
                <w:color w:val="auto"/>
                <w:kern w:val="0"/>
                <w:sz w:val="24"/>
                <w:szCs w:val="24"/>
              </w:rPr>
              <w:t>及时了解施工噪声排放强度</w:t>
            </w:r>
            <w:r>
              <w:rPr>
                <w:rFonts w:hint="eastAsia"/>
                <w:color w:val="auto"/>
                <w:kern w:val="0"/>
                <w:sz w:val="24"/>
                <w:szCs w:val="24"/>
              </w:rPr>
              <w:t>。</w:t>
            </w:r>
          </w:p>
          <w:p w14:paraId="43B9A191">
            <w:pPr>
              <w:widowControl/>
              <w:spacing w:line="360" w:lineRule="auto"/>
              <w:ind w:firstLine="480" w:firstLineChars="200"/>
              <w:jc w:val="left"/>
              <w:rPr>
                <w:color w:val="auto"/>
                <w:kern w:val="0"/>
                <w:sz w:val="24"/>
                <w:szCs w:val="24"/>
              </w:rPr>
            </w:pPr>
            <w:r>
              <w:rPr>
                <w:rFonts w:hint="eastAsia"/>
                <w:color w:val="auto"/>
                <w:kern w:val="0"/>
                <w:sz w:val="24"/>
                <w:szCs w:val="24"/>
              </w:rPr>
              <w:t>②</w:t>
            </w:r>
            <w:r>
              <w:rPr>
                <w:color w:val="auto"/>
                <w:kern w:val="0"/>
                <w:sz w:val="24"/>
                <w:szCs w:val="24"/>
              </w:rPr>
              <w:t>采用较先进</w:t>
            </w:r>
            <w:r>
              <w:rPr>
                <w:rFonts w:hint="eastAsia"/>
                <w:color w:val="auto"/>
                <w:kern w:val="0"/>
                <w:sz w:val="24"/>
                <w:szCs w:val="24"/>
              </w:rPr>
              <w:t>、</w:t>
            </w:r>
            <w:r>
              <w:rPr>
                <w:color w:val="auto"/>
                <w:kern w:val="0"/>
                <w:sz w:val="24"/>
                <w:szCs w:val="24"/>
              </w:rPr>
              <w:t>噪声较低的施工设备</w:t>
            </w:r>
            <w:r>
              <w:rPr>
                <w:rFonts w:hint="eastAsia"/>
                <w:color w:val="auto"/>
                <w:kern w:val="0"/>
                <w:sz w:val="24"/>
                <w:szCs w:val="24"/>
              </w:rPr>
              <w:t>，</w:t>
            </w:r>
            <w:r>
              <w:rPr>
                <w:color w:val="auto"/>
                <w:kern w:val="0"/>
                <w:sz w:val="24"/>
                <w:szCs w:val="24"/>
              </w:rPr>
              <w:t>限制高噪声设备的施工时段</w:t>
            </w:r>
            <w:r>
              <w:rPr>
                <w:rFonts w:hint="eastAsia"/>
                <w:color w:val="auto"/>
                <w:kern w:val="0"/>
                <w:sz w:val="24"/>
                <w:szCs w:val="24"/>
              </w:rPr>
              <w:t>，</w:t>
            </w:r>
            <w:r>
              <w:rPr>
                <w:color w:val="auto"/>
                <w:kern w:val="0"/>
                <w:sz w:val="24"/>
                <w:szCs w:val="24"/>
              </w:rPr>
              <w:t>必要时高噪声的施工机械应采取隔声</w:t>
            </w:r>
            <w:r>
              <w:rPr>
                <w:rFonts w:hint="eastAsia"/>
                <w:color w:val="auto"/>
                <w:kern w:val="0"/>
                <w:sz w:val="24"/>
                <w:szCs w:val="24"/>
              </w:rPr>
              <w:t>、</w:t>
            </w:r>
            <w:r>
              <w:rPr>
                <w:color w:val="auto"/>
                <w:kern w:val="0"/>
                <w:sz w:val="24"/>
                <w:szCs w:val="24"/>
              </w:rPr>
              <w:t>降噪措施</w:t>
            </w:r>
            <w:r>
              <w:rPr>
                <w:rFonts w:hint="eastAsia"/>
                <w:color w:val="auto"/>
                <w:kern w:val="0"/>
                <w:sz w:val="24"/>
                <w:szCs w:val="24"/>
              </w:rPr>
              <w:t>，</w:t>
            </w:r>
            <w:r>
              <w:rPr>
                <w:color w:val="auto"/>
                <w:kern w:val="0"/>
                <w:sz w:val="24"/>
                <w:szCs w:val="24"/>
              </w:rPr>
              <w:t>减轻对周围环境的影响</w:t>
            </w:r>
            <w:r>
              <w:rPr>
                <w:rFonts w:hint="eastAsia"/>
                <w:color w:val="auto"/>
                <w:kern w:val="0"/>
                <w:sz w:val="24"/>
                <w:szCs w:val="24"/>
              </w:rPr>
              <w:t>。</w:t>
            </w:r>
          </w:p>
          <w:p w14:paraId="00AECBF2">
            <w:pPr>
              <w:spacing w:line="360" w:lineRule="auto"/>
              <w:ind w:firstLine="480" w:firstLineChars="200"/>
              <w:jc w:val="left"/>
              <w:rPr>
                <w:rFonts w:ascii="宋体" w:hAnsi="宋体" w:cs="宋体"/>
                <w:color w:val="auto"/>
                <w:sz w:val="24"/>
                <w:szCs w:val="24"/>
              </w:rPr>
            </w:pPr>
            <w:r>
              <w:rPr>
                <w:rFonts w:hint="eastAsia"/>
                <w:color w:val="auto"/>
                <w:kern w:val="0"/>
                <w:sz w:val="24"/>
                <w:szCs w:val="24"/>
              </w:rPr>
              <w:t>③</w:t>
            </w:r>
            <w:r>
              <w:rPr>
                <w:color w:val="auto"/>
                <w:kern w:val="0"/>
                <w:sz w:val="24"/>
                <w:szCs w:val="24"/>
              </w:rPr>
              <w:t>合理安排施工时间</w:t>
            </w:r>
            <w:r>
              <w:rPr>
                <w:rFonts w:hint="eastAsia"/>
                <w:color w:val="auto"/>
                <w:kern w:val="0"/>
                <w:sz w:val="24"/>
                <w:szCs w:val="24"/>
              </w:rPr>
              <w:t>，</w:t>
            </w:r>
            <w:r>
              <w:rPr>
                <w:color w:val="auto"/>
                <w:kern w:val="0"/>
                <w:sz w:val="24"/>
                <w:szCs w:val="24"/>
              </w:rPr>
              <w:t>将噪声级大的工作尽量安排昼间非休息时段</w:t>
            </w:r>
            <w:r>
              <w:rPr>
                <w:rFonts w:hint="eastAsia"/>
                <w:color w:val="auto"/>
                <w:kern w:val="0"/>
                <w:sz w:val="24"/>
                <w:szCs w:val="24"/>
              </w:rPr>
              <w:t>，</w:t>
            </w:r>
            <w:r>
              <w:rPr>
                <w:color w:val="auto"/>
                <w:kern w:val="0"/>
                <w:sz w:val="24"/>
                <w:szCs w:val="24"/>
              </w:rPr>
              <w:t>高噪声源设备禁止其在22:00-6:00及12:00-14:</w:t>
            </w:r>
            <w:r>
              <w:rPr>
                <w:rFonts w:hint="eastAsia"/>
                <w:color w:val="auto"/>
                <w:kern w:val="0"/>
                <w:sz w:val="24"/>
                <w:szCs w:val="24"/>
              </w:rPr>
              <w:t>0</w:t>
            </w:r>
            <w:r>
              <w:rPr>
                <w:color w:val="auto"/>
                <w:kern w:val="0"/>
                <w:sz w:val="24"/>
                <w:szCs w:val="24"/>
              </w:rPr>
              <w:t>0施工</w:t>
            </w:r>
            <w:r>
              <w:rPr>
                <w:rFonts w:ascii="宋体" w:hAnsi="宋体" w:cs="宋体"/>
                <w:color w:val="auto"/>
                <w:sz w:val="24"/>
                <w:szCs w:val="24"/>
              </w:rPr>
              <w:t>。</w:t>
            </w:r>
          </w:p>
          <w:p w14:paraId="3043A0DA">
            <w:pPr>
              <w:widowControl/>
              <w:spacing w:line="360" w:lineRule="auto"/>
              <w:ind w:firstLine="480" w:firstLineChars="200"/>
              <w:jc w:val="left"/>
              <w:rPr>
                <w:color w:val="auto"/>
                <w:kern w:val="0"/>
                <w:sz w:val="24"/>
                <w:szCs w:val="24"/>
              </w:rPr>
            </w:pPr>
            <w:r>
              <w:rPr>
                <w:rFonts w:hint="eastAsia"/>
                <w:color w:val="auto"/>
                <w:kern w:val="0"/>
                <w:sz w:val="24"/>
                <w:szCs w:val="24"/>
              </w:rPr>
              <w:t>④</w:t>
            </w:r>
            <w:r>
              <w:rPr>
                <w:color w:val="auto"/>
                <w:kern w:val="0"/>
                <w:sz w:val="24"/>
                <w:szCs w:val="24"/>
              </w:rPr>
              <w:t>运输材料的车辆进入施工现场</w:t>
            </w:r>
            <w:r>
              <w:rPr>
                <w:rFonts w:hint="eastAsia"/>
                <w:color w:val="auto"/>
                <w:kern w:val="0"/>
                <w:sz w:val="24"/>
                <w:szCs w:val="24"/>
              </w:rPr>
              <w:t>，</w:t>
            </w:r>
            <w:r>
              <w:rPr>
                <w:color w:val="auto"/>
                <w:kern w:val="0"/>
                <w:sz w:val="24"/>
                <w:szCs w:val="24"/>
              </w:rPr>
              <w:t>严禁鸣笛</w:t>
            </w:r>
            <w:r>
              <w:rPr>
                <w:rFonts w:hint="eastAsia"/>
                <w:color w:val="auto"/>
                <w:kern w:val="0"/>
                <w:sz w:val="24"/>
                <w:szCs w:val="24"/>
              </w:rPr>
              <w:t>，</w:t>
            </w:r>
            <w:r>
              <w:rPr>
                <w:color w:val="auto"/>
                <w:kern w:val="0"/>
                <w:sz w:val="24"/>
                <w:szCs w:val="24"/>
              </w:rPr>
              <w:t>装卸材料应做到轻拿轻放</w:t>
            </w:r>
            <w:r>
              <w:rPr>
                <w:rFonts w:hint="eastAsia"/>
                <w:color w:val="auto"/>
                <w:kern w:val="0"/>
                <w:sz w:val="24"/>
                <w:szCs w:val="24"/>
              </w:rPr>
              <w:t>，</w:t>
            </w:r>
            <w:r>
              <w:rPr>
                <w:color w:val="auto"/>
                <w:kern w:val="0"/>
                <w:sz w:val="24"/>
                <w:szCs w:val="24"/>
              </w:rPr>
              <w:t>并防止人为噪声影响周围安静环境</w:t>
            </w:r>
            <w:r>
              <w:rPr>
                <w:rFonts w:hint="eastAsia"/>
                <w:color w:val="auto"/>
                <w:kern w:val="0"/>
                <w:sz w:val="24"/>
                <w:szCs w:val="24"/>
              </w:rPr>
              <w:t>。</w:t>
            </w:r>
          </w:p>
          <w:p w14:paraId="6078683A">
            <w:pPr>
              <w:widowControl/>
              <w:spacing w:line="360" w:lineRule="auto"/>
              <w:ind w:firstLine="480" w:firstLineChars="200"/>
              <w:jc w:val="left"/>
              <w:rPr>
                <w:color w:val="auto"/>
                <w:kern w:val="0"/>
                <w:sz w:val="24"/>
                <w:szCs w:val="24"/>
              </w:rPr>
            </w:pPr>
            <w:r>
              <w:rPr>
                <w:rFonts w:hint="eastAsia"/>
                <w:color w:val="auto"/>
                <w:kern w:val="0"/>
                <w:sz w:val="24"/>
                <w:szCs w:val="24"/>
              </w:rPr>
              <w:t>⑤</w:t>
            </w:r>
            <w:r>
              <w:rPr>
                <w:color w:val="auto"/>
                <w:kern w:val="0"/>
                <w:sz w:val="24"/>
                <w:szCs w:val="24"/>
              </w:rPr>
              <w:t>提高工作效率</w:t>
            </w:r>
            <w:r>
              <w:rPr>
                <w:rFonts w:hint="eastAsia"/>
                <w:color w:val="auto"/>
                <w:kern w:val="0"/>
                <w:sz w:val="24"/>
                <w:szCs w:val="24"/>
              </w:rPr>
              <w:t>，</w:t>
            </w:r>
            <w:r>
              <w:rPr>
                <w:color w:val="auto"/>
                <w:kern w:val="0"/>
                <w:sz w:val="24"/>
                <w:szCs w:val="24"/>
              </w:rPr>
              <w:t>加快施工进度</w:t>
            </w:r>
            <w:r>
              <w:rPr>
                <w:rFonts w:hint="eastAsia"/>
                <w:color w:val="auto"/>
                <w:kern w:val="0"/>
                <w:sz w:val="24"/>
                <w:szCs w:val="24"/>
              </w:rPr>
              <w:t>，</w:t>
            </w:r>
            <w:r>
              <w:rPr>
                <w:color w:val="auto"/>
                <w:kern w:val="0"/>
                <w:sz w:val="24"/>
                <w:szCs w:val="24"/>
              </w:rPr>
              <w:t>尽可能缩短施工建设对周围环境的影响。</w:t>
            </w:r>
          </w:p>
          <w:p w14:paraId="2B19048D">
            <w:pPr>
              <w:spacing w:line="360" w:lineRule="auto"/>
              <w:ind w:firstLine="480" w:firstLineChars="200"/>
              <w:rPr>
                <w:rFonts w:ascii="宋体" w:hAnsi="宋体"/>
                <w:color w:val="auto"/>
                <w:kern w:val="0"/>
                <w:sz w:val="24"/>
                <w:szCs w:val="24"/>
              </w:rPr>
            </w:pPr>
            <w:r>
              <w:rPr>
                <w:rFonts w:ascii="宋体" w:hAnsi="宋体"/>
                <w:color w:val="auto"/>
                <w:kern w:val="0"/>
                <w:sz w:val="24"/>
                <w:szCs w:val="24"/>
              </w:rPr>
              <w:t>施工期通过采取上述措施</w:t>
            </w:r>
            <w:r>
              <w:rPr>
                <w:rFonts w:hint="eastAsia" w:ascii="宋体" w:hAnsi="宋体"/>
                <w:color w:val="auto"/>
                <w:kern w:val="0"/>
                <w:sz w:val="24"/>
                <w:szCs w:val="24"/>
              </w:rPr>
              <w:t>，</w:t>
            </w:r>
            <w:r>
              <w:rPr>
                <w:rFonts w:ascii="宋体" w:hAnsi="宋体"/>
                <w:color w:val="auto"/>
                <w:kern w:val="0"/>
                <w:sz w:val="24"/>
                <w:szCs w:val="24"/>
              </w:rPr>
              <w:t>对现有工程和周边敏感点的影响不大。</w:t>
            </w:r>
          </w:p>
          <w:p w14:paraId="65F18D9B">
            <w:pPr>
              <w:adjustRightInd w:val="0"/>
              <w:snapToGrid w:val="0"/>
              <w:spacing w:line="360" w:lineRule="auto"/>
              <w:jc w:val="left"/>
              <w:rPr>
                <w:b/>
                <w:bCs/>
                <w:color w:val="auto"/>
                <w:kern w:val="0"/>
                <w:sz w:val="24"/>
                <w:szCs w:val="24"/>
              </w:rPr>
            </w:pPr>
            <w:r>
              <w:rPr>
                <w:rFonts w:hint="eastAsia"/>
                <w:b/>
                <w:bCs/>
                <w:color w:val="auto"/>
                <w:kern w:val="0"/>
                <w:sz w:val="24"/>
                <w:szCs w:val="24"/>
              </w:rPr>
              <w:t>4</w:t>
            </w:r>
            <w:r>
              <w:rPr>
                <w:rFonts w:hint="eastAsia" w:eastAsia="黑体"/>
                <w:bCs/>
                <w:color w:val="auto"/>
                <w:kern w:val="0"/>
                <w:sz w:val="24"/>
                <w:szCs w:val="24"/>
              </w:rPr>
              <w:t>、固体废物</w:t>
            </w:r>
          </w:p>
          <w:p w14:paraId="20F7C6FB">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施工期间的固体废物主要是施工过程中产生的建筑垃圾及施工人员产生的生活垃圾等。</w:t>
            </w:r>
          </w:p>
          <w:p w14:paraId="447F90C7">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建筑垃圾主要来源于建筑施工中产生的砖瓦、石灰、</w:t>
            </w:r>
            <w:r>
              <w:rPr>
                <w:rFonts w:hint="eastAsia" w:ascii="宋体" w:hAnsi="宋体"/>
                <w:color w:val="auto"/>
                <w:kern w:val="0"/>
                <w:sz w:val="24"/>
                <w:szCs w:val="24"/>
                <w:lang w:val="en-US" w:eastAsia="zh-CN"/>
              </w:rPr>
              <w:t>砂</w:t>
            </w:r>
            <w:r>
              <w:rPr>
                <w:rFonts w:hint="eastAsia" w:ascii="宋体" w:hAnsi="宋体"/>
                <w:color w:val="auto"/>
                <w:kern w:val="0"/>
                <w:sz w:val="24"/>
                <w:szCs w:val="24"/>
              </w:rPr>
              <w:t>石等，虽然这些废物中有毒有害的成分较低，但粉状废料可随地面径流进入水体，严重时会造成水环境的短暂污染。因此，施工期的建筑垃圾应有计划地堆放，及时清运或加以利用，如废弃建材可用集中填沟碾实处理，以防对环境景观和土壤的破坏。</w:t>
            </w:r>
          </w:p>
          <w:p w14:paraId="20434A05">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施工期产生的生活垃圾如不及时清运处理，则会腐烂变质，产生恶臭，传染疾病，对周围环境和作业人员的健康将带来不利影响。因此，对生活垃圾应做到及时收集并清运，使其得到妥善处置。</w:t>
            </w:r>
          </w:p>
          <w:p w14:paraId="59686C10">
            <w:pPr>
              <w:adjustRightInd w:val="0"/>
              <w:snapToGrid w:val="0"/>
              <w:spacing w:line="360" w:lineRule="auto"/>
              <w:jc w:val="left"/>
              <w:rPr>
                <w:rFonts w:eastAsia="黑体"/>
                <w:b/>
                <w:bCs/>
                <w:color w:val="auto"/>
                <w:kern w:val="0"/>
                <w:sz w:val="24"/>
                <w:szCs w:val="24"/>
              </w:rPr>
            </w:pPr>
            <w:r>
              <w:rPr>
                <w:rFonts w:eastAsia="黑体"/>
                <w:b/>
                <w:bCs/>
                <w:color w:val="auto"/>
                <w:kern w:val="0"/>
                <w:sz w:val="24"/>
                <w:szCs w:val="24"/>
              </w:rPr>
              <w:t>5</w:t>
            </w:r>
            <w:r>
              <w:rPr>
                <w:rFonts w:hAnsi="黑体" w:eastAsia="黑体"/>
                <w:b/>
                <w:bCs/>
                <w:color w:val="auto"/>
                <w:kern w:val="0"/>
                <w:sz w:val="24"/>
                <w:szCs w:val="24"/>
              </w:rPr>
              <w:t>、生态环境影响</w:t>
            </w:r>
          </w:p>
          <w:p w14:paraId="3000A8B6">
            <w:pPr>
              <w:spacing w:line="360" w:lineRule="auto"/>
              <w:ind w:firstLine="480" w:firstLineChars="200"/>
              <w:rPr>
                <w:color w:val="auto"/>
                <w:sz w:val="24"/>
                <w:szCs w:val="24"/>
              </w:rPr>
            </w:pPr>
            <w:r>
              <w:rPr>
                <w:rFonts w:hint="eastAsia"/>
                <w:color w:val="auto"/>
                <w:sz w:val="24"/>
                <w:szCs w:val="24"/>
              </w:rPr>
              <w:t>（1）生态影响分析</w:t>
            </w:r>
          </w:p>
          <w:p w14:paraId="4DE45435">
            <w:pPr>
              <w:spacing w:line="360" w:lineRule="auto"/>
              <w:ind w:firstLine="480" w:firstLineChars="200"/>
              <w:rPr>
                <w:color w:val="auto"/>
                <w:sz w:val="24"/>
                <w:szCs w:val="24"/>
              </w:rPr>
            </w:pPr>
            <w:r>
              <w:rPr>
                <w:rFonts w:hint="eastAsia"/>
                <w:color w:val="auto"/>
                <w:sz w:val="24"/>
                <w:szCs w:val="24"/>
              </w:rPr>
              <w:t>据现场踏勘，项目所在区域土地已被大面积开发，植被已绿化种植的乔木、灌木、草皮为主。本项目厂区内地表生长少量杂草。本项目评价区范围内未发现涉及有名木古树资源分布，未涉及有原生性或林木古老的群落类型分布，亦未发现涉及有重要野生动物或鸟类的集中栖息繁殖等敏感植被生境，无涉及自然保护区等敏感生态系统等保护问题。</w:t>
            </w:r>
          </w:p>
          <w:p w14:paraId="14ECD869">
            <w:pPr>
              <w:spacing w:line="360" w:lineRule="auto"/>
              <w:ind w:firstLine="480" w:firstLineChars="200"/>
              <w:rPr>
                <w:color w:val="auto"/>
                <w:sz w:val="24"/>
                <w:szCs w:val="24"/>
              </w:rPr>
            </w:pPr>
            <w:r>
              <w:rPr>
                <w:rFonts w:hint="eastAsia"/>
                <w:color w:val="auto"/>
                <w:sz w:val="24"/>
                <w:szCs w:val="24"/>
              </w:rPr>
              <w:t>（2）施工期水土流失影响分析</w:t>
            </w:r>
          </w:p>
          <w:p w14:paraId="683A1E6D">
            <w:pPr>
              <w:spacing w:line="360" w:lineRule="auto"/>
              <w:ind w:firstLine="480" w:firstLineChars="200"/>
              <w:rPr>
                <w:rFonts w:hint="eastAsia"/>
                <w:color w:val="auto"/>
                <w:sz w:val="24"/>
                <w:szCs w:val="24"/>
              </w:rPr>
            </w:pPr>
            <w:r>
              <w:rPr>
                <w:rFonts w:hint="eastAsia"/>
                <w:color w:val="auto"/>
                <w:sz w:val="24"/>
                <w:szCs w:val="24"/>
              </w:rPr>
              <w:t>本项目施工过程采取挡护等工程措施，发生水土流失的程度会较轻，在不遇暴雨情况下不易发生大的水土流失。因此，只要加强施工管理，合理安排施工进度，就可避免发生水土流失。随着施工期结束，建设场地被水泥、建筑及植被覆盖，水土流失将会比施工期大大降低，水土流失很轻微。</w:t>
            </w:r>
            <w:bookmarkEnd w:id="24"/>
            <w:bookmarkEnd w:id="25"/>
          </w:p>
          <w:p w14:paraId="6A3B2F94">
            <w:pPr>
              <w:spacing w:line="360" w:lineRule="auto"/>
              <w:ind w:firstLine="480" w:firstLineChars="200"/>
              <w:rPr>
                <w:rFonts w:hint="eastAsia"/>
                <w:color w:val="auto"/>
                <w:sz w:val="24"/>
                <w:szCs w:val="24"/>
              </w:rPr>
            </w:pPr>
          </w:p>
          <w:p w14:paraId="71AA99DE">
            <w:pPr>
              <w:spacing w:line="360" w:lineRule="auto"/>
              <w:ind w:firstLine="480" w:firstLineChars="200"/>
              <w:rPr>
                <w:rFonts w:hint="eastAsia"/>
                <w:color w:val="auto"/>
                <w:sz w:val="24"/>
                <w:szCs w:val="24"/>
              </w:rPr>
            </w:pPr>
          </w:p>
          <w:p w14:paraId="445315AA">
            <w:pPr>
              <w:spacing w:line="360" w:lineRule="auto"/>
              <w:ind w:firstLine="480" w:firstLineChars="200"/>
              <w:rPr>
                <w:rFonts w:hint="eastAsia"/>
                <w:color w:val="auto"/>
                <w:sz w:val="24"/>
                <w:szCs w:val="24"/>
              </w:rPr>
            </w:pPr>
          </w:p>
          <w:p w14:paraId="15615FC8">
            <w:pPr>
              <w:spacing w:line="360" w:lineRule="auto"/>
              <w:ind w:firstLine="480" w:firstLineChars="200"/>
              <w:rPr>
                <w:rFonts w:hint="eastAsia"/>
                <w:color w:val="auto"/>
                <w:sz w:val="24"/>
                <w:szCs w:val="24"/>
              </w:rPr>
            </w:pPr>
          </w:p>
          <w:p w14:paraId="614E8BBD">
            <w:pPr>
              <w:spacing w:line="360" w:lineRule="auto"/>
              <w:ind w:firstLine="480" w:firstLineChars="200"/>
              <w:rPr>
                <w:rFonts w:hint="eastAsia"/>
                <w:color w:val="auto"/>
                <w:sz w:val="24"/>
                <w:szCs w:val="24"/>
              </w:rPr>
            </w:pPr>
          </w:p>
        </w:tc>
      </w:tr>
      <w:tr w14:paraId="3A60C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524" w:type="dxa"/>
            <w:tcMar>
              <w:left w:w="28" w:type="dxa"/>
              <w:right w:w="28" w:type="dxa"/>
            </w:tcMar>
            <w:vAlign w:val="center"/>
          </w:tcPr>
          <w:p w14:paraId="508FA451">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运营期环境保护措施</w:t>
            </w:r>
          </w:p>
        </w:tc>
        <w:tc>
          <w:tcPr>
            <w:tcW w:w="8593" w:type="dxa"/>
            <w:vAlign w:val="center"/>
          </w:tcPr>
          <w:p w14:paraId="319F8DAC">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1、废气环境影响和保护措施</w:t>
            </w:r>
          </w:p>
          <w:p w14:paraId="510ACC96">
            <w:pPr>
              <w:pStyle w:val="82"/>
              <w:rPr>
                <w:color w:val="auto"/>
                <w:sz w:val="24"/>
                <w:szCs w:val="24"/>
              </w:rPr>
            </w:pPr>
            <w:r>
              <w:rPr>
                <w:rFonts w:hint="eastAsia"/>
                <w:color w:val="auto"/>
                <w:sz w:val="24"/>
                <w:szCs w:val="24"/>
              </w:rPr>
              <w:t>1</w:t>
            </w:r>
            <w:r>
              <w:rPr>
                <w:color w:val="auto"/>
                <w:sz w:val="24"/>
                <w:szCs w:val="24"/>
              </w:rPr>
              <w:t>.1</w:t>
            </w:r>
            <w:r>
              <w:rPr>
                <w:rFonts w:hint="eastAsia"/>
                <w:color w:val="auto"/>
                <w:sz w:val="24"/>
                <w:szCs w:val="24"/>
              </w:rPr>
              <w:t>废气产排情况分析</w:t>
            </w:r>
          </w:p>
          <w:p w14:paraId="02F624A2">
            <w:pPr>
              <w:adjustRightInd w:val="0"/>
              <w:snapToGrid w:val="0"/>
              <w:spacing w:line="360" w:lineRule="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1</w:t>
            </w:r>
            <w:r>
              <w:rPr>
                <w:rFonts w:hint="default" w:ascii="Times New Roman" w:hAnsi="Times New Roman" w:eastAsia="黑体" w:cs="Times New Roman"/>
                <w:b w:val="0"/>
                <w:bCs w:val="0"/>
                <w:color w:val="auto"/>
                <w:sz w:val="24"/>
                <w:szCs w:val="24"/>
              </w:rPr>
              <w:t>.1.1有组织废气治理设施及排气筒设置情况</w:t>
            </w:r>
          </w:p>
          <w:p w14:paraId="6F87D7B3">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本项目主要从事精密铸件、消防产品（包含消防栓箱，阀门</w:t>
            </w:r>
            <w:r>
              <w:rPr>
                <w:rFonts w:hint="eastAsia"/>
                <w:color w:val="auto"/>
                <w:sz w:val="24"/>
                <w:szCs w:val="24"/>
                <w:highlight w:val="none"/>
                <w:lang w:val="en-US" w:eastAsia="zh-CN"/>
              </w:rPr>
              <w:t>配件</w:t>
            </w:r>
            <w:r>
              <w:rPr>
                <w:rFonts w:hint="eastAsia" w:ascii="Times New Roman" w:eastAsia="宋体"/>
                <w:color w:val="auto"/>
                <w:sz w:val="24"/>
                <w:szCs w:val="24"/>
                <w:highlight w:val="none"/>
                <w:lang w:eastAsia="zh-CN"/>
              </w:rPr>
              <w:t>、喷头</w:t>
            </w:r>
            <w:r>
              <w:rPr>
                <w:rFonts w:hint="eastAsia"/>
                <w:color w:val="auto"/>
                <w:sz w:val="24"/>
                <w:szCs w:val="24"/>
                <w:highlight w:val="none"/>
                <w:lang w:val="en-US" w:eastAsia="zh-CN"/>
              </w:rPr>
              <w:t>配件</w:t>
            </w:r>
            <w:r>
              <w:rPr>
                <w:rFonts w:hint="eastAsia" w:ascii="Times New Roman" w:eastAsia="宋体"/>
                <w:color w:val="auto"/>
                <w:sz w:val="24"/>
                <w:szCs w:val="24"/>
                <w:highlight w:val="none"/>
                <w:lang w:eastAsia="zh-CN"/>
              </w:rPr>
              <w:t>等）</w:t>
            </w:r>
            <w:r>
              <w:rPr>
                <w:rFonts w:hint="eastAsia"/>
                <w:color w:val="auto"/>
                <w:sz w:val="24"/>
                <w:szCs w:val="24"/>
                <w:highlight w:val="none"/>
                <w:lang w:eastAsia="zh-CN"/>
              </w:rPr>
              <w:t>、</w:t>
            </w:r>
            <w:r>
              <w:rPr>
                <w:rFonts w:hint="eastAsia"/>
                <w:color w:val="auto"/>
                <w:sz w:val="24"/>
                <w:szCs w:val="24"/>
                <w:highlight w:val="none"/>
                <w:lang w:val="en-US" w:eastAsia="zh-CN"/>
              </w:rPr>
              <w:t>灭火器</w:t>
            </w:r>
            <w:r>
              <w:rPr>
                <w:rFonts w:hint="eastAsia" w:ascii="Times New Roman" w:eastAsia="宋体"/>
                <w:color w:val="auto"/>
                <w:sz w:val="24"/>
                <w:szCs w:val="24"/>
                <w:highlight w:val="none"/>
                <w:lang w:eastAsia="zh-CN"/>
              </w:rPr>
              <w:t>等</w:t>
            </w:r>
            <w:r>
              <w:rPr>
                <w:rFonts w:hint="eastAsia"/>
                <w:color w:val="auto"/>
                <w:sz w:val="24"/>
                <w:szCs w:val="24"/>
                <w:highlight w:val="none"/>
                <w:lang w:val="en-US" w:eastAsia="zh-CN"/>
              </w:rPr>
              <w:t>产品</w:t>
            </w:r>
            <w:r>
              <w:rPr>
                <w:rFonts w:hint="eastAsia" w:ascii="Times New Roman" w:eastAsia="宋体"/>
                <w:color w:val="auto"/>
                <w:sz w:val="24"/>
                <w:szCs w:val="24"/>
                <w:highlight w:val="none"/>
                <w:lang w:eastAsia="zh-CN"/>
              </w:rPr>
              <w:t>的生产。</w:t>
            </w:r>
            <w:r>
              <w:rPr>
                <w:rFonts w:hint="eastAsia"/>
                <w:color w:val="auto"/>
                <w:sz w:val="24"/>
                <w:szCs w:val="24"/>
                <w:highlight w:val="none"/>
                <w:lang w:val="en-US" w:eastAsia="zh-CN"/>
              </w:rPr>
              <w:t>根据</w:t>
            </w:r>
            <w:r>
              <w:rPr>
                <w:rFonts w:hint="eastAsia" w:ascii="Times New Roman" w:eastAsia="宋体"/>
                <w:color w:val="auto"/>
                <w:sz w:val="24"/>
                <w:szCs w:val="24"/>
                <w:highlight w:val="none"/>
                <w:lang w:eastAsia="zh-CN"/>
              </w:rPr>
              <w:t>废气特点和车间布局，本项目废气收集、治理设施及排气筒设置情况如下：</w:t>
            </w:r>
          </w:p>
          <w:p w14:paraId="0754F1BC">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3</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w:t>
            </w:r>
            <w:r>
              <w:rPr>
                <w:rFonts w:hint="eastAsia" w:ascii="Times New Roman" w:eastAsia="宋体"/>
                <w:b/>
                <w:bCs/>
                <w:color w:val="auto"/>
                <w:sz w:val="24"/>
                <w:szCs w:val="24"/>
                <w:highlight w:val="none"/>
                <w:lang w:eastAsia="zh-CN"/>
              </w:rPr>
              <w:t>项目废气治理措施及排气筒设置情况</w:t>
            </w:r>
          </w:p>
          <w:tbl>
            <w:tblPr>
              <w:tblStyle w:val="29"/>
              <w:tblW w:w="841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94"/>
              <w:gridCol w:w="1462"/>
              <w:gridCol w:w="1504"/>
              <w:gridCol w:w="900"/>
              <w:gridCol w:w="1605"/>
              <w:gridCol w:w="714"/>
              <w:gridCol w:w="728"/>
              <w:gridCol w:w="1007"/>
            </w:tblGrid>
            <w:tr w14:paraId="5388AE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restart"/>
                  <w:tcBorders>
                    <w:tl2br w:val="nil"/>
                    <w:tr2bl w:val="nil"/>
                  </w:tcBorders>
                  <w:vAlign w:val="center"/>
                </w:tcPr>
                <w:p w14:paraId="3D1365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车间</w:t>
                  </w:r>
                </w:p>
              </w:tc>
              <w:tc>
                <w:tcPr>
                  <w:tcW w:w="1462" w:type="dxa"/>
                  <w:vMerge w:val="restart"/>
                  <w:tcBorders>
                    <w:tl2br w:val="nil"/>
                    <w:tr2bl w:val="nil"/>
                  </w:tcBorders>
                  <w:vAlign w:val="center"/>
                </w:tcPr>
                <w:p w14:paraId="3D78E7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废气名称</w:t>
                  </w:r>
                </w:p>
              </w:tc>
              <w:tc>
                <w:tcPr>
                  <w:tcW w:w="2404" w:type="dxa"/>
                  <w:gridSpan w:val="2"/>
                  <w:tcBorders>
                    <w:tl2br w:val="nil"/>
                    <w:tr2bl w:val="nil"/>
                  </w:tcBorders>
                  <w:vAlign w:val="center"/>
                </w:tcPr>
                <w:p w14:paraId="7D2303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废气收集方案</w:t>
                  </w:r>
                </w:p>
              </w:tc>
              <w:tc>
                <w:tcPr>
                  <w:tcW w:w="1605" w:type="dxa"/>
                  <w:vMerge w:val="restart"/>
                  <w:tcBorders>
                    <w:tl2br w:val="nil"/>
                    <w:tr2bl w:val="nil"/>
                  </w:tcBorders>
                  <w:vAlign w:val="center"/>
                </w:tcPr>
                <w:p w14:paraId="038989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废气治理</w:t>
                  </w:r>
                </w:p>
                <w:p w14:paraId="348E2DA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设施及其编</w:t>
                  </w:r>
                  <w:r>
                    <w:rPr>
                      <w:rFonts w:hint="default" w:ascii="Times New Roman" w:hAnsi="Times New Roman" w:cs="Times New Roman"/>
                      <w:b/>
                      <w:bCs/>
                      <w:color w:val="auto"/>
                      <w:sz w:val="18"/>
                      <w:szCs w:val="18"/>
                    </w:rPr>
                    <w:t>号</w:t>
                  </w:r>
                </w:p>
              </w:tc>
              <w:tc>
                <w:tcPr>
                  <w:tcW w:w="2449" w:type="dxa"/>
                  <w:gridSpan w:val="3"/>
                  <w:tcBorders>
                    <w:tl2br w:val="nil"/>
                    <w:tr2bl w:val="nil"/>
                  </w:tcBorders>
                  <w:vAlign w:val="center"/>
                </w:tcPr>
                <w:p w14:paraId="0A6A5EE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排气筒</w:t>
                  </w:r>
                </w:p>
              </w:tc>
            </w:tr>
            <w:tr w14:paraId="767B4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46ED3062">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p>
              </w:tc>
              <w:tc>
                <w:tcPr>
                  <w:tcW w:w="1462" w:type="dxa"/>
                  <w:vMerge w:val="continue"/>
                  <w:tcBorders>
                    <w:tl2br w:val="nil"/>
                    <w:tr2bl w:val="nil"/>
                  </w:tcBorders>
                  <w:vAlign w:val="center"/>
                </w:tcPr>
                <w:p w14:paraId="74A1E1A0">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p>
              </w:tc>
              <w:tc>
                <w:tcPr>
                  <w:tcW w:w="1504" w:type="dxa"/>
                  <w:tcBorders>
                    <w:tl2br w:val="nil"/>
                    <w:tr2bl w:val="nil"/>
                  </w:tcBorders>
                  <w:vAlign w:val="center"/>
                </w:tcPr>
                <w:p w14:paraId="7191C38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收集措施</w:t>
                  </w:r>
                </w:p>
              </w:tc>
              <w:tc>
                <w:tcPr>
                  <w:tcW w:w="900" w:type="dxa"/>
                  <w:tcBorders>
                    <w:tl2br w:val="nil"/>
                    <w:tr2bl w:val="nil"/>
                  </w:tcBorders>
                  <w:vAlign w:val="center"/>
                </w:tcPr>
                <w:p w14:paraId="352189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收集效率</w:t>
                  </w:r>
                </w:p>
              </w:tc>
              <w:tc>
                <w:tcPr>
                  <w:tcW w:w="1605" w:type="dxa"/>
                  <w:vMerge w:val="continue"/>
                  <w:tcBorders>
                    <w:tl2br w:val="nil"/>
                    <w:tr2bl w:val="nil"/>
                  </w:tcBorders>
                  <w:vAlign w:val="center"/>
                </w:tcPr>
                <w:p w14:paraId="6CCE5D66">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p>
              </w:tc>
              <w:tc>
                <w:tcPr>
                  <w:tcW w:w="714" w:type="dxa"/>
                  <w:tcBorders>
                    <w:tl2br w:val="nil"/>
                    <w:tr2bl w:val="nil"/>
                  </w:tcBorders>
                  <w:vAlign w:val="center"/>
                </w:tcPr>
                <w:p w14:paraId="5C22B96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w:t>
                  </w:r>
                </w:p>
              </w:tc>
              <w:tc>
                <w:tcPr>
                  <w:tcW w:w="728" w:type="dxa"/>
                  <w:tcBorders>
                    <w:tl2br w:val="nil"/>
                    <w:tr2bl w:val="nil"/>
                  </w:tcBorders>
                  <w:vAlign w:val="center"/>
                </w:tcPr>
                <w:p w14:paraId="6CA561A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高度(m)</w:t>
                  </w:r>
                </w:p>
              </w:tc>
              <w:tc>
                <w:tcPr>
                  <w:tcW w:w="1007" w:type="dxa"/>
                  <w:tcBorders>
                    <w:tl2br w:val="nil"/>
                    <w:tr2bl w:val="nil"/>
                  </w:tcBorders>
                  <w:vAlign w:val="center"/>
                </w:tcPr>
                <w:p w14:paraId="6A6044B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筒径(m)</w:t>
                  </w:r>
                </w:p>
              </w:tc>
            </w:tr>
            <w:tr w14:paraId="2AD4F9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restart"/>
                  <w:tcBorders>
                    <w:tl2br w:val="nil"/>
                    <w:tr2bl w:val="nil"/>
                  </w:tcBorders>
                  <w:vAlign w:val="center"/>
                </w:tcPr>
                <w:p w14:paraId="5FF6350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1#厂房</w:t>
                  </w:r>
                </w:p>
              </w:tc>
              <w:tc>
                <w:tcPr>
                  <w:tcW w:w="1462" w:type="dxa"/>
                  <w:tcBorders>
                    <w:tl2br w:val="nil"/>
                    <w:tr2bl w:val="nil"/>
                  </w:tcBorders>
                  <w:vAlign w:val="center"/>
                </w:tcPr>
                <w:p w14:paraId="55C1D36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熔化废气</w:t>
                  </w:r>
                </w:p>
              </w:tc>
              <w:tc>
                <w:tcPr>
                  <w:tcW w:w="1504" w:type="dxa"/>
                  <w:tcBorders>
                    <w:tl2br w:val="nil"/>
                    <w:tr2bl w:val="nil"/>
                  </w:tcBorders>
                  <w:vAlign w:val="center"/>
                </w:tcPr>
                <w:p w14:paraId="71F8F32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集气罩收集</w:t>
                  </w:r>
                </w:p>
              </w:tc>
              <w:tc>
                <w:tcPr>
                  <w:tcW w:w="900" w:type="dxa"/>
                  <w:tcBorders>
                    <w:tl2br w:val="nil"/>
                    <w:tr2bl w:val="nil"/>
                  </w:tcBorders>
                  <w:vAlign w:val="center"/>
                </w:tcPr>
                <w:p w14:paraId="79CEA21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1605" w:type="dxa"/>
                  <w:vMerge w:val="restart"/>
                  <w:tcBorders>
                    <w:tl2br w:val="nil"/>
                    <w:tr2bl w:val="nil"/>
                  </w:tcBorders>
                  <w:vAlign w:val="center"/>
                </w:tcPr>
                <w:p w14:paraId="100BC2A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袋式除尘器（</w:t>
                  </w:r>
                  <w:r>
                    <w:rPr>
                      <w:rFonts w:hint="default" w:ascii="Times New Roman" w:hAnsi="Times New Roman" w:eastAsia="Times New Roman" w:cs="Times New Roman"/>
                      <w:color w:val="auto"/>
                      <w:sz w:val="18"/>
                      <w:szCs w:val="18"/>
                    </w:rPr>
                    <w:t>TA001</w:t>
                  </w:r>
                  <w:r>
                    <w:rPr>
                      <w:rFonts w:hint="default" w:ascii="Times New Roman" w:hAnsi="Times New Roman" w:cs="Times New Roman"/>
                      <w:color w:val="auto"/>
                      <w:sz w:val="18"/>
                      <w:szCs w:val="18"/>
                    </w:rPr>
                    <w:t>）</w:t>
                  </w:r>
                </w:p>
              </w:tc>
              <w:tc>
                <w:tcPr>
                  <w:tcW w:w="714" w:type="dxa"/>
                  <w:vMerge w:val="restart"/>
                  <w:tcBorders>
                    <w:tl2br w:val="nil"/>
                    <w:tr2bl w:val="nil"/>
                  </w:tcBorders>
                  <w:vAlign w:val="center"/>
                </w:tcPr>
                <w:p w14:paraId="15BCAB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DA001</w:t>
                  </w:r>
                </w:p>
              </w:tc>
              <w:tc>
                <w:tcPr>
                  <w:tcW w:w="728" w:type="dxa"/>
                  <w:vMerge w:val="restart"/>
                  <w:tcBorders>
                    <w:tl2br w:val="nil"/>
                    <w:tr2bl w:val="nil"/>
                  </w:tcBorders>
                  <w:vAlign w:val="center"/>
                </w:tcPr>
                <w:p w14:paraId="202433E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007" w:type="dxa"/>
                  <w:vMerge w:val="restart"/>
                  <w:tcBorders>
                    <w:tl2br w:val="nil"/>
                    <w:tr2bl w:val="nil"/>
                  </w:tcBorders>
                  <w:vAlign w:val="center"/>
                </w:tcPr>
                <w:p w14:paraId="7B3E7CB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r>
            <w:tr w14:paraId="4C348F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138D6EE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0A3683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熔模浇注、粘土砂浇注废气</w:t>
                  </w:r>
                </w:p>
              </w:tc>
              <w:tc>
                <w:tcPr>
                  <w:tcW w:w="1504" w:type="dxa"/>
                  <w:tcBorders>
                    <w:tl2br w:val="nil"/>
                    <w:tr2bl w:val="nil"/>
                  </w:tcBorders>
                  <w:shd w:val="clear" w:color="auto" w:fill="auto"/>
                  <w:vAlign w:val="center"/>
                </w:tcPr>
                <w:p w14:paraId="5DFF32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集气罩收集</w:t>
                  </w:r>
                </w:p>
              </w:tc>
              <w:tc>
                <w:tcPr>
                  <w:tcW w:w="900" w:type="dxa"/>
                  <w:tcBorders>
                    <w:tl2br w:val="nil"/>
                    <w:tr2bl w:val="nil"/>
                  </w:tcBorders>
                  <w:shd w:val="clear" w:color="auto" w:fill="auto"/>
                  <w:vAlign w:val="center"/>
                </w:tcPr>
                <w:p w14:paraId="1D0D1F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80%</w:t>
                  </w:r>
                </w:p>
              </w:tc>
              <w:tc>
                <w:tcPr>
                  <w:tcW w:w="1605" w:type="dxa"/>
                  <w:vMerge w:val="continue"/>
                  <w:tcBorders>
                    <w:tl2br w:val="nil"/>
                    <w:tr2bl w:val="nil"/>
                  </w:tcBorders>
                  <w:vAlign w:val="center"/>
                </w:tcPr>
                <w:p w14:paraId="4E20C8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14" w:type="dxa"/>
                  <w:vMerge w:val="continue"/>
                  <w:tcBorders>
                    <w:tl2br w:val="nil"/>
                    <w:tr2bl w:val="nil"/>
                  </w:tcBorders>
                  <w:vAlign w:val="center"/>
                </w:tcPr>
                <w:p w14:paraId="63ECBE5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28" w:type="dxa"/>
                  <w:vMerge w:val="continue"/>
                  <w:tcBorders>
                    <w:tl2br w:val="nil"/>
                    <w:tr2bl w:val="nil"/>
                  </w:tcBorders>
                  <w:vAlign w:val="center"/>
                </w:tcPr>
                <w:p w14:paraId="516E6C5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6580AC6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r>
            <w:tr w14:paraId="58995E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0D75D0BE">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13785DB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制芯废气</w:t>
                  </w:r>
                </w:p>
              </w:tc>
              <w:tc>
                <w:tcPr>
                  <w:tcW w:w="1504" w:type="dxa"/>
                  <w:tcBorders>
                    <w:tl2br w:val="nil"/>
                    <w:tr2bl w:val="nil"/>
                  </w:tcBorders>
                  <w:vAlign w:val="center"/>
                </w:tcPr>
                <w:p w14:paraId="790FA9B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热芯盒制芯：集气罩收集；冷芯盒制芯：封闭设</w:t>
                  </w:r>
                  <w:r>
                    <w:rPr>
                      <w:rFonts w:hint="default" w:ascii="Times New Roman" w:hAnsi="Times New Roman" w:cs="Times New Roman"/>
                      <w:color w:val="auto"/>
                      <w:w w:val="100"/>
                      <w:sz w:val="18"/>
                      <w:szCs w:val="18"/>
                    </w:rPr>
                    <w:t>备</w:t>
                  </w:r>
                </w:p>
              </w:tc>
              <w:tc>
                <w:tcPr>
                  <w:tcW w:w="900" w:type="dxa"/>
                  <w:tcBorders>
                    <w:tl2br w:val="nil"/>
                    <w:tr2bl w:val="nil"/>
                  </w:tcBorders>
                  <w:vAlign w:val="center"/>
                </w:tcPr>
                <w:p w14:paraId="288A320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eastAsia" w:eastAsia="宋体" w:cs="Times New Roman"/>
                      <w:color w:val="auto"/>
                      <w:sz w:val="18"/>
                      <w:szCs w:val="18"/>
                      <w:lang w:val="en-US" w:eastAsia="zh-CN"/>
                    </w:rPr>
                    <w:t>9</w:t>
                  </w:r>
                  <w:r>
                    <w:rPr>
                      <w:rFonts w:hint="default" w:ascii="Times New Roman" w:hAnsi="Times New Roman" w:eastAsia="Times New Roman" w:cs="Times New Roman"/>
                      <w:color w:val="auto"/>
                      <w:sz w:val="18"/>
                      <w:szCs w:val="18"/>
                    </w:rPr>
                    <w:t>0%</w:t>
                  </w:r>
                  <w:r>
                    <w:rPr>
                      <w:rFonts w:hint="default" w:ascii="Times New Roman" w:hAnsi="Times New Roman" w:cs="Times New Roman"/>
                      <w:color w:val="auto"/>
                      <w:sz w:val="18"/>
                      <w:szCs w:val="18"/>
                    </w:rPr>
                    <w:t>（热芯盒）</w:t>
                  </w:r>
                  <w:r>
                    <w:rPr>
                      <w:rFonts w:hint="default" w:ascii="Times New Roman" w:hAnsi="Times New Roman" w:eastAsia="Times New Roman" w:cs="Times New Roman"/>
                      <w:color w:val="auto"/>
                      <w:sz w:val="18"/>
                      <w:szCs w:val="18"/>
                    </w:rPr>
                    <w:t>100%</w:t>
                  </w:r>
                  <w:r>
                    <w:rPr>
                      <w:rFonts w:hint="default" w:ascii="Times New Roman" w:hAnsi="Times New Roman" w:cs="Times New Roman"/>
                      <w:color w:val="auto"/>
                      <w:sz w:val="18"/>
                      <w:szCs w:val="18"/>
                    </w:rPr>
                    <w:t>（冷芯盒）</w:t>
                  </w:r>
                </w:p>
              </w:tc>
              <w:tc>
                <w:tcPr>
                  <w:tcW w:w="1605" w:type="dxa"/>
                  <w:vMerge w:val="restart"/>
                  <w:tcBorders>
                    <w:tl2br w:val="nil"/>
                    <w:tr2bl w:val="nil"/>
                  </w:tcBorders>
                  <w:vAlign w:val="center"/>
                </w:tcPr>
                <w:p w14:paraId="4ED60E7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袋式除尘器</w:t>
                  </w:r>
                  <w:r>
                    <w:rPr>
                      <w:rFonts w:hint="default" w:ascii="Times New Roman" w:hAnsi="Times New Roman" w:eastAsia="Times New Roman" w:cs="Times New Roman"/>
                      <w:color w:val="auto"/>
                      <w:sz w:val="18"/>
                      <w:szCs w:val="18"/>
                    </w:rPr>
                    <w:t>+</w:t>
                  </w:r>
                  <w:r>
                    <w:rPr>
                      <w:rFonts w:hint="default" w:ascii="Times New Roman" w:hAnsi="Times New Roman" w:eastAsia="Times New Roman" w:cs="Times New Roman"/>
                      <w:color w:val="auto"/>
                      <w:spacing w:val="-50"/>
                      <w:sz w:val="18"/>
                      <w:szCs w:val="18"/>
                    </w:rPr>
                    <w:t xml:space="preserve"> </w:t>
                  </w:r>
                  <w:r>
                    <w:rPr>
                      <w:rFonts w:hint="default" w:ascii="Times New Roman" w:hAnsi="Times New Roman" w:cs="Times New Roman"/>
                      <w:color w:val="auto"/>
                      <w:sz w:val="18"/>
                      <w:szCs w:val="18"/>
                    </w:rPr>
                    <w:t>活性炭吸附（</w:t>
                  </w:r>
                  <w:r>
                    <w:rPr>
                      <w:rFonts w:hint="default" w:ascii="Times New Roman" w:hAnsi="Times New Roman" w:eastAsia="Times New Roman" w:cs="Times New Roman"/>
                      <w:color w:val="auto"/>
                      <w:sz w:val="18"/>
                      <w:szCs w:val="18"/>
                    </w:rPr>
                    <w:t>TA002</w:t>
                  </w:r>
                  <w:r>
                    <w:rPr>
                      <w:rFonts w:hint="default" w:ascii="Times New Roman" w:hAnsi="Times New Roman" w:cs="Times New Roman"/>
                      <w:color w:val="auto"/>
                      <w:sz w:val="18"/>
                      <w:szCs w:val="18"/>
                    </w:rPr>
                    <w:t>）</w:t>
                  </w:r>
                </w:p>
              </w:tc>
              <w:tc>
                <w:tcPr>
                  <w:tcW w:w="714" w:type="dxa"/>
                  <w:vMerge w:val="restart"/>
                  <w:tcBorders>
                    <w:tl2br w:val="nil"/>
                    <w:tr2bl w:val="nil"/>
                  </w:tcBorders>
                  <w:vAlign w:val="center"/>
                </w:tcPr>
                <w:p w14:paraId="4FD4C4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DA002</w:t>
                  </w:r>
                </w:p>
              </w:tc>
              <w:tc>
                <w:tcPr>
                  <w:tcW w:w="728" w:type="dxa"/>
                  <w:vMerge w:val="restart"/>
                  <w:tcBorders>
                    <w:tl2br w:val="nil"/>
                    <w:tr2bl w:val="nil"/>
                  </w:tcBorders>
                  <w:vAlign w:val="center"/>
                </w:tcPr>
                <w:p w14:paraId="4AA04D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007" w:type="dxa"/>
                  <w:vMerge w:val="restart"/>
                  <w:tcBorders>
                    <w:tl2br w:val="nil"/>
                    <w:tr2bl w:val="nil"/>
                  </w:tcBorders>
                  <w:vAlign w:val="center"/>
                </w:tcPr>
                <w:p w14:paraId="4BA300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8</w:t>
                  </w:r>
                </w:p>
              </w:tc>
            </w:tr>
            <w:tr w14:paraId="5E2E0E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3833748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1CDDD81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树脂砂浇注</w:t>
                  </w:r>
                </w:p>
              </w:tc>
              <w:tc>
                <w:tcPr>
                  <w:tcW w:w="1504" w:type="dxa"/>
                  <w:tcBorders>
                    <w:tl2br w:val="nil"/>
                    <w:tr2bl w:val="nil"/>
                  </w:tcBorders>
                  <w:vAlign w:val="center"/>
                </w:tcPr>
                <w:p w14:paraId="437EB23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集气罩收集</w:t>
                  </w:r>
                </w:p>
              </w:tc>
              <w:tc>
                <w:tcPr>
                  <w:tcW w:w="900" w:type="dxa"/>
                  <w:tcBorders>
                    <w:tl2br w:val="nil"/>
                    <w:tr2bl w:val="nil"/>
                  </w:tcBorders>
                  <w:shd w:val="clear" w:color="auto" w:fill="auto"/>
                  <w:vAlign w:val="center"/>
                </w:tcPr>
                <w:p w14:paraId="29FDA68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80%</w:t>
                  </w:r>
                </w:p>
              </w:tc>
              <w:tc>
                <w:tcPr>
                  <w:tcW w:w="1605" w:type="dxa"/>
                  <w:vMerge w:val="continue"/>
                  <w:tcBorders>
                    <w:tl2br w:val="nil"/>
                    <w:tr2bl w:val="nil"/>
                  </w:tcBorders>
                  <w:vAlign w:val="center"/>
                </w:tcPr>
                <w:p w14:paraId="647021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rPr>
                  </w:pPr>
                </w:p>
              </w:tc>
              <w:tc>
                <w:tcPr>
                  <w:tcW w:w="714" w:type="dxa"/>
                  <w:vMerge w:val="continue"/>
                  <w:tcBorders>
                    <w:tl2br w:val="nil"/>
                    <w:tr2bl w:val="nil"/>
                  </w:tcBorders>
                  <w:vAlign w:val="center"/>
                </w:tcPr>
                <w:p w14:paraId="6998F99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28" w:type="dxa"/>
                  <w:vMerge w:val="continue"/>
                  <w:tcBorders>
                    <w:tl2br w:val="nil"/>
                    <w:tr2bl w:val="nil"/>
                  </w:tcBorders>
                  <w:vAlign w:val="center"/>
                </w:tcPr>
                <w:p w14:paraId="31A9788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4D3D7BA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r>
            <w:tr w14:paraId="7BD8B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120B88EC">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26E4E96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树脂砂造型</w:t>
                  </w:r>
                </w:p>
              </w:tc>
              <w:tc>
                <w:tcPr>
                  <w:tcW w:w="1504" w:type="dxa"/>
                  <w:tcBorders>
                    <w:tl2br w:val="nil"/>
                    <w:tr2bl w:val="nil"/>
                  </w:tcBorders>
                  <w:vAlign w:val="center"/>
                </w:tcPr>
                <w:p w14:paraId="2F5ACC9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集气罩收集</w:t>
                  </w:r>
                </w:p>
              </w:tc>
              <w:tc>
                <w:tcPr>
                  <w:tcW w:w="900" w:type="dxa"/>
                  <w:tcBorders>
                    <w:tl2br w:val="nil"/>
                    <w:tr2bl w:val="nil"/>
                  </w:tcBorders>
                  <w:shd w:val="clear" w:color="auto" w:fill="auto"/>
                  <w:vAlign w:val="center"/>
                </w:tcPr>
                <w:p w14:paraId="4F279EC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80%</w:t>
                  </w:r>
                </w:p>
              </w:tc>
              <w:tc>
                <w:tcPr>
                  <w:tcW w:w="1605" w:type="dxa"/>
                  <w:vMerge w:val="continue"/>
                  <w:tcBorders>
                    <w:tl2br w:val="nil"/>
                    <w:tr2bl w:val="nil"/>
                  </w:tcBorders>
                  <w:vAlign w:val="center"/>
                </w:tcPr>
                <w:p w14:paraId="160C540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rPr>
                  </w:pPr>
                </w:p>
              </w:tc>
              <w:tc>
                <w:tcPr>
                  <w:tcW w:w="714" w:type="dxa"/>
                  <w:vMerge w:val="continue"/>
                  <w:tcBorders>
                    <w:tl2br w:val="nil"/>
                    <w:tr2bl w:val="nil"/>
                  </w:tcBorders>
                  <w:vAlign w:val="center"/>
                </w:tcPr>
                <w:p w14:paraId="5BC7726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28" w:type="dxa"/>
                  <w:vMerge w:val="continue"/>
                  <w:tcBorders>
                    <w:tl2br w:val="nil"/>
                    <w:tr2bl w:val="nil"/>
                  </w:tcBorders>
                  <w:vAlign w:val="center"/>
                </w:tcPr>
                <w:p w14:paraId="075809E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3E7F85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r>
            <w:tr w14:paraId="0E4C6B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0A25F0D7">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22795AF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蜡模组树</w:t>
                  </w:r>
                </w:p>
              </w:tc>
              <w:tc>
                <w:tcPr>
                  <w:tcW w:w="1504" w:type="dxa"/>
                  <w:tcBorders>
                    <w:tl2br w:val="nil"/>
                    <w:tr2bl w:val="nil"/>
                  </w:tcBorders>
                  <w:shd w:val="clear" w:color="auto" w:fill="auto"/>
                  <w:vAlign w:val="center"/>
                </w:tcPr>
                <w:p w14:paraId="71AF781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集气罩收集</w:t>
                  </w:r>
                </w:p>
              </w:tc>
              <w:tc>
                <w:tcPr>
                  <w:tcW w:w="900" w:type="dxa"/>
                  <w:tcBorders>
                    <w:tl2br w:val="nil"/>
                    <w:tr2bl w:val="nil"/>
                  </w:tcBorders>
                  <w:shd w:val="clear" w:color="auto" w:fill="auto"/>
                  <w:vAlign w:val="center"/>
                </w:tcPr>
                <w:p w14:paraId="591A5FA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80%</w:t>
                  </w:r>
                </w:p>
              </w:tc>
              <w:tc>
                <w:tcPr>
                  <w:tcW w:w="1605" w:type="dxa"/>
                  <w:tcBorders>
                    <w:tl2br w:val="nil"/>
                    <w:tr2bl w:val="nil"/>
                  </w:tcBorders>
                  <w:vAlign w:val="center"/>
                </w:tcPr>
                <w:p w14:paraId="0493076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lang w:val="en-US" w:eastAsia="zh-CN"/>
                    </w:rPr>
                    <w:t>活性炭吸附（TA003）</w:t>
                  </w:r>
                </w:p>
              </w:tc>
              <w:tc>
                <w:tcPr>
                  <w:tcW w:w="714" w:type="dxa"/>
                  <w:tcBorders>
                    <w:tl2br w:val="nil"/>
                    <w:tr2bl w:val="nil"/>
                  </w:tcBorders>
                  <w:vAlign w:val="center"/>
                </w:tcPr>
                <w:p w14:paraId="2139A4A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DA003</w:t>
                  </w:r>
                </w:p>
              </w:tc>
              <w:tc>
                <w:tcPr>
                  <w:tcW w:w="728" w:type="dxa"/>
                  <w:tcBorders>
                    <w:tl2br w:val="nil"/>
                    <w:tr2bl w:val="nil"/>
                  </w:tcBorders>
                  <w:shd w:val="clear" w:color="auto" w:fill="auto"/>
                  <w:vAlign w:val="center"/>
                </w:tcPr>
                <w:p w14:paraId="08687EA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15</w:t>
                  </w:r>
                </w:p>
              </w:tc>
              <w:tc>
                <w:tcPr>
                  <w:tcW w:w="1007" w:type="dxa"/>
                  <w:tcBorders>
                    <w:tl2br w:val="nil"/>
                    <w:tr2bl w:val="nil"/>
                  </w:tcBorders>
                  <w:shd w:val="clear" w:color="auto" w:fill="auto"/>
                  <w:vAlign w:val="center"/>
                </w:tcPr>
                <w:p w14:paraId="7DCB96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3</w:t>
                  </w:r>
                </w:p>
              </w:tc>
            </w:tr>
            <w:tr w14:paraId="389CC7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4091E725">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085C2A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脱蜡</w:t>
                  </w:r>
                </w:p>
              </w:tc>
              <w:tc>
                <w:tcPr>
                  <w:tcW w:w="1504" w:type="dxa"/>
                  <w:tcBorders>
                    <w:tl2br w:val="nil"/>
                    <w:tr2bl w:val="nil"/>
                  </w:tcBorders>
                  <w:vAlign w:val="center"/>
                </w:tcPr>
                <w:p w14:paraId="79B340A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设备密闭</w:t>
                  </w:r>
                </w:p>
              </w:tc>
              <w:tc>
                <w:tcPr>
                  <w:tcW w:w="900" w:type="dxa"/>
                  <w:tcBorders>
                    <w:tl2br w:val="nil"/>
                    <w:tr2bl w:val="nil"/>
                  </w:tcBorders>
                  <w:vAlign w:val="center"/>
                </w:tcPr>
                <w:p w14:paraId="12B9B19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10</w:t>
                  </w:r>
                  <w:r>
                    <w:rPr>
                      <w:rFonts w:hint="default" w:ascii="Times New Roman" w:hAnsi="Times New Roman" w:cs="Times New Roman"/>
                      <w:color w:val="auto"/>
                      <w:sz w:val="18"/>
                      <w:szCs w:val="18"/>
                    </w:rPr>
                    <w:t>0%</w:t>
                  </w:r>
                </w:p>
              </w:tc>
              <w:tc>
                <w:tcPr>
                  <w:tcW w:w="1605" w:type="dxa"/>
                  <w:vMerge w:val="restart"/>
                  <w:tcBorders>
                    <w:tl2br w:val="nil"/>
                    <w:tr2bl w:val="nil"/>
                  </w:tcBorders>
                  <w:shd w:val="clear" w:color="auto" w:fill="auto"/>
                  <w:vAlign w:val="center"/>
                </w:tcPr>
                <w:p w14:paraId="02929D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pacing w:val="0"/>
                      <w:sz w:val="18"/>
                      <w:szCs w:val="18"/>
                      <w:lang w:val="en-US" w:eastAsia="zh-CN"/>
                    </w:rPr>
                    <w:t>水喷淋</w:t>
                  </w:r>
                  <w:r>
                    <w:rPr>
                      <w:rFonts w:hint="default" w:ascii="Times New Roman" w:hAnsi="Times New Roman" w:eastAsia="Times New Roman" w:cs="Times New Roman"/>
                      <w:color w:val="auto"/>
                      <w:spacing w:val="0"/>
                      <w:sz w:val="18"/>
                      <w:szCs w:val="18"/>
                    </w:rPr>
                    <w:t>+</w:t>
                  </w:r>
                  <w:r>
                    <w:rPr>
                      <w:rFonts w:hint="eastAsia" w:eastAsia="宋体" w:cs="Times New Roman"/>
                      <w:color w:val="auto"/>
                      <w:spacing w:val="0"/>
                      <w:sz w:val="18"/>
                      <w:szCs w:val="18"/>
                      <w:lang w:val="en-US" w:eastAsia="zh-CN"/>
                    </w:rPr>
                    <w:t>干式过滤器+</w:t>
                  </w:r>
                  <w:r>
                    <w:rPr>
                      <w:rFonts w:hint="default" w:ascii="Times New Roman" w:hAnsi="Times New Roman" w:cs="Times New Roman"/>
                      <w:color w:val="auto"/>
                      <w:spacing w:val="0"/>
                      <w:sz w:val="18"/>
                      <w:szCs w:val="18"/>
                    </w:rPr>
                    <w:t>活性炭吸附（</w:t>
                  </w:r>
                  <w:r>
                    <w:rPr>
                      <w:rFonts w:hint="default" w:ascii="Times New Roman" w:hAnsi="Times New Roman" w:eastAsia="Times New Roman" w:cs="Times New Roman"/>
                      <w:color w:val="auto"/>
                      <w:spacing w:val="0"/>
                      <w:sz w:val="18"/>
                      <w:szCs w:val="18"/>
                    </w:rPr>
                    <w:t>TA00</w:t>
                  </w:r>
                  <w:r>
                    <w:rPr>
                      <w:rFonts w:hint="default" w:ascii="Times New Roman" w:hAnsi="Times New Roman" w:cs="Times New Roman"/>
                      <w:color w:val="auto"/>
                      <w:spacing w:val="0"/>
                      <w:sz w:val="18"/>
                      <w:szCs w:val="18"/>
                      <w:lang w:val="en-US" w:eastAsia="zh-CN"/>
                    </w:rPr>
                    <w:t>4</w:t>
                  </w:r>
                  <w:r>
                    <w:rPr>
                      <w:rFonts w:hint="default" w:ascii="Times New Roman" w:hAnsi="Times New Roman" w:cs="Times New Roman"/>
                      <w:color w:val="auto"/>
                      <w:spacing w:val="0"/>
                      <w:sz w:val="18"/>
                      <w:szCs w:val="18"/>
                    </w:rPr>
                    <w:t>）</w:t>
                  </w:r>
                </w:p>
              </w:tc>
              <w:tc>
                <w:tcPr>
                  <w:tcW w:w="714" w:type="dxa"/>
                  <w:vMerge w:val="restart"/>
                  <w:tcBorders>
                    <w:tl2br w:val="nil"/>
                    <w:tr2bl w:val="nil"/>
                  </w:tcBorders>
                  <w:shd w:val="clear" w:color="auto" w:fill="auto"/>
                  <w:vAlign w:val="center"/>
                </w:tcPr>
                <w:p w14:paraId="22F0FA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lang w:val="en-US" w:eastAsia="zh-CN"/>
                    </w:rPr>
                    <w:t>DA004</w:t>
                  </w:r>
                </w:p>
              </w:tc>
              <w:tc>
                <w:tcPr>
                  <w:tcW w:w="728" w:type="dxa"/>
                  <w:vMerge w:val="restart"/>
                  <w:tcBorders>
                    <w:tl2br w:val="nil"/>
                    <w:tr2bl w:val="nil"/>
                  </w:tcBorders>
                  <w:shd w:val="clear" w:color="auto" w:fill="auto"/>
                  <w:vAlign w:val="center"/>
                </w:tcPr>
                <w:p w14:paraId="5FD0DD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15</w:t>
                  </w:r>
                </w:p>
              </w:tc>
              <w:tc>
                <w:tcPr>
                  <w:tcW w:w="1007" w:type="dxa"/>
                  <w:vMerge w:val="restart"/>
                  <w:tcBorders>
                    <w:tl2br w:val="nil"/>
                    <w:tr2bl w:val="nil"/>
                  </w:tcBorders>
                  <w:shd w:val="clear" w:color="auto" w:fill="auto"/>
                  <w:vAlign w:val="center"/>
                </w:tcPr>
                <w:p w14:paraId="0CC794F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lang w:val="en-US" w:eastAsia="zh-CN"/>
                    </w:rPr>
                    <w:t>3</w:t>
                  </w:r>
                </w:p>
              </w:tc>
            </w:tr>
            <w:tr w14:paraId="05E5C0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5495CB6A">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5D2359C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型壳焙烧</w:t>
                  </w:r>
                </w:p>
              </w:tc>
              <w:tc>
                <w:tcPr>
                  <w:tcW w:w="1504" w:type="dxa"/>
                  <w:tcBorders>
                    <w:tl2br w:val="nil"/>
                    <w:tr2bl w:val="nil"/>
                  </w:tcBorders>
                  <w:vAlign w:val="center"/>
                </w:tcPr>
                <w:p w14:paraId="5AA2663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设备密闭</w:t>
                  </w:r>
                </w:p>
              </w:tc>
              <w:tc>
                <w:tcPr>
                  <w:tcW w:w="900" w:type="dxa"/>
                  <w:tcBorders>
                    <w:tl2br w:val="nil"/>
                    <w:tr2bl w:val="nil"/>
                  </w:tcBorders>
                  <w:vAlign w:val="center"/>
                </w:tcPr>
                <w:p w14:paraId="5EC6002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10</w:t>
                  </w:r>
                  <w:r>
                    <w:rPr>
                      <w:rFonts w:hint="default" w:ascii="Times New Roman" w:hAnsi="Times New Roman" w:cs="Times New Roman"/>
                      <w:color w:val="auto"/>
                      <w:sz w:val="18"/>
                      <w:szCs w:val="18"/>
                    </w:rPr>
                    <w:t>0%</w:t>
                  </w:r>
                </w:p>
              </w:tc>
              <w:tc>
                <w:tcPr>
                  <w:tcW w:w="1605" w:type="dxa"/>
                  <w:vMerge w:val="continue"/>
                  <w:tcBorders>
                    <w:tl2br w:val="nil"/>
                    <w:tr2bl w:val="nil"/>
                  </w:tcBorders>
                  <w:vAlign w:val="center"/>
                </w:tcPr>
                <w:p w14:paraId="3F6D2DE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14" w:type="dxa"/>
                  <w:vMerge w:val="continue"/>
                  <w:tcBorders>
                    <w:tl2br w:val="nil"/>
                    <w:tr2bl w:val="nil"/>
                  </w:tcBorders>
                  <w:vAlign w:val="center"/>
                </w:tcPr>
                <w:p w14:paraId="3C13CF2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28" w:type="dxa"/>
                  <w:vMerge w:val="continue"/>
                  <w:tcBorders>
                    <w:tl2br w:val="nil"/>
                    <w:tr2bl w:val="nil"/>
                  </w:tcBorders>
                  <w:vAlign w:val="center"/>
                </w:tcPr>
                <w:p w14:paraId="2087FB3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13A6943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r>
            <w:tr w14:paraId="4A01BB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55ACF346">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shd w:val="clear" w:color="auto" w:fill="auto"/>
                  <w:vAlign w:val="center"/>
                </w:tcPr>
                <w:p w14:paraId="49328E6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落砂、砂再生废气</w:t>
                  </w:r>
                </w:p>
              </w:tc>
              <w:tc>
                <w:tcPr>
                  <w:tcW w:w="1504" w:type="dxa"/>
                  <w:tcBorders>
                    <w:tl2br w:val="nil"/>
                    <w:tr2bl w:val="nil"/>
                  </w:tcBorders>
                  <w:shd w:val="clear" w:color="auto" w:fill="auto"/>
                  <w:vAlign w:val="center"/>
                </w:tcPr>
                <w:p w14:paraId="674C238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包围式集尘设施</w:t>
                  </w:r>
                </w:p>
              </w:tc>
              <w:tc>
                <w:tcPr>
                  <w:tcW w:w="900" w:type="dxa"/>
                  <w:tcBorders>
                    <w:tl2br w:val="nil"/>
                    <w:tr2bl w:val="nil"/>
                  </w:tcBorders>
                  <w:shd w:val="clear" w:color="auto" w:fill="auto"/>
                  <w:vAlign w:val="center"/>
                </w:tcPr>
                <w:p w14:paraId="77CF2F8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100%</w:t>
                  </w:r>
                </w:p>
              </w:tc>
              <w:tc>
                <w:tcPr>
                  <w:tcW w:w="1605" w:type="dxa"/>
                  <w:vMerge w:val="restart"/>
                  <w:tcBorders>
                    <w:tl2br w:val="nil"/>
                    <w:tr2bl w:val="nil"/>
                  </w:tcBorders>
                  <w:shd w:val="clear" w:color="auto" w:fill="auto"/>
                  <w:vAlign w:val="center"/>
                </w:tcPr>
                <w:p w14:paraId="2234347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袋式除尘器（</w:t>
                  </w:r>
                  <w:r>
                    <w:rPr>
                      <w:rFonts w:hint="default" w:ascii="Times New Roman" w:hAnsi="Times New Roman" w:eastAsia="Times New Roman" w:cs="Times New Roman"/>
                      <w:color w:val="auto"/>
                      <w:sz w:val="18"/>
                      <w:szCs w:val="18"/>
                    </w:rPr>
                    <w:t>TA00</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w:t>
                  </w:r>
                </w:p>
              </w:tc>
              <w:tc>
                <w:tcPr>
                  <w:tcW w:w="714" w:type="dxa"/>
                  <w:vMerge w:val="restart"/>
                  <w:tcBorders>
                    <w:tl2br w:val="nil"/>
                    <w:tr2bl w:val="nil"/>
                  </w:tcBorders>
                  <w:shd w:val="clear" w:color="auto" w:fill="auto"/>
                  <w:vAlign w:val="center"/>
                </w:tcPr>
                <w:p w14:paraId="20D0F55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DA00</w:t>
                  </w:r>
                  <w:r>
                    <w:rPr>
                      <w:rFonts w:hint="default" w:ascii="Times New Roman" w:hAnsi="Times New Roman" w:cs="Times New Roman"/>
                      <w:color w:val="auto"/>
                      <w:sz w:val="18"/>
                      <w:szCs w:val="18"/>
                      <w:lang w:val="en-US" w:eastAsia="zh-CN"/>
                    </w:rPr>
                    <w:t>5</w:t>
                  </w:r>
                </w:p>
              </w:tc>
              <w:tc>
                <w:tcPr>
                  <w:tcW w:w="728" w:type="dxa"/>
                  <w:vMerge w:val="restart"/>
                  <w:tcBorders>
                    <w:tl2br w:val="nil"/>
                    <w:tr2bl w:val="nil"/>
                  </w:tcBorders>
                  <w:shd w:val="clear" w:color="auto" w:fill="auto"/>
                  <w:vAlign w:val="center"/>
                </w:tcPr>
                <w:p w14:paraId="790DFF5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15</w:t>
                  </w:r>
                </w:p>
              </w:tc>
              <w:tc>
                <w:tcPr>
                  <w:tcW w:w="1007" w:type="dxa"/>
                  <w:vMerge w:val="restart"/>
                  <w:tcBorders>
                    <w:tl2br w:val="nil"/>
                    <w:tr2bl w:val="nil"/>
                  </w:tcBorders>
                  <w:shd w:val="clear" w:color="auto" w:fill="auto"/>
                  <w:vAlign w:val="center"/>
                </w:tcPr>
                <w:p w14:paraId="50F0028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rPr>
                    <w:t>1.0</w:t>
                  </w:r>
                </w:p>
              </w:tc>
            </w:tr>
            <w:tr w14:paraId="7A2675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21B76602">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shd w:val="clear" w:color="auto" w:fill="auto"/>
                  <w:vAlign w:val="center"/>
                </w:tcPr>
                <w:p w14:paraId="3C55B0C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粘土砂造型废气</w:t>
                  </w:r>
                </w:p>
              </w:tc>
              <w:tc>
                <w:tcPr>
                  <w:tcW w:w="1504" w:type="dxa"/>
                  <w:tcBorders>
                    <w:tl2br w:val="nil"/>
                    <w:tr2bl w:val="nil"/>
                  </w:tcBorders>
                  <w:shd w:val="clear" w:color="auto" w:fill="auto"/>
                  <w:vAlign w:val="center"/>
                </w:tcPr>
                <w:p w14:paraId="16C3699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集气罩收集</w:t>
                  </w:r>
                </w:p>
              </w:tc>
              <w:tc>
                <w:tcPr>
                  <w:tcW w:w="900" w:type="dxa"/>
                  <w:tcBorders>
                    <w:tl2br w:val="nil"/>
                    <w:tr2bl w:val="nil"/>
                  </w:tcBorders>
                  <w:shd w:val="clear" w:color="auto" w:fill="auto"/>
                  <w:vAlign w:val="center"/>
                </w:tcPr>
                <w:p w14:paraId="5986E17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80%</w:t>
                  </w:r>
                </w:p>
              </w:tc>
              <w:tc>
                <w:tcPr>
                  <w:tcW w:w="1605" w:type="dxa"/>
                  <w:vMerge w:val="continue"/>
                  <w:tcBorders>
                    <w:tl2br w:val="nil"/>
                    <w:tr2bl w:val="nil"/>
                  </w:tcBorders>
                  <w:shd w:val="clear" w:color="auto" w:fill="auto"/>
                  <w:vAlign w:val="center"/>
                </w:tcPr>
                <w:p w14:paraId="77FEBE7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p>
              </w:tc>
              <w:tc>
                <w:tcPr>
                  <w:tcW w:w="714" w:type="dxa"/>
                  <w:vMerge w:val="continue"/>
                  <w:tcBorders>
                    <w:tl2br w:val="nil"/>
                    <w:tr2bl w:val="nil"/>
                  </w:tcBorders>
                  <w:shd w:val="clear" w:color="auto" w:fill="auto"/>
                  <w:vAlign w:val="center"/>
                </w:tcPr>
                <w:p w14:paraId="5455D7E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p>
              </w:tc>
              <w:tc>
                <w:tcPr>
                  <w:tcW w:w="728" w:type="dxa"/>
                  <w:vMerge w:val="continue"/>
                  <w:tcBorders>
                    <w:tl2br w:val="nil"/>
                    <w:tr2bl w:val="nil"/>
                  </w:tcBorders>
                  <w:shd w:val="clear" w:color="auto" w:fill="auto"/>
                  <w:vAlign w:val="center"/>
                </w:tcPr>
                <w:p w14:paraId="525719D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shd w:val="clear" w:color="auto" w:fill="auto"/>
                  <w:vAlign w:val="center"/>
                </w:tcPr>
                <w:p w14:paraId="6D6956E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p>
              </w:tc>
            </w:tr>
            <w:tr w14:paraId="343CE2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4F8D1120">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73C0430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铸件抛丸清理</w:t>
                  </w:r>
                  <w:r>
                    <w:rPr>
                      <w:rFonts w:hint="eastAsia" w:cs="Times New Roman"/>
                      <w:color w:val="auto"/>
                      <w:sz w:val="18"/>
                      <w:szCs w:val="18"/>
                      <w:lang w:val="en-US" w:eastAsia="zh-CN"/>
                    </w:rPr>
                    <w:t>、</w:t>
                  </w:r>
                  <w:r>
                    <w:rPr>
                      <w:rFonts w:hint="default" w:ascii="Times New Roman" w:hAnsi="Times New Roman" w:cs="Times New Roman" w:eastAsiaTheme="minorEastAsia"/>
                      <w:color w:val="auto"/>
                      <w:sz w:val="18"/>
                      <w:szCs w:val="18"/>
                      <w:lang w:val="en-US" w:eastAsia="zh-CN"/>
                    </w:rPr>
                    <w:t>二次抛丸</w:t>
                  </w:r>
                </w:p>
              </w:tc>
              <w:tc>
                <w:tcPr>
                  <w:tcW w:w="1504" w:type="dxa"/>
                  <w:tcBorders>
                    <w:tl2br w:val="nil"/>
                    <w:tr2bl w:val="nil"/>
                  </w:tcBorders>
                  <w:vAlign w:val="center"/>
                </w:tcPr>
                <w:p w14:paraId="1B54877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设备密闭</w:t>
                  </w:r>
                </w:p>
              </w:tc>
              <w:tc>
                <w:tcPr>
                  <w:tcW w:w="900" w:type="dxa"/>
                  <w:tcBorders>
                    <w:tl2br w:val="nil"/>
                    <w:tr2bl w:val="nil"/>
                  </w:tcBorders>
                  <w:vAlign w:val="center"/>
                </w:tcPr>
                <w:p w14:paraId="1DF6D88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1605" w:type="dxa"/>
                  <w:tcBorders>
                    <w:tl2br w:val="nil"/>
                    <w:tr2bl w:val="nil"/>
                  </w:tcBorders>
                  <w:shd w:val="clear" w:color="auto" w:fill="auto"/>
                  <w:vAlign w:val="center"/>
                </w:tcPr>
                <w:p w14:paraId="113E2E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lang w:val="en-US" w:eastAsia="zh-CN"/>
                    </w:rPr>
                    <w:t>设备自带</w:t>
                  </w:r>
                  <w:r>
                    <w:rPr>
                      <w:rFonts w:hint="default" w:ascii="Times New Roman" w:hAnsi="Times New Roman" w:cs="Times New Roman"/>
                      <w:color w:val="auto"/>
                      <w:sz w:val="18"/>
                      <w:szCs w:val="18"/>
                    </w:rPr>
                    <w:t>袋式除尘器</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再合并1根排气筒排放</w:t>
                  </w:r>
                  <w:r>
                    <w:rPr>
                      <w:rFonts w:hint="default" w:ascii="Times New Roman" w:hAnsi="Times New Roman" w:cs="Times New Roman"/>
                      <w:color w:val="auto"/>
                      <w:sz w:val="18"/>
                      <w:szCs w:val="18"/>
                    </w:rPr>
                    <w:t>（</w:t>
                  </w:r>
                  <w:r>
                    <w:rPr>
                      <w:rFonts w:hint="default" w:ascii="Times New Roman" w:hAnsi="Times New Roman" w:eastAsia="Times New Roman" w:cs="Times New Roman"/>
                      <w:color w:val="auto"/>
                      <w:sz w:val="18"/>
                      <w:szCs w:val="18"/>
                    </w:rPr>
                    <w:t>TA00</w:t>
                  </w:r>
                  <w:r>
                    <w:rPr>
                      <w:rFonts w:hint="default" w:ascii="Times New Roman" w:hAnsi="Times New Roman" w:cs="Times New Roman"/>
                      <w:color w:val="auto"/>
                      <w:sz w:val="18"/>
                      <w:szCs w:val="18"/>
                      <w:lang w:val="en-US" w:eastAsia="zh-CN"/>
                    </w:rPr>
                    <w:t>6</w:t>
                  </w:r>
                  <w:r>
                    <w:rPr>
                      <w:rFonts w:hint="default" w:ascii="Times New Roman" w:hAnsi="Times New Roman" w:cs="Times New Roman"/>
                      <w:color w:val="auto"/>
                      <w:sz w:val="18"/>
                      <w:szCs w:val="18"/>
                    </w:rPr>
                    <w:t>）</w:t>
                  </w:r>
                </w:p>
              </w:tc>
              <w:tc>
                <w:tcPr>
                  <w:tcW w:w="714" w:type="dxa"/>
                  <w:tcBorders>
                    <w:tl2br w:val="nil"/>
                    <w:tr2bl w:val="nil"/>
                  </w:tcBorders>
                  <w:shd w:val="clear" w:color="auto" w:fill="auto"/>
                  <w:vAlign w:val="center"/>
                </w:tcPr>
                <w:p w14:paraId="74365AE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DA00</w:t>
                  </w:r>
                  <w:r>
                    <w:rPr>
                      <w:rFonts w:hint="default" w:ascii="Times New Roman" w:hAnsi="Times New Roman" w:cs="Times New Roman"/>
                      <w:color w:val="auto"/>
                      <w:sz w:val="18"/>
                      <w:szCs w:val="18"/>
                      <w:lang w:val="en-US" w:eastAsia="zh-CN"/>
                    </w:rPr>
                    <w:t>6</w:t>
                  </w:r>
                </w:p>
              </w:tc>
              <w:tc>
                <w:tcPr>
                  <w:tcW w:w="728" w:type="dxa"/>
                  <w:tcBorders>
                    <w:tl2br w:val="nil"/>
                    <w:tr2bl w:val="nil"/>
                  </w:tcBorders>
                  <w:shd w:val="clear" w:color="auto" w:fill="auto"/>
                  <w:vAlign w:val="center"/>
                </w:tcPr>
                <w:p w14:paraId="08E3AC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15</w:t>
                  </w:r>
                </w:p>
              </w:tc>
              <w:tc>
                <w:tcPr>
                  <w:tcW w:w="1007" w:type="dxa"/>
                  <w:tcBorders>
                    <w:tl2br w:val="nil"/>
                    <w:tr2bl w:val="nil"/>
                  </w:tcBorders>
                  <w:shd w:val="clear" w:color="auto" w:fill="auto"/>
                  <w:vAlign w:val="center"/>
                </w:tcPr>
                <w:p w14:paraId="2774E01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highlight w:val="none"/>
                      <w:lang w:val="en-US" w:eastAsia="zh-CN"/>
                    </w:rPr>
                    <w:t>0.</w:t>
                  </w:r>
                  <w:r>
                    <w:rPr>
                      <w:rFonts w:hint="eastAsia" w:cs="Times New Roman"/>
                      <w:color w:val="auto"/>
                      <w:sz w:val="18"/>
                      <w:szCs w:val="18"/>
                      <w:highlight w:val="none"/>
                      <w:lang w:val="en-US" w:eastAsia="zh-CN"/>
                    </w:rPr>
                    <w:t>8</w:t>
                  </w:r>
                </w:p>
              </w:tc>
            </w:tr>
            <w:tr w14:paraId="5AEDA4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295122BA">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15FBA1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熔模铸件退火废气</w:t>
                  </w:r>
                </w:p>
              </w:tc>
              <w:tc>
                <w:tcPr>
                  <w:tcW w:w="1504" w:type="dxa"/>
                  <w:tcBorders>
                    <w:tl2br w:val="nil"/>
                    <w:tr2bl w:val="nil"/>
                  </w:tcBorders>
                  <w:vAlign w:val="center"/>
                </w:tcPr>
                <w:p w14:paraId="4400A4C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设备密闭</w:t>
                  </w:r>
                </w:p>
              </w:tc>
              <w:tc>
                <w:tcPr>
                  <w:tcW w:w="900" w:type="dxa"/>
                  <w:tcBorders>
                    <w:tl2br w:val="nil"/>
                    <w:tr2bl w:val="nil"/>
                  </w:tcBorders>
                  <w:vAlign w:val="center"/>
                </w:tcPr>
                <w:p w14:paraId="1D3622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c>
                <w:tcPr>
                  <w:tcW w:w="1605" w:type="dxa"/>
                  <w:tcBorders>
                    <w:tl2br w:val="nil"/>
                    <w:tr2bl w:val="nil"/>
                  </w:tcBorders>
                  <w:vAlign w:val="center"/>
                </w:tcPr>
                <w:p w14:paraId="1F4A09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14" w:type="dxa"/>
                  <w:tcBorders>
                    <w:tl2br w:val="nil"/>
                    <w:tr2bl w:val="nil"/>
                  </w:tcBorders>
                  <w:shd w:val="clear" w:color="auto" w:fill="auto"/>
                  <w:vAlign w:val="center"/>
                </w:tcPr>
                <w:p w14:paraId="6007BE9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DA00</w:t>
                  </w:r>
                  <w:r>
                    <w:rPr>
                      <w:rFonts w:hint="eastAsia" w:cs="Times New Roman"/>
                      <w:color w:val="auto"/>
                      <w:sz w:val="18"/>
                      <w:szCs w:val="18"/>
                      <w:lang w:val="en-US" w:eastAsia="zh-CN"/>
                    </w:rPr>
                    <w:t>7</w:t>
                  </w:r>
                </w:p>
              </w:tc>
              <w:tc>
                <w:tcPr>
                  <w:tcW w:w="728" w:type="dxa"/>
                  <w:tcBorders>
                    <w:tl2br w:val="nil"/>
                    <w:tr2bl w:val="nil"/>
                  </w:tcBorders>
                  <w:shd w:val="clear" w:color="auto" w:fill="auto"/>
                  <w:vAlign w:val="center"/>
                </w:tcPr>
                <w:p w14:paraId="174BEC8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15</w:t>
                  </w:r>
                </w:p>
              </w:tc>
              <w:tc>
                <w:tcPr>
                  <w:tcW w:w="1007" w:type="dxa"/>
                  <w:tcBorders>
                    <w:tl2br w:val="nil"/>
                    <w:tr2bl w:val="nil"/>
                  </w:tcBorders>
                  <w:shd w:val="clear" w:color="auto" w:fill="auto"/>
                  <w:vAlign w:val="center"/>
                </w:tcPr>
                <w:p w14:paraId="2573E9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2</w:t>
                  </w:r>
                </w:p>
              </w:tc>
            </w:tr>
            <w:tr w14:paraId="68B9A2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2C756979">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3FFB36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喷粉废气</w:t>
                  </w:r>
                </w:p>
              </w:tc>
              <w:tc>
                <w:tcPr>
                  <w:tcW w:w="1504" w:type="dxa"/>
                  <w:tcBorders>
                    <w:tl2br w:val="nil"/>
                    <w:tr2bl w:val="nil"/>
                  </w:tcBorders>
                  <w:vAlign w:val="center"/>
                </w:tcPr>
                <w:p w14:paraId="7987FEA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喷粉房密闭，废气采用负压收集</w:t>
                  </w:r>
                </w:p>
              </w:tc>
              <w:tc>
                <w:tcPr>
                  <w:tcW w:w="900" w:type="dxa"/>
                  <w:tcBorders>
                    <w:tl2br w:val="nil"/>
                    <w:tr2bl w:val="nil"/>
                  </w:tcBorders>
                  <w:vAlign w:val="center"/>
                </w:tcPr>
                <w:p w14:paraId="7833AB5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highlight w:val="none"/>
                    </w:rPr>
                    <w:t>100%</w:t>
                  </w:r>
                </w:p>
              </w:tc>
              <w:tc>
                <w:tcPr>
                  <w:tcW w:w="1605" w:type="dxa"/>
                  <w:tcBorders>
                    <w:tl2br w:val="nil"/>
                    <w:tr2bl w:val="nil"/>
                  </w:tcBorders>
                  <w:vAlign w:val="center"/>
                </w:tcPr>
                <w:p w14:paraId="7DCED99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袋式除尘器（</w:t>
                  </w:r>
                  <w:r>
                    <w:rPr>
                      <w:rFonts w:hint="default" w:ascii="Times New Roman" w:hAnsi="Times New Roman" w:eastAsia="Times New Roman" w:cs="Times New Roman"/>
                      <w:color w:val="auto"/>
                      <w:sz w:val="18"/>
                      <w:szCs w:val="18"/>
                    </w:rPr>
                    <w:t>TA00</w:t>
                  </w:r>
                  <w:r>
                    <w:rPr>
                      <w:rFonts w:hint="eastAsia" w:eastAsia="宋体" w:cs="Times New Roman"/>
                      <w:color w:val="auto"/>
                      <w:sz w:val="18"/>
                      <w:szCs w:val="18"/>
                      <w:lang w:val="en-US" w:eastAsia="zh-CN"/>
                    </w:rPr>
                    <w:t>7</w:t>
                  </w:r>
                  <w:r>
                    <w:rPr>
                      <w:rFonts w:hint="default" w:ascii="Times New Roman" w:hAnsi="Times New Roman" w:cs="Times New Roman"/>
                      <w:color w:val="auto"/>
                      <w:sz w:val="18"/>
                      <w:szCs w:val="18"/>
                    </w:rPr>
                    <w:t>）</w:t>
                  </w:r>
                </w:p>
              </w:tc>
              <w:tc>
                <w:tcPr>
                  <w:tcW w:w="714" w:type="dxa"/>
                  <w:tcBorders>
                    <w:tl2br w:val="nil"/>
                    <w:tr2bl w:val="nil"/>
                  </w:tcBorders>
                  <w:vAlign w:val="center"/>
                </w:tcPr>
                <w:p w14:paraId="73DC89D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DA00</w:t>
                  </w:r>
                  <w:r>
                    <w:rPr>
                      <w:rFonts w:hint="eastAsia" w:cs="Times New Roman"/>
                      <w:color w:val="auto"/>
                      <w:sz w:val="18"/>
                      <w:szCs w:val="18"/>
                      <w:lang w:val="en-US" w:eastAsia="zh-CN"/>
                    </w:rPr>
                    <w:t>8</w:t>
                  </w:r>
                </w:p>
              </w:tc>
              <w:tc>
                <w:tcPr>
                  <w:tcW w:w="728" w:type="dxa"/>
                  <w:tcBorders>
                    <w:tl2br w:val="nil"/>
                    <w:tr2bl w:val="nil"/>
                  </w:tcBorders>
                  <w:vAlign w:val="center"/>
                </w:tcPr>
                <w:p w14:paraId="75DAD4F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007" w:type="dxa"/>
                  <w:tcBorders>
                    <w:tl2br w:val="nil"/>
                    <w:tr2bl w:val="nil"/>
                  </w:tcBorders>
                  <w:vAlign w:val="center"/>
                </w:tcPr>
                <w:p w14:paraId="3680E0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5</w:t>
                  </w:r>
                </w:p>
              </w:tc>
            </w:tr>
            <w:tr w14:paraId="68470A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1AB38209">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290874A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固化废气</w:t>
                  </w:r>
                </w:p>
              </w:tc>
              <w:tc>
                <w:tcPr>
                  <w:tcW w:w="1504" w:type="dxa"/>
                  <w:tcBorders>
                    <w:tl2br w:val="nil"/>
                    <w:tr2bl w:val="nil"/>
                  </w:tcBorders>
                  <w:vAlign w:val="center"/>
                </w:tcPr>
                <w:p w14:paraId="59F4F1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烘干房密闭，废气采用负压收集</w:t>
                  </w:r>
                </w:p>
              </w:tc>
              <w:tc>
                <w:tcPr>
                  <w:tcW w:w="900" w:type="dxa"/>
                  <w:tcBorders>
                    <w:tl2br w:val="nil"/>
                    <w:tr2bl w:val="nil"/>
                  </w:tcBorders>
                  <w:vAlign w:val="center"/>
                </w:tcPr>
                <w:p w14:paraId="4459CCA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highlight w:val="none"/>
                    </w:rPr>
                    <w:t>100%</w:t>
                  </w:r>
                </w:p>
              </w:tc>
              <w:tc>
                <w:tcPr>
                  <w:tcW w:w="1605" w:type="dxa"/>
                  <w:tcBorders>
                    <w:tl2br w:val="nil"/>
                    <w:tr2bl w:val="nil"/>
                  </w:tcBorders>
                  <w:vAlign w:val="center"/>
                </w:tcPr>
                <w:p w14:paraId="1C7393E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水喷淋+干式过滤器+</w:t>
                  </w:r>
                  <w:r>
                    <w:rPr>
                      <w:rFonts w:hint="default" w:ascii="Times New Roman" w:hAnsi="Times New Roman" w:cs="Times New Roman"/>
                      <w:color w:val="auto"/>
                      <w:sz w:val="18"/>
                      <w:szCs w:val="18"/>
                    </w:rPr>
                    <w:t>活性炭吸附（</w:t>
                  </w:r>
                  <w:r>
                    <w:rPr>
                      <w:rFonts w:hint="default" w:ascii="Times New Roman" w:hAnsi="Times New Roman" w:eastAsia="Times New Roman" w:cs="Times New Roman"/>
                      <w:color w:val="auto"/>
                      <w:sz w:val="18"/>
                      <w:szCs w:val="18"/>
                    </w:rPr>
                    <w:t>TA00</w:t>
                  </w:r>
                  <w:r>
                    <w:rPr>
                      <w:rFonts w:hint="eastAsia" w:eastAsia="宋体" w:cs="Times New Roman"/>
                      <w:color w:val="auto"/>
                      <w:sz w:val="18"/>
                      <w:szCs w:val="18"/>
                      <w:lang w:val="en-US" w:eastAsia="zh-CN"/>
                    </w:rPr>
                    <w:t>8</w:t>
                  </w:r>
                  <w:r>
                    <w:rPr>
                      <w:rFonts w:hint="default" w:ascii="Times New Roman" w:hAnsi="Times New Roman" w:cs="Times New Roman"/>
                      <w:color w:val="auto"/>
                      <w:sz w:val="18"/>
                      <w:szCs w:val="18"/>
                    </w:rPr>
                    <w:t>）</w:t>
                  </w:r>
                </w:p>
              </w:tc>
              <w:tc>
                <w:tcPr>
                  <w:tcW w:w="714" w:type="dxa"/>
                  <w:tcBorders>
                    <w:tl2br w:val="nil"/>
                    <w:tr2bl w:val="nil"/>
                  </w:tcBorders>
                  <w:vAlign w:val="center"/>
                </w:tcPr>
                <w:p w14:paraId="019C41C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09</w:t>
                  </w:r>
                </w:p>
              </w:tc>
              <w:tc>
                <w:tcPr>
                  <w:tcW w:w="728" w:type="dxa"/>
                  <w:tcBorders>
                    <w:tl2br w:val="nil"/>
                    <w:tr2bl w:val="nil"/>
                  </w:tcBorders>
                  <w:vAlign w:val="center"/>
                </w:tcPr>
                <w:p w14:paraId="3C0AB35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007" w:type="dxa"/>
                  <w:tcBorders>
                    <w:tl2br w:val="nil"/>
                    <w:tr2bl w:val="nil"/>
                  </w:tcBorders>
                  <w:vAlign w:val="center"/>
                </w:tcPr>
                <w:p w14:paraId="045236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3</w:t>
                  </w:r>
                </w:p>
              </w:tc>
            </w:tr>
            <w:tr w14:paraId="656FD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42D7610A">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2E86C4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熔模铸件焊接</w:t>
                  </w:r>
                </w:p>
              </w:tc>
              <w:tc>
                <w:tcPr>
                  <w:tcW w:w="1504" w:type="dxa"/>
                  <w:tcBorders>
                    <w:tl2br w:val="nil"/>
                    <w:tr2bl w:val="nil"/>
                  </w:tcBorders>
                  <w:vAlign w:val="center"/>
                </w:tcPr>
                <w:p w14:paraId="4473AC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移动式烟尘净化器</w:t>
                  </w:r>
                </w:p>
              </w:tc>
              <w:tc>
                <w:tcPr>
                  <w:tcW w:w="900" w:type="dxa"/>
                  <w:tcBorders>
                    <w:tl2br w:val="nil"/>
                    <w:tr2bl w:val="nil"/>
                  </w:tcBorders>
                  <w:vAlign w:val="center"/>
                </w:tcPr>
                <w:p w14:paraId="0CF4F55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80%</w:t>
                  </w:r>
                </w:p>
              </w:tc>
              <w:tc>
                <w:tcPr>
                  <w:tcW w:w="1605" w:type="dxa"/>
                  <w:tcBorders>
                    <w:tl2br w:val="nil"/>
                    <w:tr2bl w:val="nil"/>
                  </w:tcBorders>
                  <w:vAlign w:val="center"/>
                </w:tcPr>
                <w:p w14:paraId="17C4849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移动式烟尘净化器</w:t>
                  </w:r>
                  <w:r>
                    <w:rPr>
                      <w:rFonts w:hint="default" w:ascii="Times New Roman" w:hAnsi="Times New Roman" w:cs="Times New Roman"/>
                      <w:color w:val="auto"/>
                      <w:sz w:val="18"/>
                      <w:szCs w:val="18"/>
                    </w:rPr>
                    <w:t>（</w:t>
                  </w:r>
                  <w:r>
                    <w:rPr>
                      <w:rFonts w:hint="default" w:ascii="Times New Roman" w:hAnsi="Times New Roman" w:eastAsia="Times New Roman" w:cs="Times New Roman"/>
                      <w:color w:val="auto"/>
                      <w:sz w:val="18"/>
                      <w:szCs w:val="18"/>
                    </w:rPr>
                    <w:t>TA0</w:t>
                  </w:r>
                  <w:r>
                    <w:rPr>
                      <w:rFonts w:hint="eastAsia" w:cs="Times New Roman"/>
                      <w:color w:val="auto"/>
                      <w:sz w:val="18"/>
                      <w:szCs w:val="18"/>
                      <w:lang w:val="en-US" w:eastAsia="zh-CN"/>
                    </w:rPr>
                    <w:t>09</w:t>
                  </w:r>
                  <w:r>
                    <w:rPr>
                      <w:rFonts w:hint="default" w:ascii="Times New Roman" w:hAnsi="Times New Roman" w:cs="Times New Roman"/>
                      <w:color w:val="auto"/>
                      <w:sz w:val="18"/>
                      <w:szCs w:val="18"/>
                      <w:lang w:val="en-US" w:eastAsia="zh-CN"/>
                    </w:rPr>
                    <w:t>）</w:t>
                  </w:r>
                </w:p>
              </w:tc>
              <w:tc>
                <w:tcPr>
                  <w:tcW w:w="2449" w:type="dxa"/>
                  <w:gridSpan w:val="3"/>
                  <w:tcBorders>
                    <w:tl2br w:val="nil"/>
                    <w:tr2bl w:val="nil"/>
                  </w:tcBorders>
                  <w:vAlign w:val="center"/>
                </w:tcPr>
                <w:p w14:paraId="26539B1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无组织排放</w:t>
                  </w:r>
                </w:p>
              </w:tc>
            </w:tr>
            <w:tr w14:paraId="2444D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restart"/>
                  <w:tcBorders>
                    <w:tl2br w:val="nil"/>
                    <w:tr2bl w:val="nil"/>
                  </w:tcBorders>
                  <w:vAlign w:val="center"/>
                </w:tcPr>
                <w:p w14:paraId="3F348A9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2#厂房</w:t>
                  </w:r>
                </w:p>
              </w:tc>
              <w:tc>
                <w:tcPr>
                  <w:tcW w:w="1462" w:type="dxa"/>
                  <w:tcBorders>
                    <w:tl2br w:val="nil"/>
                    <w:tr2bl w:val="nil"/>
                  </w:tcBorders>
                  <w:shd w:val="clear" w:color="auto" w:fill="auto"/>
                  <w:vAlign w:val="center"/>
                </w:tcPr>
                <w:p w14:paraId="618ABCC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投料、拌料</w:t>
                  </w:r>
                  <w:r>
                    <w:rPr>
                      <w:rFonts w:hint="default" w:ascii="Times New Roman" w:hAnsi="Times New Roman" w:cs="Times New Roman"/>
                      <w:color w:val="auto"/>
                      <w:spacing w:val="-1"/>
                      <w:sz w:val="18"/>
                      <w:szCs w:val="18"/>
                    </w:rPr>
                    <w:t>粉尘废气</w:t>
                  </w:r>
                </w:p>
              </w:tc>
              <w:tc>
                <w:tcPr>
                  <w:tcW w:w="1504" w:type="dxa"/>
                  <w:tcBorders>
                    <w:tl2br w:val="nil"/>
                    <w:tr2bl w:val="nil"/>
                  </w:tcBorders>
                  <w:shd w:val="clear" w:color="auto" w:fill="auto"/>
                  <w:vAlign w:val="center"/>
                </w:tcPr>
                <w:p w14:paraId="5A111B3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集气罩收集</w:t>
                  </w:r>
                </w:p>
              </w:tc>
              <w:tc>
                <w:tcPr>
                  <w:tcW w:w="900" w:type="dxa"/>
                  <w:tcBorders>
                    <w:tl2br w:val="nil"/>
                    <w:tr2bl w:val="nil"/>
                  </w:tcBorders>
                  <w:shd w:val="clear" w:color="auto" w:fill="auto"/>
                  <w:vAlign w:val="center"/>
                </w:tcPr>
                <w:p w14:paraId="4AC656D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80%</w:t>
                  </w:r>
                </w:p>
              </w:tc>
              <w:tc>
                <w:tcPr>
                  <w:tcW w:w="1605" w:type="dxa"/>
                  <w:tcBorders>
                    <w:tl2br w:val="nil"/>
                    <w:tr2bl w:val="nil"/>
                  </w:tcBorders>
                  <w:shd w:val="clear" w:color="auto" w:fill="auto"/>
                  <w:vAlign w:val="center"/>
                </w:tcPr>
                <w:p w14:paraId="1EF651F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袋式除尘器（</w:t>
                  </w:r>
                  <w:r>
                    <w:rPr>
                      <w:rFonts w:hint="default" w:ascii="Times New Roman" w:hAnsi="Times New Roman" w:eastAsia="Times New Roman" w:cs="Times New Roman"/>
                      <w:color w:val="auto"/>
                      <w:sz w:val="18"/>
                      <w:szCs w:val="18"/>
                    </w:rPr>
                    <w:t>TA001</w:t>
                  </w:r>
                  <w:r>
                    <w:rPr>
                      <w:rFonts w:hint="eastAsia" w:cs="Times New Roman"/>
                      <w:color w:val="auto"/>
                      <w:sz w:val="18"/>
                      <w:szCs w:val="18"/>
                      <w:lang w:val="en-US" w:eastAsia="zh-CN"/>
                    </w:rPr>
                    <w:t>0</w:t>
                  </w:r>
                  <w:r>
                    <w:rPr>
                      <w:rFonts w:hint="default" w:ascii="Times New Roman" w:hAnsi="Times New Roman" w:cs="Times New Roman"/>
                      <w:color w:val="auto"/>
                      <w:sz w:val="18"/>
                      <w:szCs w:val="18"/>
                    </w:rPr>
                    <w:t>）</w:t>
                  </w:r>
                </w:p>
              </w:tc>
              <w:tc>
                <w:tcPr>
                  <w:tcW w:w="714" w:type="dxa"/>
                  <w:tcBorders>
                    <w:tl2br w:val="nil"/>
                    <w:tr2bl w:val="nil"/>
                  </w:tcBorders>
                  <w:shd w:val="clear" w:color="auto" w:fill="auto"/>
                  <w:vAlign w:val="center"/>
                </w:tcPr>
                <w:p w14:paraId="1D33069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DA01</w:t>
                  </w:r>
                  <w:r>
                    <w:rPr>
                      <w:rFonts w:hint="eastAsia" w:cs="Times New Roman"/>
                      <w:color w:val="auto"/>
                      <w:sz w:val="18"/>
                      <w:szCs w:val="18"/>
                      <w:lang w:val="en-US" w:eastAsia="zh-CN"/>
                    </w:rPr>
                    <w:t>0</w:t>
                  </w:r>
                </w:p>
              </w:tc>
              <w:tc>
                <w:tcPr>
                  <w:tcW w:w="728" w:type="dxa"/>
                  <w:tcBorders>
                    <w:tl2br w:val="nil"/>
                    <w:tr2bl w:val="nil"/>
                  </w:tcBorders>
                  <w:shd w:val="clear" w:color="auto" w:fill="auto"/>
                  <w:vAlign w:val="center"/>
                </w:tcPr>
                <w:p w14:paraId="707DE30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15</w:t>
                  </w:r>
                </w:p>
              </w:tc>
              <w:tc>
                <w:tcPr>
                  <w:tcW w:w="1007" w:type="dxa"/>
                  <w:tcBorders>
                    <w:tl2br w:val="nil"/>
                    <w:tr2bl w:val="nil"/>
                  </w:tcBorders>
                  <w:shd w:val="clear" w:color="auto" w:fill="auto"/>
                  <w:vAlign w:val="center"/>
                </w:tcPr>
                <w:p w14:paraId="63D0F2A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3</w:t>
                  </w:r>
                </w:p>
              </w:tc>
            </w:tr>
            <w:tr w14:paraId="4BB583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1454139E">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shd w:val="clear" w:color="auto" w:fill="auto"/>
                  <w:vAlign w:val="center"/>
                </w:tcPr>
                <w:p w14:paraId="4BCC487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造粒、挤出废气</w:t>
                  </w:r>
                </w:p>
              </w:tc>
              <w:tc>
                <w:tcPr>
                  <w:tcW w:w="1504" w:type="dxa"/>
                  <w:tcBorders>
                    <w:tl2br w:val="nil"/>
                    <w:tr2bl w:val="nil"/>
                  </w:tcBorders>
                  <w:shd w:val="clear" w:color="auto" w:fill="auto"/>
                  <w:vAlign w:val="center"/>
                </w:tcPr>
                <w:p w14:paraId="5CCA1C4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集气罩收集</w:t>
                  </w:r>
                </w:p>
              </w:tc>
              <w:tc>
                <w:tcPr>
                  <w:tcW w:w="900" w:type="dxa"/>
                  <w:tcBorders>
                    <w:tl2br w:val="nil"/>
                    <w:tr2bl w:val="nil"/>
                  </w:tcBorders>
                  <w:shd w:val="clear" w:color="auto" w:fill="auto"/>
                  <w:vAlign w:val="center"/>
                </w:tcPr>
                <w:p w14:paraId="173701A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80%</w:t>
                  </w:r>
                </w:p>
              </w:tc>
              <w:tc>
                <w:tcPr>
                  <w:tcW w:w="1605" w:type="dxa"/>
                  <w:tcBorders>
                    <w:tl2br w:val="nil"/>
                    <w:tr2bl w:val="nil"/>
                  </w:tcBorders>
                  <w:shd w:val="clear" w:color="auto" w:fill="auto"/>
                  <w:vAlign w:val="center"/>
                </w:tcPr>
                <w:p w14:paraId="39B4FF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活性炭吸附（</w:t>
                  </w:r>
                  <w:r>
                    <w:rPr>
                      <w:rFonts w:hint="default" w:ascii="Times New Roman" w:hAnsi="Times New Roman" w:eastAsia="Times New Roman" w:cs="Times New Roman"/>
                      <w:color w:val="auto"/>
                      <w:sz w:val="18"/>
                      <w:szCs w:val="18"/>
                    </w:rPr>
                    <w:t>TA01</w:t>
                  </w:r>
                  <w:r>
                    <w:rPr>
                      <w:rFonts w:hint="eastAsia" w:cs="Times New Roman"/>
                      <w:color w:val="auto"/>
                      <w:sz w:val="18"/>
                      <w:szCs w:val="18"/>
                      <w:lang w:val="en-US" w:eastAsia="zh-CN"/>
                    </w:rPr>
                    <w:t>1</w:t>
                  </w:r>
                  <w:r>
                    <w:rPr>
                      <w:rFonts w:hint="default" w:ascii="Times New Roman" w:hAnsi="Times New Roman" w:cs="Times New Roman"/>
                      <w:color w:val="auto"/>
                      <w:sz w:val="18"/>
                      <w:szCs w:val="18"/>
                    </w:rPr>
                    <w:t>）</w:t>
                  </w:r>
                </w:p>
              </w:tc>
              <w:tc>
                <w:tcPr>
                  <w:tcW w:w="714" w:type="dxa"/>
                  <w:tcBorders>
                    <w:tl2br w:val="nil"/>
                    <w:tr2bl w:val="nil"/>
                  </w:tcBorders>
                  <w:shd w:val="clear" w:color="auto" w:fill="auto"/>
                  <w:vAlign w:val="center"/>
                </w:tcPr>
                <w:p w14:paraId="395EE40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DA01</w:t>
                  </w:r>
                  <w:r>
                    <w:rPr>
                      <w:rFonts w:hint="eastAsia" w:cs="Times New Roman"/>
                      <w:color w:val="auto"/>
                      <w:sz w:val="18"/>
                      <w:szCs w:val="18"/>
                      <w:lang w:val="en-US" w:eastAsia="zh-CN"/>
                    </w:rPr>
                    <w:t>1</w:t>
                  </w:r>
                </w:p>
              </w:tc>
              <w:tc>
                <w:tcPr>
                  <w:tcW w:w="728" w:type="dxa"/>
                  <w:tcBorders>
                    <w:tl2br w:val="nil"/>
                    <w:tr2bl w:val="nil"/>
                  </w:tcBorders>
                  <w:shd w:val="clear" w:color="auto" w:fill="auto"/>
                  <w:vAlign w:val="center"/>
                </w:tcPr>
                <w:p w14:paraId="73D46C7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15</w:t>
                  </w:r>
                </w:p>
              </w:tc>
              <w:tc>
                <w:tcPr>
                  <w:tcW w:w="1007" w:type="dxa"/>
                  <w:tcBorders>
                    <w:tl2br w:val="nil"/>
                    <w:tr2bl w:val="nil"/>
                  </w:tcBorders>
                  <w:shd w:val="clear" w:color="auto" w:fill="auto"/>
                  <w:vAlign w:val="center"/>
                </w:tcPr>
                <w:p w14:paraId="515A87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4</w:t>
                  </w:r>
                </w:p>
              </w:tc>
            </w:tr>
            <w:tr w14:paraId="02D3FD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restart"/>
                  <w:tcBorders>
                    <w:tl2br w:val="nil"/>
                    <w:tr2bl w:val="nil"/>
                  </w:tcBorders>
                  <w:vAlign w:val="center"/>
                </w:tcPr>
                <w:p w14:paraId="5190C99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3#厂房</w:t>
                  </w:r>
                </w:p>
              </w:tc>
              <w:tc>
                <w:tcPr>
                  <w:tcW w:w="1462" w:type="dxa"/>
                  <w:tcBorders>
                    <w:tl2br w:val="nil"/>
                    <w:tr2bl w:val="nil"/>
                  </w:tcBorders>
                  <w:shd w:val="clear" w:color="auto" w:fill="auto"/>
                  <w:vAlign w:val="center"/>
                </w:tcPr>
                <w:p w14:paraId="485C4CE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锅炉燃料废气</w:t>
                  </w:r>
                </w:p>
              </w:tc>
              <w:tc>
                <w:tcPr>
                  <w:tcW w:w="1504" w:type="dxa"/>
                  <w:tcBorders>
                    <w:tl2br w:val="nil"/>
                    <w:tr2bl w:val="nil"/>
                  </w:tcBorders>
                  <w:shd w:val="clear" w:color="auto" w:fill="auto"/>
                  <w:vAlign w:val="center"/>
                </w:tcPr>
                <w:p w14:paraId="4149290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密闭设施</w:t>
                  </w:r>
                </w:p>
              </w:tc>
              <w:tc>
                <w:tcPr>
                  <w:tcW w:w="900" w:type="dxa"/>
                  <w:tcBorders>
                    <w:tl2br w:val="nil"/>
                    <w:tr2bl w:val="nil"/>
                  </w:tcBorders>
                  <w:shd w:val="clear" w:color="auto" w:fill="auto"/>
                  <w:vAlign w:val="center"/>
                </w:tcPr>
                <w:p w14:paraId="1FE961E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100%</w:t>
                  </w:r>
                </w:p>
              </w:tc>
              <w:tc>
                <w:tcPr>
                  <w:tcW w:w="1605" w:type="dxa"/>
                  <w:tcBorders>
                    <w:tl2br w:val="nil"/>
                    <w:tr2bl w:val="nil"/>
                  </w:tcBorders>
                  <w:shd w:val="clear" w:color="auto" w:fill="auto"/>
                  <w:vAlign w:val="center"/>
                </w:tcPr>
                <w:p w14:paraId="2C7577E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pacing w:val="28"/>
                      <w:sz w:val="18"/>
                      <w:szCs w:val="18"/>
                    </w:rPr>
                    <w:t>清洁能源，</w:t>
                  </w:r>
                  <w:r>
                    <w:rPr>
                      <w:rFonts w:hint="default" w:ascii="Times New Roman" w:hAnsi="Times New Roman" w:cs="Times New Roman"/>
                      <w:color w:val="auto"/>
                      <w:spacing w:val="-102"/>
                      <w:sz w:val="18"/>
                      <w:szCs w:val="18"/>
                    </w:rPr>
                    <w:t xml:space="preserve"> </w:t>
                  </w:r>
                  <w:r>
                    <w:rPr>
                      <w:rFonts w:hint="default" w:ascii="Times New Roman" w:hAnsi="Times New Roman" w:cs="Times New Roman"/>
                      <w:color w:val="auto"/>
                      <w:sz w:val="18"/>
                      <w:szCs w:val="18"/>
                    </w:rPr>
                    <w:t>直接排放</w:t>
                  </w:r>
                </w:p>
              </w:tc>
              <w:tc>
                <w:tcPr>
                  <w:tcW w:w="714" w:type="dxa"/>
                  <w:tcBorders>
                    <w:tl2br w:val="nil"/>
                    <w:tr2bl w:val="nil"/>
                  </w:tcBorders>
                  <w:shd w:val="clear" w:color="auto" w:fill="auto"/>
                  <w:vAlign w:val="center"/>
                </w:tcPr>
                <w:p w14:paraId="40014E1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12</w:t>
                  </w:r>
                </w:p>
              </w:tc>
              <w:tc>
                <w:tcPr>
                  <w:tcW w:w="728" w:type="dxa"/>
                  <w:tcBorders>
                    <w:tl2br w:val="nil"/>
                    <w:tr2bl w:val="nil"/>
                  </w:tcBorders>
                  <w:shd w:val="clear" w:color="auto" w:fill="auto"/>
                  <w:vAlign w:val="center"/>
                </w:tcPr>
                <w:p w14:paraId="31D93BD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cs="Times New Roman"/>
                      <w:color w:val="auto"/>
                      <w:w w:val="100"/>
                      <w:sz w:val="18"/>
                      <w:szCs w:val="18"/>
                      <w:lang w:val="en-US" w:eastAsia="zh-CN"/>
                    </w:rPr>
                    <w:t>15</w:t>
                  </w:r>
                </w:p>
              </w:tc>
              <w:tc>
                <w:tcPr>
                  <w:tcW w:w="1007" w:type="dxa"/>
                  <w:tcBorders>
                    <w:tl2br w:val="nil"/>
                    <w:tr2bl w:val="nil"/>
                  </w:tcBorders>
                  <w:shd w:val="clear" w:color="auto" w:fill="auto"/>
                  <w:vAlign w:val="center"/>
                </w:tcPr>
                <w:p w14:paraId="5EA7E9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sz w:val="18"/>
                      <w:szCs w:val="18"/>
                    </w:rPr>
                    <w:t>0.2</w:t>
                  </w:r>
                </w:p>
              </w:tc>
            </w:tr>
            <w:tr w14:paraId="097C9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0DF4ACCF">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36CA627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衬胶</w:t>
                  </w:r>
                  <w:r>
                    <w:rPr>
                      <w:rFonts w:hint="eastAsia" w:cs="Times New Roman"/>
                      <w:color w:val="auto"/>
                      <w:sz w:val="18"/>
                      <w:szCs w:val="18"/>
                      <w:lang w:val="en-US" w:eastAsia="zh-CN"/>
                    </w:rPr>
                    <w:t>黏合</w:t>
                  </w:r>
                  <w:r>
                    <w:rPr>
                      <w:rFonts w:hint="default" w:ascii="Times New Roman" w:hAnsi="Times New Roman" w:cs="Times New Roman"/>
                      <w:color w:val="auto"/>
                      <w:sz w:val="18"/>
                      <w:szCs w:val="18"/>
                      <w:lang w:val="en-US" w:eastAsia="zh-CN"/>
                    </w:rPr>
                    <w:t>废气</w:t>
                  </w:r>
                </w:p>
              </w:tc>
              <w:tc>
                <w:tcPr>
                  <w:tcW w:w="1504" w:type="dxa"/>
                  <w:tcBorders>
                    <w:tl2br w:val="nil"/>
                    <w:tr2bl w:val="nil"/>
                  </w:tcBorders>
                  <w:vAlign w:val="center"/>
                </w:tcPr>
                <w:p w14:paraId="7E8B8C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使用低挥发性TPU胶黏剂</w:t>
                  </w:r>
                </w:p>
              </w:tc>
              <w:tc>
                <w:tcPr>
                  <w:tcW w:w="900" w:type="dxa"/>
                  <w:tcBorders>
                    <w:tl2br w:val="nil"/>
                    <w:tr2bl w:val="nil"/>
                  </w:tcBorders>
                  <w:vAlign w:val="center"/>
                </w:tcPr>
                <w:p w14:paraId="3328D31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054" w:type="dxa"/>
                  <w:gridSpan w:val="4"/>
                  <w:tcBorders>
                    <w:tl2br w:val="nil"/>
                    <w:tr2bl w:val="nil"/>
                  </w:tcBorders>
                  <w:vAlign w:val="center"/>
                </w:tcPr>
                <w:p w14:paraId="2B102D8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无组织排放</w:t>
                  </w:r>
                </w:p>
              </w:tc>
            </w:tr>
            <w:tr w14:paraId="4BB433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08F8CD63">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6072BC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Times New Roman" w:cs="Times New Roman"/>
                      <w:color w:val="auto"/>
                      <w:sz w:val="18"/>
                      <w:szCs w:val="18"/>
                    </w:rPr>
                  </w:pPr>
                  <w:r>
                    <w:rPr>
                      <w:rFonts w:hint="default" w:ascii="Times New Roman" w:hAnsi="Times New Roman" w:cs="Times New Roman"/>
                      <w:color w:val="auto"/>
                      <w:sz w:val="18"/>
                      <w:szCs w:val="18"/>
                    </w:rPr>
                    <w:t>加热炉燃料</w:t>
                  </w:r>
                  <w:r>
                    <w:rPr>
                      <w:rFonts w:hint="default" w:ascii="Times New Roman" w:hAnsi="Times New Roman" w:cs="Times New Roman"/>
                      <w:color w:val="auto"/>
                      <w:spacing w:val="-1"/>
                      <w:sz w:val="18"/>
                      <w:szCs w:val="18"/>
                    </w:rPr>
                    <w:t>废气</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红冲</w:t>
                  </w:r>
                  <w:r>
                    <w:rPr>
                      <w:rFonts w:hint="default" w:ascii="Times New Roman" w:hAnsi="Times New Roman" w:cs="Times New Roman"/>
                      <w:color w:val="auto"/>
                      <w:sz w:val="18"/>
                      <w:szCs w:val="18"/>
                      <w:lang w:val="en-US" w:eastAsia="zh-CN"/>
                    </w:rPr>
                    <w:t>工</w:t>
                  </w:r>
                  <w:r>
                    <w:rPr>
                      <w:rFonts w:hint="eastAsia" w:cs="Times New Roman"/>
                      <w:color w:val="auto"/>
                      <w:sz w:val="18"/>
                      <w:szCs w:val="18"/>
                      <w:lang w:val="en-US" w:eastAsia="zh-CN"/>
                    </w:rPr>
                    <w:t>件</w:t>
                  </w:r>
                  <w:r>
                    <w:rPr>
                      <w:rFonts w:hint="default" w:ascii="Times New Roman" w:hAnsi="Times New Roman" w:eastAsia="Times New Roman" w:cs="Times New Roman"/>
                      <w:color w:val="auto"/>
                      <w:sz w:val="18"/>
                      <w:szCs w:val="18"/>
                    </w:rPr>
                    <w:t>)</w:t>
                  </w:r>
                </w:p>
              </w:tc>
              <w:tc>
                <w:tcPr>
                  <w:tcW w:w="1504" w:type="dxa"/>
                  <w:tcBorders>
                    <w:tl2br w:val="nil"/>
                    <w:tr2bl w:val="nil"/>
                  </w:tcBorders>
                  <w:vAlign w:val="center"/>
                </w:tcPr>
                <w:p w14:paraId="01225EF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密闭设施</w:t>
                  </w:r>
                </w:p>
              </w:tc>
              <w:tc>
                <w:tcPr>
                  <w:tcW w:w="900" w:type="dxa"/>
                  <w:tcBorders>
                    <w:tl2br w:val="nil"/>
                    <w:tr2bl w:val="nil"/>
                  </w:tcBorders>
                  <w:vAlign w:val="center"/>
                </w:tcPr>
                <w:p w14:paraId="2CEABA9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1605" w:type="dxa"/>
                  <w:tcBorders>
                    <w:tl2br w:val="nil"/>
                    <w:tr2bl w:val="nil"/>
                  </w:tcBorders>
                  <w:vAlign w:val="center"/>
                </w:tcPr>
                <w:p w14:paraId="351FD29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pacing w:val="28"/>
                      <w:sz w:val="18"/>
                      <w:szCs w:val="18"/>
                    </w:rPr>
                    <w:t>清洁能源，</w:t>
                  </w:r>
                  <w:r>
                    <w:rPr>
                      <w:rFonts w:hint="default" w:ascii="Times New Roman" w:hAnsi="Times New Roman" w:cs="Times New Roman"/>
                      <w:color w:val="auto"/>
                      <w:spacing w:val="-102"/>
                      <w:sz w:val="18"/>
                      <w:szCs w:val="18"/>
                    </w:rPr>
                    <w:t xml:space="preserve"> </w:t>
                  </w:r>
                  <w:r>
                    <w:rPr>
                      <w:rFonts w:hint="default" w:ascii="Times New Roman" w:hAnsi="Times New Roman" w:cs="Times New Roman"/>
                      <w:color w:val="auto"/>
                      <w:sz w:val="18"/>
                      <w:szCs w:val="18"/>
                    </w:rPr>
                    <w:t>直接排放</w:t>
                  </w:r>
                </w:p>
              </w:tc>
              <w:tc>
                <w:tcPr>
                  <w:tcW w:w="714" w:type="dxa"/>
                  <w:tcBorders>
                    <w:tl2br w:val="nil"/>
                    <w:tr2bl w:val="nil"/>
                  </w:tcBorders>
                  <w:vAlign w:val="center"/>
                </w:tcPr>
                <w:p w14:paraId="7CB4BD1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DA01</w:t>
                  </w:r>
                  <w:r>
                    <w:rPr>
                      <w:rFonts w:hint="eastAsia" w:cs="Times New Roman"/>
                      <w:color w:val="auto"/>
                      <w:sz w:val="18"/>
                      <w:szCs w:val="18"/>
                      <w:lang w:val="en-US" w:eastAsia="zh-CN"/>
                    </w:rPr>
                    <w:t>3</w:t>
                  </w:r>
                </w:p>
              </w:tc>
              <w:tc>
                <w:tcPr>
                  <w:tcW w:w="728" w:type="dxa"/>
                  <w:tcBorders>
                    <w:tl2br w:val="nil"/>
                    <w:tr2bl w:val="nil"/>
                  </w:tcBorders>
                  <w:vAlign w:val="center"/>
                </w:tcPr>
                <w:p w14:paraId="51DB388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007" w:type="dxa"/>
                  <w:tcBorders>
                    <w:tl2br w:val="nil"/>
                    <w:tr2bl w:val="nil"/>
                  </w:tcBorders>
                  <w:vAlign w:val="center"/>
                </w:tcPr>
                <w:p w14:paraId="12E2C78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r>
            <w:tr w14:paraId="74F2DC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326CD1AA">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shd w:val="clear" w:color="auto" w:fill="auto"/>
                  <w:vAlign w:val="center"/>
                </w:tcPr>
                <w:p w14:paraId="718E7E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Times New Roman" w:cs="Times New Roman"/>
                      <w:color w:val="auto"/>
                      <w:kern w:val="2"/>
                      <w:sz w:val="18"/>
                      <w:szCs w:val="18"/>
                      <w:lang w:val="en-US" w:eastAsia="zh-CN" w:bidi="ar-SA"/>
                    </w:rPr>
                  </w:pPr>
                  <w:r>
                    <w:rPr>
                      <w:rFonts w:hint="eastAsia" w:eastAsia="Times New Roman" w:cs="Times New Roman"/>
                      <w:color w:val="auto"/>
                      <w:kern w:val="2"/>
                      <w:sz w:val="18"/>
                      <w:szCs w:val="18"/>
                      <w:lang w:val="en-US" w:eastAsia="zh-CN" w:bidi="ar-SA"/>
                    </w:rPr>
                    <w:t>冲压</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红冲</w:t>
                  </w:r>
                  <w:r>
                    <w:rPr>
                      <w:rFonts w:hint="default" w:ascii="Times New Roman" w:hAnsi="Times New Roman" w:cs="Times New Roman"/>
                      <w:color w:val="auto"/>
                      <w:sz w:val="18"/>
                      <w:szCs w:val="18"/>
                      <w:lang w:val="en-US" w:eastAsia="zh-CN"/>
                    </w:rPr>
                    <w:t>工件</w:t>
                  </w:r>
                  <w:r>
                    <w:rPr>
                      <w:rFonts w:hint="default" w:ascii="Times New Roman" w:hAnsi="Times New Roman" w:eastAsia="Times New Roman" w:cs="Times New Roman"/>
                      <w:color w:val="auto"/>
                      <w:sz w:val="18"/>
                      <w:szCs w:val="18"/>
                    </w:rPr>
                    <w:t>)</w:t>
                  </w:r>
                </w:p>
              </w:tc>
              <w:tc>
                <w:tcPr>
                  <w:tcW w:w="1504" w:type="dxa"/>
                  <w:tcBorders>
                    <w:tl2br w:val="nil"/>
                    <w:tr2bl w:val="nil"/>
                  </w:tcBorders>
                  <w:shd w:val="clear" w:color="auto" w:fill="auto"/>
                  <w:vAlign w:val="center"/>
                </w:tcPr>
                <w:p w14:paraId="0B5A73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集气罩收集</w:t>
                  </w:r>
                </w:p>
              </w:tc>
              <w:tc>
                <w:tcPr>
                  <w:tcW w:w="900" w:type="dxa"/>
                  <w:tcBorders>
                    <w:tl2br w:val="nil"/>
                    <w:tr2bl w:val="nil"/>
                  </w:tcBorders>
                  <w:shd w:val="clear" w:color="auto" w:fill="auto"/>
                  <w:vAlign w:val="center"/>
                </w:tcPr>
                <w:p w14:paraId="7621CF9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80%</w:t>
                  </w:r>
                </w:p>
              </w:tc>
              <w:tc>
                <w:tcPr>
                  <w:tcW w:w="1605" w:type="dxa"/>
                  <w:vMerge w:val="restart"/>
                  <w:tcBorders>
                    <w:tl2br w:val="nil"/>
                    <w:tr2bl w:val="nil"/>
                  </w:tcBorders>
                  <w:shd w:val="clear" w:color="auto" w:fill="auto"/>
                  <w:vAlign w:val="center"/>
                </w:tcPr>
                <w:p w14:paraId="4A333A9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抛丸废气经设备自带除尘器</w:t>
                  </w:r>
                  <w:r>
                    <w:rPr>
                      <w:rFonts w:hint="default" w:ascii="Times New Roman" w:hAnsi="Times New Roman" w:cs="Times New Roman"/>
                      <w:color w:val="auto"/>
                      <w:sz w:val="18"/>
                      <w:szCs w:val="18"/>
                    </w:rPr>
                    <w:t>（</w:t>
                  </w:r>
                  <w:r>
                    <w:rPr>
                      <w:rFonts w:hint="default" w:ascii="Times New Roman" w:hAnsi="Times New Roman" w:eastAsia="Times New Roman" w:cs="Times New Roman"/>
                      <w:color w:val="auto"/>
                      <w:sz w:val="18"/>
                      <w:szCs w:val="18"/>
                    </w:rPr>
                    <w:t>TA01</w:t>
                  </w:r>
                  <w:r>
                    <w:rPr>
                      <w:rFonts w:hint="eastAsia" w:cs="Times New Roman"/>
                      <w:color w:val="auto"/>
                      <w:sz w:val="18"/>
                      <w:szCs w:val="18"/>
                      <w:lang w:val="en-US" w:eastAsia="zh-CN"/>
                    </w:rPr>
                    <w:t>2</w:t>
                  </w:r>
                  <w:r>
                    <w:rPr>
                      <w:rFonts w:hint="default" w:ascii="Times New Roman" w:hAnsi="Times New Roman" w:cs="Times New Roman"/>
                      <w:color w:val="auto"/>
                      <w:sz w:val="18"/>
                      <w:szCs w:val="18"/>
                    </w:rPr>
                    <w:t>）</w:t>
                  </w:r>
                  <w:r>
                    <w:rPr>
                      <w:rFonts w:hint="eastAsia" w:cs="Times New Roman"/>
                      <w:color w:val="auto"/>
                      <w:sz w:val="18"/>
                      <w:szCs w:val="18"/>
                      <w:lang w:val="en-US" w:eastAsia="zh-CN"/>
                    </w:rPr>
                    <w:t>处理后，冲压、打磨废气配备一套袋式除尘器</w:t>
                  </w:r>
                  <w:r>
                    <w:rPr>
                      <w:rFonts w:hint="default" w:ascii="Times New Roman" w:hAnsi="Times New Roman" w:cs="Times New Roman"/>
                      <w:color w:val="auto"/>
                      <w:sz w:val="18"/>
                      <w:szCs w:val="18"/>
                    </w:rPr>
                    <w:t>（</w:t>
                  </w:r>
                  <w:r>
                    <w:rPr>
                      <w:rFonts w:hint="default" w:ascii="Times New Roman" w:hAnsi="Times New Roman" w:eastAsia="Times New Roman" w:cs="Times New Roman"/>
                      <w:color w:val="auto"/>
                      <w:sz w:val="18"/>
                      <w:szCs w:val="18"/>
                    </w:rPr>
                    <w:t>TA01</w:t>
                  </w:r>
                  <w:r>
                    <w:rPr>
                      <w:rFonts w:hint="eastAsia" w:cs="Times New Roman"/>
                      <w:color w:val="auto"/>
                      <w:sz w:val="18"/>
                      <w:szCs w:val="18"/>
                      <w:lang w:val="en-US" w:eastAsia="zh-CN"/>
                    </w:rPr>
                    <w:t>3</w:t>
                  </w:r>
                  <w:r>
                    <w:rPr>
                      <w:rFonts w:hint="default" w:ascii="Times New Roman" w:hAnsi="Times New Roman" w:cs="Times New Roman"/>
                      <w:color w:val="auto"/>
                      <w:sz w:val="18"/>
                      <w:szCs w:val="18"/>
                    </w:rPr>
                    <w:t>）</w:t>
                  </w:r>
                  <w:r>
                    <w:rPr>
                      <w:rFonts w:hint="eastAsia" w:cs="Times New Roman"/>
                      <w:color w:val="auto"/>
                      <w:sz w:val="18"/>
                      <w:szCs w:val="18"/>
                      <w:lang w:val="en-US" w:eastAsia="zh-CN"/>
                    </w:rPr>
                    <w:t>，熔化和压铸废气配备一套袋式除尘器</w:t>
                  </w:r>
                  <w:r>
                    <w:rPr>
                      <w:rFonts w:hint="default" w:ascii="Times New Roman" w:hAnsi="Times New Roman" w:cs="Times New Roman"/>
                      <w:color w:val="auto"/>
                      <w:sz w:val="18"/>
                      <w:szCs w:val="18"/>
                    </w:rPr>
                    <w:t>（</w:t>
                  </w:r>
                  <w:r>
                    <w:rPr>
                      <w:rFonts w:hint="default" w:ascii="Times New Roman" w:hAnsi="Times New Roman" w:eastAsia="Times New Roman" w:cs="Times New Roman"/>
                      <w:color w:val="auto"/>
                      <w:sz w:val="18"/>
                      <w:szCs w:val="18"/>
                    </w:rPr>
                    <w:t>TA01</w:t>
                  </w:r>
                  <w:r>
                    <w:rPr>
                      <w:rFonts w:hint="eastAsia" w:cs="Times New Roman"/>
                      <w:color w:val="auto"/>
                      <w:sz w:val="18"/>
                      <w:szCs w:val="18"/>
                      <w:lang w:val="en-US" w:eastAsia="zh-CN"/>
                    </w:rPr>
                    <w:t>4</w:t>
                  </w:r>
                  <w:r>
                    <w:rPr>
                      <w:rFonts w:hint="default" w:ascii="Times New Roman" w:hAnsi="Times New Roman" w:cs="Times New Roman"/>
                      <w:color w:val="auto"/>
                      <w:sz w:val="18"/>
                      <w:szCs w:val="18"/>
                    </w:rPr>
                    <w:t>）</w:t>
                  </w:r>
                  <w:r>
                    <w:rPr>
                      <w:rFonts w:hint="eastAsia" w:cs="Times New Roman"/>
                      <w:color w:val="auto"/>
                      <w:sz w:val="18"/>
                      <w:szCs w:val="18"/>
                      <w:lang w:val="en-US" w:eastAsia="zh-CN"/>
                    </w:rPr>
                    <w:t>处理后，再汇集至一根排气筒排放</w:t>
                  </w:r>
                </w:p>
              </w:tc>
              <w:tc>
                <w:tcPr>
                  <w:tcW w:w="714" w:type="dxa"/>
                  <w:vMerge w:val="restart"/>
                  <w:tcBorders>
                    <w:tl2br w:val="nil"/>
                    <w:tr2bl w:val="nil"/>
                  </w:tcBorders>
                  <w:vAlign w:val="center"/>
                </w:tcPr>
                <w:p w14:paraId="29B6FB1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DA01</w:t>
                  </w:r>
                  <w:r>
                    <w:rPr>
                      <w:rFonts w:hint="eastAsia" w:cs="Times New Roman"/>
                      <w:color w:val="auto"/>
                      <w:sz w:val="18"/>
                      <w:szCs w:val="18"/>
                      <w:lang w:val="en-US" w:eastAsia="zh-CN"/>
                    </w:rPr>
                    <w:t>4</w:t>
                  </w:r>
                </w:p>
              </w:tc>
              <w:tc>
                <w:tcPr>
                  <w:tcW w:w="728" w:type="dxa"/>
                  <w:vMerge w:val="restart"/>
                  <w:tcBorders>
                    <w:tl2br w:val="nil"/>
                    <w:tr2bl w:val="nil"/>
                  </w:tcBorders>
                  <w:vAlign w:val="center"/>
                </w:tcPr>
                <w:p w14:paraId="66781F7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007" w:type="dxa"/>
                  <w:vMerge w:val="restart"/>
                  <w:tcBorders>
                    <w:tl2br w:val="nil"/>
                    <w:tr2bl w:val="nil"/>
                  </w:tcBorders>
                  <w:vAlign w:val="center"/>
                </w:tcPr>
                <w:p w14:paraId="117BD2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highlight w:val="none"/>
                    </w:rPr>
                    <w:t>0.</w:t>
                  </w:r>
                  <w:r>
                    <w:rPr>
                      <w:rFonts w:hint="eastAsia" w:cs="Times New Roman"/>
                      <w:color w:val="auto"/>
                      <w:sz w:val="18"/>
                      <w:szCs w:val="18"/>
                      <w:highlight w:val="none"/>
                      <w:lang w:val="en-US" w:eastAsia="zh-CN"/>
                    </w:rPr>
                    <w:t>6</w:t>
                  </w:r>
                </w:p>
              </w:tc>
            </w:tr>
            <w:tr w14:paraId="7856C9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506F0438">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shd w:val="clear" w:color="auto" w:fill="auto"/>
                  <w:vAlign w:val="center"/>
                </w:tcPr>
                <w:p w14:paraId="2C31CD5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抛丸废气</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红冲</w:t>
                  </w:r>
                  <w:r>
                    <w:rPr>
                      <w:rFonts w:hint="default" w:ascii="Times New Roman" w:hAnsi="Times New Roman" w:cs="Times New Roman"/>
                      <w:color w:val="auto"/>
                      <w:sz w:val="18"/>
                      <w:szCs w:val="18"/>
                      <w:lang w:val="en-US" w:eastAsia="zh-CN"/>
                    </w:rPr>
                    <w:t>工件</w:t>
                  </w:r>
                  <w:r>
                    <w:rPr>
                      <w:rFonts w:hint="default" w:ascii="Times New Roman" w:hAnsi="Times New Roman" w:eastAsia="Times New Roman" w:cs="Times New Roman"/>
                      <w:color w:val="auto"/>
                      <w:sz w:val="18"/>
                      <w:szCs w:val="18"/>
                    </w:rPr>
                    <w:t>)</w:t>
                  </w:r>
                </w:p>
              </w:tc>
              <w:tc>
                <w:tcPr>
                  <w:tcW w:w="1504" w:type="dxa"/>
                  <w:tcBorders>
                    <w:tl2br w:val="nil"/>
                    <w:tr2bl w:val="nil"/>
                  </w:tcBorders>
                  <w:shd w:val="clear" w:color="auto" w:fill="auto"/>
                  <w:vAlign w:val="center"/>
                </w:tcPr>
                <w:p w14:paraId="3AA44E1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密闭设施</w:t>
                  </w:r>
                </w:p>
              </w:tc>
              <w:tc>
                <w:tcPr>
                  <w:tcW w:w="900" w:type="dxa"/>
                  <w:tcBorders>
                    <w:tl2br w:val="nil"/>
                    <w:tr2bl w:val="nil"/>
                  </w:tcBorders>
                  <w:shd w:val="clear" w:color="auto" w:fill="auto"/>
                  <w:vAlign w:val="center"/>
                </w:tcPr>
                <w:p w14:paraId="76FE5E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1605" w:type="dxa"/>
                  <w:vMerge w:val="continue"/>
                  <w:tcBorders>
                    <w:tl2br w:val="nil"/>
                    <w:tr2bl w:val="nil"/>
                  </w:tcBorders>
                  <w:shd w:val="clear" w:color="auto" w:fill="auto"/>
                  <w:vAlign w:val="center"/>
                </w:tcPr>
                <w:p w14:paraId="7A21497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p>
              </w:tc>
              <w:tc>
                <w:tcPr>
                  <w:tcW w:w="714" w:type="dxa"/>
                  <w:vMerge w:val="continue"/>
                  <w:tcBorders>
                    <w:tl2br w:val="nil"/>
                    <w:tr2bl w:val="nil"/>
                  </w:tcBorders>
                  <w:vAlign w:val="center"/>
                </w:tcPr>
                <w:p w14:paraId="63A3BB4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28" w:type="dxa"/>
                  <w:vMerge w:val="continue"/>
                  <w:tcBorders>
                    <w:tl2br w:val="nil"/>
                    <w:tr2bl w:val="nil"/>
                  </w:tcBorders>
                  <w:vAlign w:val="center"/>
                </w:tcPr>
                <w:p w14:paraId="0631C5C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772C1ED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r>
            <w:tr w14:paraId="00534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641DB42E">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shd w:val="clear" w:color="auto" w:fill="auto"/>
                  <w:vAlign w:val="center"/>
                </w:tcPr>
                <w:p w14:paraId="34D524E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Times New Roman" w:cs="Times New Roman"/>
                      <w:color w:val="auto"/>
                      <w:kern w:val="2"/>
                      <w:sz w:val="18"/>
                      <w:szCs w:val="18"/>
                      <w:lang w:val="en-US" w:eastAsia="zh-CN" w:bidi="ar-SA"/>
                    </w:rPr>
                  </w:pPr>
                  <w:r>
                    <w:rPr>
                      <w:rFonts w:hint="default" w:ascii="Times New Roman" w:hAnsi="Times New Roman" w:cs="Times New Roman"/>
                      <w:color w:val="auto"/>
                      <w:sz w:val="18"/>
                      <w:szCs w:val="18"/>
                    </w:rPr>
                    <w:t>打磨废气</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压铸</w:t>
                  </w:r>
                  <w:r>
                    <w:rPr>
                      <w:rFonts w:hint="default" w:ascii="Times New Roman" w:hAnsi="Times New Roman" w:cs="Times New Roman"/>
                      <w:color w:val="auto"/>
                      <w:sz w:val="18"/>
                      <w:szCs w:val="18"/>
                      <w:lang w:val="en-US" w:eastAsia="zh-CN"/>
                    </w:rPr>
                    <w:t>工件</w:t>
                  </w:r>
                  <w:r>
                    <w:rPr>
                      <w:rFonts w:hint="default" w:ascii="Times New Roman" w:hAnsi="Times New Roman" w:eastAsia="Times New Roman" w:cs="Times New Roman"/>
                      <w:color w:val="auto"/>
                      <w:sz w:val="18"/>
                      <w:szCs w:val="18"/>
                    </w:rPr>
                    <w:t>)</w:t>
                  </w:r>
                </w:p>
              </w:tc>
              <w:tc>
                <w:tcPr>
                  <w:tcW w:w="1504" w:type="dxa"/>
                  <w:tcBorders>
                    <w:tl2br w:val="nil"/>
                    <w:tr2bl w:val="nil"/>
                  </w:tcBorders>
                  <w:shd w:val="clear" w:color="auto" w:fill="auto"/>
                  <w:vAlign w:val="center"/>
                </w:tcPr>
                <w:p w14:paraId="3FC5065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集气罩收集</w:t>
                  </w:r>
                </w:p>
              </w:tc>
              <w:tc>
                <w:tcPr>
                  <w:tcW w:w="900" w:type="dxa"/>
                  <w:tcBorders>
                    <w:tl2br w:val="nil"/>
                    <w:tr2bl w:val="nil"/>
                  </w:tcBorders>
                  <w:shd w:val="clear" w:color="auto" w:fill="auto"/>
                  <w:vAlign w:val="center"/>
                </w:tcPr>
                <w:p w14:paraId="6E3FA2E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80%</w:t>
                  </w:r>
                </w:p>
              </w:tc>
              <w:tc>
                <w:tcPr>
                  <w:tcW w:w="1605" w:type="dxa"/>
                  <w:vMerge w:val="continue"/>
                  <w:tcBorders>
                    <w:tl2br w:val="nil"/>
                    <w:tr2bl w:val="nil"/>
                  </w:tcBorders>
                  <w:shd w:val="clear" w:color="auto" w:fill="auto"/>
                  <w:vAlign w:val="center"/>
                </w:tcPr>
                <w:p w14:paraId="599AEA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14" w:type="dxa"/>
                  <w:vMerge w:val="continue"/>
                  <w:tcBorders>
                    <w:tl2br w:val="nil"/>
                    <w:tr2bl w:val="nil"/>
                  </w:tcBorders>
                  <w:vAlign w:val="center"/>
                </w:tcPr>
                <w:p w14:paraId="089DB6F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eastAsia="zh-CN"/>
                    </w:rPr>
                  </w:pPr>
                </w:p>
              </w:tc>
              <w:tc>
                <w:tcPr>
                  <w:tcW w:w="728" w:type="dxa"/>
                  <w:vMerge w:val="continue"/>
                  <w:tcBorders>
                    <w:tl2br w:val="nil"/>
                    <w:tr2bl w:val="nil"/>
                  </w:tcBorders>
                  <w:vAlign w:val="center"/>
                </w:tcPr>
                <w:p w14:paraId="3AB66B6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0DC5806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eastAsia="zh-CN"/>
                    </w:rPr>
                  </w:pPr>
                </w:p>
              </w:tc>
            </w:tr>
            <w:tr w14:paraId="0A4EB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5C94F168">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43BF386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压铸熔化废</w:t>
                  </w:r>
                  <w:r>
                    <w:rPr>
                      <w:rFonts w:hint="default" w:ascii="Times New Roman" w:hAnsi="Times New Roman" w:cs="Times New Roman"/>
                      <w:color w:val="auto"/>
                      <w:w w:val="100"/>
                      <w:sz w:val="18"/>
                      <w:szCs w:val="18"/>
                    </w:rPr>
                    <w:t>气</w:t>
                  </w:r>
                </w:p>
              </w:tc>
              <w:tc>
                <w:tcPr>
                  <w:tcW w:w="1504" w:type="dxa"/>
                  <w:tcBorders>
                    <w:tl2br w:val="nil"/>
                    <w:tr2bl w:val="nil"/>
                  </w:tcBorders>
                  <w:vAlign w:val="center"/>
                </w:tcPr>
                <w:p w14:paraId="4E98864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集气罩收集</w:t>
                  </w:r>
                </w:p>
              </w:tc>
              <w:tc>
                <w:tcPr>
                  <w:tcW w:w="900" w:type="dxa"/>
                  <w:tcBorders>
                    <w:tl2br w:val="nil"/>
                    <w:tr2bl w:val="nil"/>
                  </w:tcBorders>
                  <w:vAlign w:val="center"/>
                </w:tcPr>
                <w:p w14:paraId="7B3C4AB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1605" w:type="dxa"/>
                  <w:vMerge w:val="continue"/>
                  <w:tcBorders>
                    <w:tl2br w:val="nil"/>
                    <w:tr2bl w:val="nil"/>
                  </w:tcBorders>
                  <w:vAlign w:val="center"/>
                </w:tcPr>
                <w:p w14:paraId="4FDC332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14" w:type="dxa"/>
                  <w:vMerge w:val="continue"/>
                  <w:tcBorders>
                    <w:tl2br w:val="nil"/>
                    <w:tr2bl w:val="nil"/>
                  </w:tcBorders>
                  <w:vAlign w:val="center"/>
                </w:tcPr>
                <w:p w14:paraId="001285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eastAsia="zh-CN"/>
                    </w:rPr>
                  </w:pPr>
                </w:p>
              </w:tc>
              <w:tc>
                <w:tcPr>
                  <w:tcW w:w="728" w:type="dxa"/>
                  <w:vMerge w:val="continue"/>
                  <w:tcBorders>
                    <w:tl2br w:val="nil"/>
                    <w:tr2bl w:val="nil"/>
                  </w:tcBorders>
                  <w:vAlign w:val="center"/>
                </w:tcPr>
                <w:p w14:paraId="04484D7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618DE6D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eastAsia="zh-CN"/>
                    </w:rPr>
                  </w:pPr>
                </w:p>
              </w:tc>
            </w:tr>
            <w:tr w14:paraId="29E1E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117D39B0">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54935DB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压铸废气</w:t>
                  </w:r>
                </w:p>
              </w:tc>
              <w:tc>
                <w:tcPr>
                  <w:tcW w:w="1504" w:type="dxa"/>
                  <w:tcBorders>
                    <w:tl2br w:val="nil"/>
                    <w:tr2bl w:val="nil"/>
                  </w:tcBorders>
                  <w:vAlign w:val="center"/>
                </w:tcPr>
                <w:p w14:paraId="5039F26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集气罩收集</w:t>
                  </w:r>
                </w:p>
              </w:tc>
              <w:tc>
                <w:tcPr>
                  <w:tcW w:w="900" w:type="dxa"/>
                  <w:tcBorders>
                    <w:tl2br w:val="nil"/>
                    <w:tr2bl w:val="nil"/>
                  </w:tcBorders>
                  <w:vAlign w:val="center"/>
                </w:tcPr>
                <w:p w14:paraId="4221A16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1605" w:type="dxa"/>
                  <w:vMerge w:val="continue"/>
                  <w:tcBorders>
                    <w:tl2br w:val="nil"/>
                    <w:tr2bl w:val="nil"/>
                  </w:tcBorders>
                  <w:vAlign w:val="center"/>
                </w:tcPr>
                <w:p w14:paraId="4A6AE1E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14" w:type="dxa"/>
                  <w:vMerge w:val="continue"/>
                  <w:tcBorders>
                    <w:tl2br w:val="nil"/>
                    <w:tr2bl w:val="nil"/>
                  </w:tcBorders>
                  <w:vAlign w:val="center"/>
                </w:tcPr>
                <w:p w14:paraId="184631C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728" w:type="dxa"/>
                  <w:vMerge w:val="continue"/>
                  <w:tcBorders>
                    <w:tl2br w:val="nil"/>
                    <w:tr2bl w:val="nil"/>
                  </w:tcBorders>
                  <w:vAlign w:val="center"/>
                </w:tcPr>
                <w:p w14:paraId="3FB43CC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007" w:type="dxa"/>
                  <w:vMerge w:val="continue"/>
                  <w:tcBorders>
                    <w:tl2br w:val="nil"/>
                    <w:tr2bl w:val="nil"/>
                  </w:tcBorders>
                  <w:vAlign w:val="center"/>
                </w:tcPr>
                <w:p w14:paraId="0047724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r>
            <w:tr w14:paraId="1C3C6F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5BC9E5E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4FBA42D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激光切割</w:t>
                  </w:r>
                </w:p>
              </w:tc>
              <w:tc>
                <w:tcPr>
                  <w:tcW w:w="1504" w:type="dxa"/>
                  <w:tcBorders>
                    <w:tl2br w:val="nil"/>
                    <w:tr2bl w:val="nil"/>
                  </w:tcBorders>
                  <w:vAlign w:val="center"/>
                </w:tcPr>
                <w:p w14:paraId="3C7820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移动式集气罩</w:t>
                  </w:r>
                </w:p>
              </w:tc>
              <w:tc>
                <w:tcPr>
                  <w:tcW w:w="900" w:type="dxa"/>
                  <w:tcBorders>
                    <w:tl2br w:val="nil"/>
                    <w:tr2bl w:val="nil"/>
                  </w:tcBorders>
                  <w:vAlign w:val="center"/>
                </w:tcPr>
                <w:p w14:paraId="4242D4F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1605" w:type="dxa"/>
                  <w:tcBorders>
                    <w:tl2br w:val="nil"/>
                    <w:tr2bl w:val="nil"/>
                  </w:tcBorders>
                  <w:vAlign w:val="center"/>
                </w:tcPr>
                <w:p w14:paraId="1B2FA37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移动式烟尘净化器</w:t>
                  </w:r>
                  <w:r>
                    <w:rPr>
                      <w:rFonts w:hint="default" w:ascii="Times New Roman" w:hAnsi="Times New Roman" w:cs="Times New Roman"/>
                      <w:color w:val="auto"/>
                      <w:sz w:val="18"/>
                      <w:szCs w:val="18"/>
                    </w:rPr>
                    <w:t>（</w:t>
                  </w:r>
                  <w:r>
                    <w:rPr>
                      <w:rFonts w:hint="default" w:ascii="Times New Roman" w:hAnsi="Times New Roman" w:eastAsia="Times New Roman" w:cs="Times New Roman"/>
                      <w:color w:val="auto"/>
                      <w:sz w:val="18"/>
                      <w:szCs w:val="18"/>
                    </w:rPr>
                    <w:t>TA01</w:t>
                  </w:r>
                  <w:r>
                    <w:rPr>
                      <w:rFonts w:hint="eastAsia" w:cs="Times New Roman"/>
                      <w:color w:val="auto"/>
                      <w:sz w:val="18"/>
                      <w:szCs w:val="18"/>
                      <w:lang w:val="en-US" w:eastAsia="zh-CN"/>
                    </w:rPr>
                    <w:t>4</w:t>
                  </w:r>
                  <w:r>
                    <w:rPr>
                      <w:rFonts w:hint="default" w:ascii="Times New Roman" w:hAnsi="Times New Roman" w:cs="Times New Roman"/>
                      <w:color w:val="auto"/>
                      <w:sz w:val="18"/>
                      <w:szCs w:val="18"/>
                    </w:rPr>
                    <w:t>）</w:t>
                  </w:r>
                </w:p>
              </w:tc>
              <w:tc>
                <w:tcPr>
                  <w:tcW w:w="2449" w:type="dxa"/>
                  <w:gridSpan w:val="3"/>
                  <w:tcBorders>
                    <w:tl2br w:val="nil"/>
                    <w:tr2bl w:val="nil"/>
                  </w:tcBorders>
                  <w:vAlign w:val="center"/>
                </w:tcPr>
                <w:p w14:paraId="21C47BF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无组织排放</w:t>
                  </w:r>
                </w:p>
              </w:tc>
            </w:tr>
            <w:tr w14:paraId="54C031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dxa"/>
                  <w:vMerge w:val="continue"/>
                  <w:tcBorders>
                    <w:tl2br w:val="nil"/>
                    <w:tr2bl w:val="nil"/>
                  </w:tcBorders>
                  <w:vAlign w:val="center"/>
                </w:tcPr>
                <w:p w14:paraId="5AABCD6F">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p>
              </w:tc>
              <w:tc>
                <w:tcPr>
                  <w:tcW w:w="1462" w:type="dxa"/>
                  <w:tcBorders>
                    <w:tl2br w:val="nil"/>
                    <w:tr2bl w:val="nil"/>
                  </w:tcBorders>
                  <w:vAlign w:val="center"/>
                </w:tcPr>
                <w:p w14:paraId="7E3A62A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焊接</w:t>
                  </w:r>
                </w:p>
              </w:tc>
              <w:tc>
                <w:tcPr>
                  <w:tcW w:w="1504" w:type="dxa"/>
                  <w:tcBorders>
                    <w:tl2br w:val="nil"/>
                    <w:tr2bl w:val="nil"/>
                  </w:tcBorders>
                  <w:vAlign w:val="center"/>
                </w:tcPr>
                <w:p w14:paraId="335EBA8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移动式集气罩</w:t>
                  </w:r>
                </w:p>
              </w:tc>
              <w:tc>
                <w:tcPr>
                  <w:tcW w:w="900" w:type="dxa"/>
                  <w:tcBorders>
                    <w:tl2br w:val="nil"/>
                    <w:tr2bl w:val="nil"/>
                  </w:tcBorders>
                  <w:vAlign w:val="center"/>
                </w:tcPr>
                <w:p w14:paraId="1D1372E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1605" w:type="dxa"/>
                  <w:tcBorders>
                    <w:tl2br w:val="nil"/>
                    <w:tr2bl w:val="nil"/>
                  </w:tcBorders>
                  <w:vAlign w:val="center"/>
                </w:tcPr>
                <w:p w14:paraId="374423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移动式烟尘净化器</w:t>
                  </w:r>
                  <w:r>
                    <w:rPr>
                      <w:rFonts w:hint="default" w:ascii="Times New Roman" w:hAnsi="Times New Roman" w:cs="Times New Roman"/>
                      <w:color w:val="auto"/>
                      <w:sz w:val="18"/>
                      <w:szCs w:val="18"/>
                    </w:rPr>
                    <w:t>（</w:t>
                  </w:r>
                  <w:r>
                    <w:rPr>
                      <w:rFonts w:hint="default" w:ascii="Times New Roman" w:hAnsi="Times New Roman" w:eastAsia="Times New Roman" w:cs="Times New Roman"/>
                      <w:color w:val="auto"/>
                      <w:sz w:val="18"/>
                      <w:szCs w:val="18"/>
                    </w:rPr>
                    <w:t>TA01</w:t>
                  </w:r>
                  <w:r>
                    <w:rPr>
                      <w:rFonts w:hint="eastAsia" w:cs="Times New Roman"/>
                      <w:color w:val="auto"/>
                      <w:sz w:val="18"/>
                      <w:szCs w:val="18"/>
                      <w:lang w:val="en-US" w:eastAsia="zh-CN"/>
                    </w:rPr>
                    <w:t>5</w:t>
                  </w:r>
                  <w:r>
                    <w:rPr>
                      <w:rFonts w:hint="default" w:ascii="Times New Roman" w:hAnsi="Times New Roman" w:cs="Times New Roman"/>
                      <w:color w:val="auto"/>
                      <w:sz w:val="18"/>
                      <w:szCs w:val="18"/>
                    </w:rPr>
                    <w:t>）</w:t>
                  </w:r>
                </w:p>
              </w:tc>
              <w:tc>
                <w:tcPr>
                  <w:tcW w:w="2449" w:type="dxa"/>
                  <w:gridSpan w:val="3"/>
                  <w:tcBorders>
                    <w:tl2br w:val="nil"/>
                    <w:tr2bl w:val="nil"/>
                  </w:tcBorders>
                  <w:vAlign w:val="center"/>
                </w:tcPr>
                <w:p w14:paraId="3CD6F09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无组织排放</w:t>
                  </w:r>
                </w:p>
              </w:tc>
            </w:tr>
            <w:tr w14:paraId="3D5C8B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14" w:type="dxa"/>
                  <w:gridSpan w:val="8"/>
                  <w:tcBorders>
                    <w:tl2br w:val="nil"/>
                    <w:tr2bl w:val="nil"/>
                  </w:tcBorders>
                  <w:vAlign w:val="center"/>
                </w:tcPr>
                <w:p w14:paraId="11EB4E2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各废气主要通过设置集气罩有效收集废气的措施来减少废气无组织排放，结合各种设备特点和操作要求，在不影响生产工艺的前提下，应根据下列原则合理设置集气罩位置、大小及风量，保证集气罩的收集效率：</w:t>
                  </w:r>
                </w:p>
                <w:p w14:paraId="13AFF85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a、不影响生产工艺，尽可能包围和靠近有害物发散源；</w:t>
                  </w:r>
                </w:p>
                <w:p w14:paraId="2A45E21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b、不得通过工作人员的呼吸带；</w:t>
                  </w:r>
                </w:p>
                <w:p w14:paraId="528FC9A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c、罩口大小不宜小于有害物扩散区的水平投影面积；</w:t>
                  </w:r>
                </w:p>
                <w:p w14:paraId="42EC9C1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d、罩口与罩体联接管面积不超过16：1，集气罩扩张角度要求45°～60°，最大不宜超过90°；</w:t>
                  </w:r>
                </w:p>
                <w:p w14:paraId="008747C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e、应顺应有害物质发散规律</w:t>
                  </w:r>
                  <w:r>
                    <w:rPr>
                      <w:rFonts w:hint="eastAsia" w:cs="Times New Roman"/>
                      <w:color w:val="auto"/>
                      <w:sz w:val="18"/>
                      <w:szCs w:val="18"/>
                      <w:lang w:eastAsia="zh-CN"/>
                    </w:rPr>
                    <w:t>；</w:t>
                  </w:r>
                </w:p>
                <w:p w14:paraId="31C9B46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f、根据《大气污染控制工程》和《挥发性有机物无组织排放控制标准》（GB37822-2019）合理选择集气罩控制风速。</w:t>
                  </w:r>
                </w:p>
              </w:tc>
            </w:tr>
          </w:tbl>
          <w:p w14:paraId="0C9F9895">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eastAsia="黑体" w:cs="Times New Roman"/>
                <w:b w:val="0"/>
                <w:bCs w:val="0"/>
                <w:color w:val="auto"/>
                <w:sz w:val="24"/>
                <w:szCs w:val="24"/>
                <w:lang w:val="en-US" w:eastAsia="zh-CN"/>
              </w:rPr>
              <w:t>1</w:t>
            </w:r>
            <w:r>
              <w:rPr>
                <w:rFonts w:hint="default" w:ascii="Times New Roman" w:hAnsi="Times New Roman" w:eastAsia="黑体" w:cs="Times New Roman"/>
                <w:b w:val="0"/>
                <w:bCs w:val="0"/>
                <w:color w:val="auto"/>
                <w:sz w:val="24"/>
                <w:szCs w:val="24"/>
              </w:rPr>
              <w:t>.1.</w:t>
            </w:r>
            <w:r>
              <w:rPr>
                <w:rFonts w:hint="eastAsia" w:eastAsia="黑体" w:cs="Times New Roman"/>
                <w:b w:val="0"/>
                <w:bCs w:val="0"/>
                <w:color w:val="auto"/>
                <w:sz w:val="24"/>
                <w:szCs w:val="24"/>
                <w:lang w:val="en-US" w:eastAsia="zh-CN"/>
              </w:rPr>
              <w:t>2废气源强</w:t>
            </w:r>
          </w:p>
          <w:p w14:paraId="1E9006F8">
            <w:pPr>
              <w:pStyle w:val="10"/>
              <w:spacing w:line="360" w:lineRule="auto"/>
              <w:ind w:firstLine="480"/>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（1）精密铸件生产涉及的废气源强核算</w:t>
            </w:r>
          </w:p>
          <w:p w14:paraId="323CF382">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①金属熔化废气</w:t>
            </w:r>
          </w:p>
          <w:p w14:paraId="5DB857AB">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参考《排放源统计调查产排污核算方法和系数手册》：感应电炉熔化生铁</w:t>
            </w:r>
            <w:r>
              <w:rPr>
                <w:rFonts w:hint="eastAsia"/>
                <w:color w:val="auto"/>
                <w:sz w:val="24"/>
                <w:szCs w:val="24"/>
                <w:highlight w:val="none"/>
                <w:lang w:eastAsia="zh-CN"/>
              </w:rPr>
              <w:t>、</w:t>
            </w:r>
            <w:r>
              <w:rPr>
                <w:rFonts w:hint="eastAsia"/>
                <w:color w:val="auto"/>
                <w:sz w:val="24"/>
                <w:szCs w:val="24"/>
                <w:highlight w:val="none"/>
                <w:lang w:val="en-US" w:eastAsia="zh-CN"/>
              </w:rPr>
              <w:t>废钢</w:t>
            </w:r>
            <w:r>
              <w:rPr>
                <w:rFonts w:hint="eastAsia" w:ascii="Times New Roman" w:eastAsia="宋体"/>
                <w:color w:val="auto"/>
                <w:sz w:val="24"/>
                <w:szCs w:val="24"/>
                <w:highlight w:val="none"/>
                <w:lang w:eastAsia="zh-CN"/>
              </w:rPr>
              <w:t>等原料的产污系数为：颗粒物0.479kg/t·产品。根据项目平面布局，项目熔模铸造、树脂砂铸造、粘土砂铸造熔化炉熔化废气集中收集后共用1根排气筒高空排放，集气罩收集效率按80%计。</w:t>
            </w:r>
          </w:p>
          <w:p w14:paraId="0DB31E15">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4</w:t>
            </w:r>
            <w:r>
              <w:rPr>
                <w:rFonts w:hint="eastAsia" w:ascii="Times New Roman" w:eastAsia="宋体"/>
                <w:b/>
                <w:bCs/>
                <w:color w:val="auto"/>
                <w:sz w:val="24"/>
                <w:szCs w:val="24"/>
                <w:highlight w:val="none"/>
                <w:lang w:eastAsia="zh-CN"/>
              </w:rPr>
              <w:t xml:space="preserve"> 金属熔化废气产生情况一览表</w:t>
            </w:r>
          </w:p>
          <w:tbl>
            <w:tblPr>
              <w:tblStyle w:val="29"/>
              <w:tblW w:w="827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950"/>
              <w:gridCol w:w="730"/>
              <w:gridCol w:w="750"/>
              <w:gridCol w:w="637"/>
              <w:gridCol w:w="675"/>
              <w:gridCol w:w="625"/>
              <w:gridCol w:w="613"/>
              <w:gridCol w:w="637"/>
              <w:gridCol w:w="558"/>
              <w:gridCol w:w="687"/>
            </w:tblGrid>
            <w:tr w14:paraId="2C4E95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9" w:type="dxa"/>
                  <w:vMerge w:val="restart"/>
                  <w:tcBorders>
                    <w:tl2br w:val="nil"/>
                    <w:tr2bl w:val="nil"/>
                  </w:tcBorders>
                  <w:vAlign w:val="center"/>
                </w:tcPr>
                <w:p w14:paraId="0D8FB4E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r>
                    <w:rPr>
                      <w:b/>
                      <w:bCs/>
                      <w:color w:val="auto"/>
                      <w:sz w:val="18"/>
                      <w:szCs w:val="18"/>
                    </w:rPr>
                    <w:t>铸造工艺</w:t>
                  </w:r>
                </w:p>
              </w:tc>
              <w:tc>
                <w:tcPr>
                  <w:tcW w:w="950" w:type="dxa"/>
                  <w:vMerge w:val="restart"/>
                  <w:tcBorders>
                    <w:tl2br w:val="nil"/>
                    <w:tr2bl w:val="nil"/>
                  </w:tcBorders>
                  <w:vAlign w:val="center"/>
                </w:tcPr>
                <w:p w14:paraId="0F0B2D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r>
                    <w:rPr>
                      <w:b/>
                      <w:bCs/>
                      <w:color w:val="auto"/>
                      <w:sz w:val="18"/>
                      <w:szCs w:val="18"/>
                    </w:rPr>
                    <w:t>产品类别</w:t>
                  </w:r>
                </w:p>
              </w:tc>
              <w:tc>
                <w:tcPr>
                  <w:tcW w:w="730" w:type="dxa"/>
                  <w:vMerge w:val="restart"/>
                  <w:tcBorders>
                    <w:tl2br w:val="nil"/>
                    <w:tr2bl w:val="nil"/>
                  </w:tcBorders>
                  <w:vAlign w:val="center"/>
                </w:tcPr>
                <w:p w14:paraId="27698B0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highlight w:val="none"/>
                    </w:rPr>
                  </w:pPr>
                  <w:r>
                    <w:rPr>
                      <w:b/>
                      <w:bCs/>
                      <w:color w:val="auto"/>
                      <w:sz w:val="18"/>
                      <w:szCs w:val="18"/>
                      <w:highlight w:val="none"/>
                    </w:rPr>
                    <w:t>对应产能（</w:t>
                  </w:r>
                  <w:r>
                    <w:rPr>
                      <w:rFonts w:ascii="Times New Roman" w:eastAsia="Times New Roman"/>
                      <w:b/>
                      <w:bCs/>
                      <w:color w:val="auto"/>
                      <w:sz w:val="18"/>
                      <w:szCs w:val="18"/>
                      <w:highlight w:val="none"/>
                    </w:rPr>
                    <w:t>t/a</w:t>
                  </w:r>
                  <w:r>
                    <w:rPr>
                      <w:b/>
                      <w:bCs/>
                      <w:color w:val="auto"/>
                      <w:sz w:val="18"/>
                      <w:szCs w:val="18"/>
                      <w:highlight w:val="none"/>
                    </w:rPr>
                    <w:t>）</w:t>
                  </w:r>
                </w:p>
              </w:tc>
              <w:tc>
                <w:tcPr>
                  <w:tcW w:w="750" w:type="dxa"/>
                  <w:vMerge w:val="restart"/>
                  <w:tcBorders>
                    <w:tl2br w:val="nil"/>
                    <w:tr2bl w:val="nil"/>
                  </w:tcBorders>
                  <w:vAlign w:val="center"/>
                </w:tcPr>
                <w:p w14:paraId="5E33F51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r>
                    <w:rPr>
                      <w:b/>
                      <w:bCs/>
                      <w:color w:val="auto"/>
                      <w:sz w:val="18"/>
                      <w:szCs w:val="18"/>
                    </w:rPr>
                    <w:t>工作时间（</w:t>
                  </w:r>
                  <w:r>
                    <w:rPr>
                      <w:rFonts w:ascii="Times New Roman" w:eastAsia="Times New Roman"/>
                      <w:b/>
                      <w:bCs/>
                      <w:color w:val="auto"/>
                      <w:sz w:val="18"/>
                      <w:szCs w:val="18"/>
                    </w:rPr>
                    <w:t>h/a</w:t>
                  </w:r>
                  <w:r>
                    <w:rPr>
                      <w:b/>
                      <w:bCs/>
                      <w:color w:val="auto"/>
                      <w:sz w:val="18"/>
                      <w:szCs w:val="18"/>
                    </w:rPr>
                    <w:t>）</w:t>
                  </w:r>
                </w:p>
              </w:tc>
              <w:tc>
                <w:tcPr>
                  <w:tcW w:w="3745" w:type="dxa"/>
                  <w:gridSpan w:val="6"/>
                  <w:tcBorders>
                    <w:tl2br w:val="nil"/>
                    <w:tr2bl w:val="nil"/>
                  </w:tcBorders>
                  <w:vAlign w:val="center"/>
                </w:tcPr>
                <w:p w14:paraId="5DD92B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r>
                    <w:rPr>
                      <w:b/>
                      <w:bCs/>
                      <w:color w:val="auto"/>
                      <w:spacing w:val="-1"/>
                      <w:sz w:val="18"/>
                      <w:szCs w:val="18"/>
                    </w:rPr>
                    <w:t>颗粒物产生量</w:t>
                  </w:r>
                </w:p>
              </w:tc>
              <w:tc>
                <w:tcPr>
                  <w:tcW w:w="687" w:type="dxa"/>
                  <w:vMerge w:val="restart"/>
                  <w:tcBorders>
                    <w:tl2br w:val="nil"/>
                    <w:tr2bl w:val="nil"/>
                  </w:tcBorders>
                  <w:vAlign w:val="center"/>
                </w:tcPr>
                <w:p w14:paraId="30E3496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r>
                    <w:rPr>
                      <w:b/>
                      <w:bCs/>
                      <w:color w:val="auto"/>
                      <w:sz w:val="18"/>
                      <w:szCs w:val="18"/>
                    </w:rPr>
                    <w:t>位置</w:t>
                  </w:r>
                </w:p>
              </w:tc>
            </w:tr>
            <w:tr w14:paraId="414FA2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9" w:type="dxa"/>
                  <w:vMerge w:val="continue"/>
                  <w:tcBorders>
                    <w:tl2br w:val="nil"/>
                    <w:tr2bl w:val="nil"/>
                  </w:tcBorders>
                  <w:vAlign w:val="center"/>
                </w:tcPr>
                <w:p w14:paraId="06F50B3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c>
                <w:tcPr>
                  <w:tcW w:w="950" w:type="dxa"/>
                  <w:vMerge w:val="continue"/>
                  <w:tcBorders>
                    <w:tl2br w:val="nil"/>
                    <w:tr2bl w:val="nil"/>
                  </w:tcBorders>
                  <w:vAlign w:val="center"/>
                </w:tcPr>
                <w:p w14:paraId="5A79FCB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c>
                <w:tcPr>
                  <w:tcW w:w="730" w:type="dxa"/>
                  <w:vMerge w:val="continue"/>
                  <w:tcBorders>
                    <w:tl2br w:val="nil"/>
                    <w:tr2bl w:val="nil"/>
                  </w:tcBorders>
                  <w:vAlign w:val="center"/>
                </w:tcPr>
                <w:p w14:paraId="0A89BD4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highlight w:val="none"/>
                    </w:rPr>
                  </w:pPr>
                </w:p>
              </w:tc>
              <w:tc>
                <w:tcPr>
                  <w:tcW w:w="750" w:type="dxa"/>
                  <w:vMerge w:val="continue"/>
                  <w:tcBorders>
                    <w:tl2br w:val="nil"/>
                    <w:tr2bl w:val="nil"/>
                  </w:tcBorders>
                  <w:vAlign w:val="center"/>
                </w:tcPr>
                <w:p w14:paraId="6925D8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c>
                <w:tcPr>
                  <w:tcW w:w="1312" w:type="dxa"/>
                  <w:gridSpan w:val="2"/>
                  <w:tcBorders>
                    <w:right w:val="single" w:color="auto" w:sz="4" w:space="0"/>
                    <w:tl2br w:val="nil"/>
                    <w:tr2bl w:val="nil"/>
                  </w:tcBorders>
                  <w:vAlign w:val="center"/>
                </w:tcPr>
                <w:p w14:paraId="4B267DF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pacing w:val="-1"/>
                      <w:sz w:val="18"/>
                      <w:szCs w:val="18"/>
                    </w:rPr>
                  </w:pPr>
                  <w:r>
                    <w:rPr>
                      <w:b/>
                      <w:bCs/>
                      <w:color w:val="auto"/>
                      <w:sz w:val="18"/>
                      <w:szCs w:val="18"/>
                    </w:rPr>
                    <w:t>有组织</w:t>
                  </w:r>
                </w:p>
              </w:tc>
              <w:tc>
                <w:tcPr>
                  <w:tcW w:w="1238" w:type="dxa"/>
                  <w:gridSpan w:val="2"/>
                  <w:tcBorders>
                    <w:left w:val="single" w:color="auto" w:sz="4" w:space="0"/>
                    <w:right w:val="single" w:color="auto" w:sz="4" w:space="0"/>
                    <w:tl2br w:val="nil"/>
                    <w:tr2bl w:val="nil"/>
                  </w:tcBorders>
                  <w:vAlign w:val="center"/>
                </w:tcPr>
                <w:p w14:paraId="245B9DD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pacing w:val="-1"/>
                      <w:sz w:val="18"/>
                      <w:szCs w:val="18"/>
                    </w:rPr>
                  </w:pPr>
                  <w:r>
                    <w:rPr>
                      <w:b/>
                      <w:bCs/>
                      <w:color w:val="auto"/>
                      <w:sz w:val="18"/>
                      <w:szCs w:val="18"/>
                    </w:rPr>
                    <w:t>无组织</w:t>
                  </w:r>
                </w:p>
              </w:tc>
              <w:tc>
                <w:tcPr>
                  <w:tcW w:w="1195" w:type="dxa"/>
                  <w:gridSpan w:val="2"/>
                  <w:tcBorders>
                    <w:left w:val="single" w:color="auto" w:sz="4" w:space="0"/>
                    <w:tl2br w:val="nil"/>
                    <w:tr2bl w:val="nil"/>
                  </w:tcBorders>
                  <w:shd w:val="clear" w:color="auto" w:fill="auto"/>
                  <w:vAlign w:val="center"/>
                </w:tcPr>
                <w:p w14:paraId="082A186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ascii="Times New Roman" w:hAnsi="Times New Roman" w:eastAsia="宋体" w:cs="Times New Roman"/>
                      <w:b/>
                      <w:bCs/>
                      <w:color w:val="auto"/>
                      <w:kern w:val="2"/>
                      <w:sz w:val="18"/>
                      <w:szCs w:val="18"/>
                      <w:lang w:val="en-US" w:eastAsia="zh-CN" w:bidi="ar-SA"/>
                    </w:rPr>
                  </w:pPr>
                  <w:r>
                    <w:rPr>
                      <w:b/>
                      <w:bCs/>
                      <w:color w:val="auto"/>
                      <w:sz w:val="18"/>
                      <w:szCs w:val="18"/>
                    </w:rPr>
                    <w:t>合计</w:t>
                  </w:r>
                </w:p>
              </w:tc>
              <w:tc>
                <w:tcPr>
                  <w:tcW w:w="687" w:type="dxa"/>
                  <w:vMerge w:val="continue"/>
                  <w:tcBorders>
                    <w:tl2br w:val="nil"/>
                    <w:tr2bl w:val="nil"/>
                  </w:tcBorders>
                  <w:vAlign w:val="center"/>
                </w:tcPr>
                <w:p w14:paraId="32D6934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r>
            <w:tr w14:paraId="24346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9" w:type="dxa"/>
                  <w:vMerge w:val="continue"/>
                  <w:tcBorders>
                    <w:tl2br w:val="nil"/>
                    <w:tr2bl w:val="nil"/>
                  </w:tcBorders>
                  <w:vAlign w:val="center"/>
                </w:tcPr>
                <w:p w14:paraId="10D4CDA2">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c>
                <w:tcPr>
                  <w:tcW w:w="950" w:type="dxa"/>
                  <w:vMerge w:val="continue"/>
                  <w:tcBorders>
                    <w:tl2br w:val="nil"/>
                    <w:tr2bl w:val="nil"/>
                  </w:tcBorders>
                  <w:vAlign w:val="center"/>
                </w:tcPr>
                <w:p w14:paraId="19B34668">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c>
                <w:tcPr>
                  <w:tcW w:w="730" w:type="dxa"/>
                  <w:vMerge w:val="continue"/>
                  <w:tcBorders>
                    <w:tl2br w:val="nil"/>
                    <w:tr2bl w:val="nil"/>
                  </w:tcBorders>
                  <w:vAlign w:val="center"/>
                </w:tcPr>
                <w:p w14:paraId="0B941090">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highlight w:val="none"/>
                    </w:rPr>
                  </w:pPr>
                </w:p>
              </w:tc>
              <w:tc>
                <w:tcPr>
                  <w:tcW w:w="750" w:type="dxa"/>
                  <w:vMerge w:val="continue"/>
                  <w:tcBorders>
                    <w:tl2br w:val="nil"/>
                    <w:tr2bl w:val="nil"/>
                  </w:tcBorders>
                  <w:vAlign w:val="center"/>
                </w:tcPr>
                <w:p w14:paraId="2E7B66A1">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c>
                <w:tcPr>
                  <w:tcW w:w="637" w:type="dxa"/>
                  <w:tcBorders>
                    <w:right w:val="single" w:color="auto" w:sz="4" w:space="0"/>
                    <w:tl2br w:val="nil"/>
                    <w:tr2bl w:val="nil"/>
                  </w:tcBorders>
                  <w:vAlign w:val="center"/>
                </w:tcPr>
                <w:p w14:paraId="169F81A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t/a</w:t>
                  </w:r>
                </w:p>
              </w:tc>
              <w:tc>
                <w:tcPr>
                  <w:tcW w:w="675" w:type="dxa"/>
                  <w:tcBorders>
                    <w:left w:val="single" w:color="auto" w:sz="4" w:space="0"/>
                    <w:tl2br w:val="nil"/>
                    <w:tr2bl w:val="nil"/>
                  </w:tcBorders>
                  <w:vAlign w:val="center"/>
                </w:tcPr>
                <w:p w14:paraId="451B85D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kg/h</w:t>
                  </w:r>
                </w:p>
              </w:tc>
              <w:tc>
                <w:tcPr>
                  <w:tcW w:w="625" w:type="dxa"/>
                  <w:tcBorders>
                    <w:right w:val="single" w:color="auto" w:sz="4" w:space="0"/>
                    <w:tl2br w:val="nil"/>
                    <w:tr2bl w:val="nil"/>
                  </w:tcBorders>
                  <w:shd w:val="clear" w:color="auto" w:fill="auto"/>
                  <w:vAlign w:val="center"/>
                </w:tcPr>
                <w:p w14:paraId="1AF1BB1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t/a</w:t>
                  </w:r>
                </w:p>
              </w:tc>
              <w:tc>
                <w:tcPr>
                  <w:tcW w:w="613" w:type="dxa"/>
                  <w:tcBorders>
                    <w:left w:val="single" w:color="auto" w:sz="4" w:space="0"/>
                    <w:tl2br w:val="nil"/>
                    <w:tr2bl w:val="nil"/>
                  </w:tcBorders>
                  <w:shd w:val="clear" w:color="auto" w:fill="auto"/>
                  <w:vAlign w:val="center"/>
                </w:tcPr>
                <w:p w14:paraId="20D6E43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kg/h</w:t>
                  </w:r>
                </w:p>
              </w:tc>
              <w:tc>
                <w:tcPr>
                  <w:tcW w:w="637" w:type="dxa"/>
                  <w:tcBorders>
                    <w:right w:val="single" w:color="auto" w:sz="4" w:space="0"/>
                    <w:tl2br w:val="nil"/>
                    <w:tr2bl w:val="nil"/>
                  </w:tcBorders>
                  <w:shd w:val="clear" w:color="auto" w:fill="auto"/>
                  <w:vAlign w:val="center"/>
                </w:tcPr>
                <w:p w14:paraId="5BD170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t/a</w:t>
                  </w:r>
                </w:p>
              </w:tc>
              <w:tc>
                <w:tcPr>
                  <w:tcW w:w="558" w:type="dxa"/>
                  <w:tcBorders>
                    <w:left w:val="single" w:color="auto" w:sz="4" w:space="0"/>
                    <w:tl2br w:val="nil"/>
                    <w:tr2bl w:val="nil"/>
                  </w:tcBorders>
                  <w:shd w:val="clear" w:color="auto" w:fill="auto"/>
                  <w:vAlign w:val="center"/>
                </w:tcPr>
                <w:p w14:paraId="0073547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kg/h</w:t>
                  </w:r>
                </w:p>
              </w:tc>
              <w:tc>
                <w:tcPr>
                  <w:tcW w:w="687" w:type="dxa"/>
                  <w:vMerge w:val="continue"/>
                  <w:tcBorders>
                    <w:tl2br w:val="nil"/>
                    <w:tr2bl w:val="nil"/>
                  </w:tcBorders>
                  <w:vAlign w:val="center"/>
                </w:tcPr>
                <w:p w14:paraId="02F29850">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b/>
                      <w:bCs/>
                      <w:color w:val="auto"/>
                      <w:sz w:val="18"/>
                      <w:szCs w:val="18"/>
                    </w:rPr>
                  </w:pPr>
                </w:p>
              </w:tc>
            </w:tr>
            <w:tr w14:paraId="587C93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9" w:type="dxa"/>
                  <w:tcBorders>
                    <w:tl2br w:val="nil"/>
                    <w:tr2bl w:val="nil"/>
                  </w:tcBorders>
                  <w:vAlign w:val="center"/>
                </w:tcPr>
                <w:p w14:paraId="6BDC776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r>
                    <w:rPr>
                      <w:color w:val="auto"/>
                      <w:sz w:val="18"/>
                      <w:szCs w:val="18"/>
                    </w:rPr>
                    <w:t>熔模铸造</w:t>
                  </w:r>
                </w:p>
              </w:tc>
              <w:tc>
                <w:tcPr>
                  <w:tcW w:w="950" w:type="dxa"/>
                  <w:vMerge w:val="restart"/>
                  <w:tcBorders>
                    <w:tl2br w:val="nil"/>
                    <w:tr2bl w:val="nil"/>
                  </w:tcBorders>
                  <w:vAlign w:val="center"/>
                </w:tcPr>
                <w:p w14:paraId="3D3521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r>
                    <w:rPr>
                      <w:color w:val="auto"/>
                      <w:sz w:val="18"/>
                      <w:szCs w:val="18"/>
                    </w:rPr>
                    <w:t>精密铸钢件</w:t>
                  </w:r>
                  <w:r>
                    <w:rPr>
                      <w:rFonts w:hint="eastAsia"/>
                      <w:color w:val="auto"/>
                      <w:sz w:val="18"/>
                      <w:szCs w:val="18"/>
                      <w:lang w:eastAsia="zh-CN"/>
                    </w:rPr>
                    <w:t>、</w:t>
                  </w:r>
                  <w:r>
                    <w:rPr>
                      <w:color w:val="auto"/>
                      <w:sz w:val="18"/>
                      <w:szCs w:val="18"/>
                    </w:rPr>
                    <w:t>铸铁件</w:t>
                  </w:r>
                </w:p>
              </w:tc>
              <w:tc>
                <w:tcPr>
                  <w:tcW w:w="730" w:type="dxa"/>
                  <w:tcBorders>
                    <w:tl2br w:val="nil"/>
                    <w:tr2bl w:val="nil"/>
                  </w:tcBorders>
                  <w:vAlign w:val="center"/>
                </w:tcPr>
                <w:p w14:paraId="491BCB4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ascii="Times New Roman"/>
                      <w:color w:val="auto"/>
                      <w:sz w:val="18"/>
                      <w:szCs w:val="18"/>
                      <w:highlight w:val="none"/>
                    </w:rPr>
                  </w:pPr>
                  <w:r>
                    <w:rPr>
                      <w:rFonts w:hint="eastAsia" w:ascii="Times New Roman"/>
                      <w:color w:val="auto"/>
                      <w:sz w:val="18"/>
                      <w:szCs w:val="18"/>
                      <w:highlight w:val="none"/>
                      <w:lang w:val="en-US" w:eastAsia="zh-CN"/>
                    </w:rPr>
                    <w:t>3</w:t>
                  </w:r>
                  <w:r>
                    <w:rPr>
                      <w:rFonts w:ascii="Times New Roman"/>
                      <w:color w:val="auto"/>
                      <w:sz w:val="18"/>
                      <w:szCs w:val="18"/>
                      <w:highlight w:val="none"/>
                    </w:rPr>
                    <w:t>000</w:t>
                  </w:r>
                </w:p>
              </w:tc>
              <w:tc>
                <w:tcPr>
                  <w:tcW w:w="750" w:type="dxa"/>
                  <w:tcBorders>
                    <w:tl2br w:val="nil"/>
                    <w:tr2bl w:val="nil"/>
                  </w:tcBorders>
                  <w:vAlign w:val="center"/>
                </w:tcPr>
                <w:p w14:paraId="56B625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ascii="Times New Roman"/>
                      <w:color w:val="auto"/>
                      <w:sz w:val="18"/>
                      <w:szCs w:val="18"/>
                    </w:rPr>
                  </w:pPr>
                  <w:r>
                    <w:rPr>
                      <w:rFonts w:hint="eastAsia" w:ascii="Times New Roman"/>
                      <w:color w:val="auto"/>
                      <w:sz w:val="18"/>
                      <w:szCs w:val="18"/>
                      <w:lang w:val="en-US" w:eastAsia="zh-CN"/>
                    </w:rPr>
                    <w:t>30</w:t>
                  </w:r>
                  <w:r>
                    <w:rPr>
                      <w:rFonts w:ascii="Times New Roman"/>
                      <w:color w:val="auto"/>
                      <w:sz w:val="18"/>
                      <w:szCs w:val="18"/>
                    </w:rPr>
                    <w:t>00</w:t>
                  </w:r>
                </w:p>
              </w:tc>
              <w:tc>
                <w:tcPr>
                  <w:tcW w:w="637" w:type="dxa"/>
                  <w:tcBorders>
                    <w:right w:val="single" w:color="auto" w:sz="4" w:space="0"/>
                    <w:tl2br w:val="nil"/>
                    <w:tr2bl w:val="nil"/>
                  </w:tcBorders>
                  <w:vAlign w:val="center"/>
                </w:tcPr>
                <w:p w14:paraId="485275B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 xml:space="preserve">1.150 </w:t>
                  </w:r>
                </w:p>
              </w:tc>
              <w:tc>
                <w:tcPr>
                  <w:tcW w:w="675" w:type="dxa"/>
                  <w:tcBorders>
                    <w:left w:val="single" w:color="auto" w:sz="4" w:space="0"/>
                    <w:tl2br w:val="nil"/>
                    <w:tr2bl w:val="nil"/>
                  </w:tcBorders>
                  <w:vAlign w:val="center"/>
                </w:tcPr>
                <w:p w14:paraId="523431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 xml:space="preserve">0.383 </w:t>
                  </w:r>
                </w:p>
              </w:tc>
              <w:tc>
                <w:tcPr>
                  <w:tcW w:w="625" w:type="dxa"/>
                  <w:tcBorders>
                    <w:right w:val="single" w:color="auto" w:sz="4" w:space="0"/>
                    <w:tl2br w:val="nil"/>
                    <w:tr2bl w:val="nil"/>
                  </w:tcBorders>
                  <w:vAlign w:val="center"/>
                </w:tcPr>
                <w:p w14:paraId="61711EC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 xml:space="preserve">0.287 </w:t>
                  </w:r>
                </w:p>
              </w:tc>
              <w:tc>
                <w:tcPr>
                  <w:tcW w:w="613" w:type="dxa"/>
                  <w:tcBorders>
                    <w:left w:val="single" w:color="auto" w:sz="4" w:space="0"/>
                    <w:tl2br w:val="nil"/>
                    <w:tr2bl w:val="nil"/>
                  </w:tcBorders>
                  <w:vAlign w:val="center"/>
                </w:tcPr>
                <w:p w14:paraId="4A98E4E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 xml:space="preserve">0.096 </w:t>
                  </w:r>
                </w:p>
              </w:tc>
              <w:tc>
                <w:tcPr>
                  <w:tcW w:w="637" w:type="dxa"/>
                  <w:tcBorders>
                    <w:right w:val="single" w:color="auto" w:sz="4" w:space="0"/>
                    <w:tl2br w:val="nil"/>
                    <w:tr2bl w:val="nil"/>
                  </w:tcBorders>
                  <w:vAlign w:val="center"/>
                </w:tcPr>
                <w:p w14:paraId="2F7A4D4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1.437</w:t>
                  </w:r>
                </w:p>
              </w:tc>
              <w:tc>
                <w:tcPr>
                  <w:tcW w:w="558" w:type="dxa"/>
                  <w:tcBorders>
                    <w:left w:val="single" w:color="auto" w:sz="4" w:space="0"/>
                    <w:tl2br w:val="nil"/>
                    <w:tr2bl w:val="nil"/>
                  </w:tcBorders>
                  <w:vAlign w:val="center"/>
                </w:tcPr>
                <w:p w14:paraId="3DEC14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0.479</w:t>
                  </w:r>
                </w:p>
              </w:tc>
              <w:tc>
                <w:tcPr>
                  <w:tcW w:w="687" w:type="dxa"/>
                  <w:vMerge w:val="restart"/>
                  <w:tcBorders>
                    <w:tl2br w:val="nil"/>
                    <w:tr2bl w:val="nil"/>
                  </w:tcBorders>
                  <w:vAlign w:val="center"/>
                </w:tcPr>
                <w:p w14:paraId="31B3E10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r>
                    <w:rPr>
                      <w:rFonts w:ascii="Times New Roman" w:eastAsia="Times New Roman"/>
                      <w:color w:val="auto"/>
                      <w:sz w:val="18"/>
                      <w:szCs w:val="18"/>
                    </w:rPr>
                    <w:t>1#</w:t>
                  </w:r>
                  <w:r>
                    <w:rPr>
                      <w:color w:val="auto"/>
                      <w:sz w:val="18"/>
                      <w:szCs w:val="18"/>
                    </w:rPr>
                    <w:t>厂房</w:t>
                  </w:r>
                </w:p>
              </w:tc>
            </w:tr>
            <w:tr w14:paraId="0E098E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9" w:type="dxa"/>
                  <w:tcBorders>
                    <w:tl2br w:val="nil"/>
                    <w:tr2bl w:val="nil"/>
                  </w:tcBorders>
                  <w:vAlign w:val="center"/>
                </w:tcPr>
                <w:p w14:paraId="39D3C32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r>
                    <w:rPr>
                      <w:color w:val="auto"/>
                      <w:sz w:val="18"/>
                      <w:szCs w:val="18"/>
                    </w:rPr>
                    <w:t>粘土砂铸造</w:t>
                  </w:r>
                </w:p>
              </w:tc>
              <w:tc>
                <w:tcPr>
                  <w:tcW w:w="950" w:type="dxa"/>
                  <w:vMerge w:val="continue"/>
                  <w:tcBorders>
                    <w:tl2br w:val="nil"/>
                    <w:tr2bl w:val="nil"/>
                  </w:tcBorders>
                  <w:vAlign w:val="center"/>
                </w:tcPr>
                <w:p w14:paraId="5F5149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p>
              </w:tc>
              <w:tc>
                <w:tcPr>
                  <w:tcW w:w="730" w:type="dxa"/>
                  <w:tcBorders>
                    <w:tl2br w:val="nil"/>
                    <w:tr2bl w:val="nil"/>
                  </w:tcBorders>
                  <w:vAlign w:val="center"/>
                </w:tcPr>
                <w:p w14:paraId="6F4652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ascii="Times New Roman"/>
                      <w:color w:val="auto"/>
                      <w:sz w:val="18"/>
                      <w:szCs w:val="18"/>
                      <w:highlight w:val="none"/>
                    </w:rPr>
                  </w:pPr>
                  <w:r>
                    <w:rPr>
                      <w:rFonts w:hint="eastAsia" w:ascii="Times New Roman"/>
                      <w:color w:val="auto"/>
                      <w:sz w:val="18"/>
                      <w:szCs w:val="18"/>
                      <w:highlight w:val="none"/>
                      <w:lang w:val="en-US" w:eastAsia="zh-CN"/>
                    </w:rPr>
                    <w:t>6</w:t>
                  </w:r>
                  <w:r>
                    <w:rPr>
                      <w:rFonts w:ascii="Times New Roman"/>
                      <w:color w:val="auto"/>
                      <w:sz w:val="18"/>
                      <w:szCs w:val="18"/>
                      <w:highlight w:val="none"/>
                    </w:rPr>
                    <w:t>000</w:t>
                  </w:r>
                </w:p>
              </w:tc>
              <w:tc>
                <w:tcPr>
                  <w:tcW w:w="750" w:type="dxa"/>
                  <w:tcBorders>
                    <w:tl2br w:val="nil"/>
                    <w:tr2bl w:val="nil"/>
                  </w:tcBorders>
                  <w:vAlign w:val="center"/>
                </w:tcPr>
                <w:p w14:paraId="6960E6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ascii="Times New Roman"/>
                      <w:color w:val="auto"/>
                      <w:sz w:val="18"/>
                      <w:szCs w:val="18"/>
                    </w:rPr>
                  </w:pPr>
                  <w:r>
                    <w:rPr>
                      <w:rFonts w:hint="eastAsia" w:ascii="Times New Roman"/>
                      <w:color w:val="auto"/>
                      <w:sz w:val="18"/>
                      <w:szCs w:val="18"/>
                      <w:lang w:val="en-US" w:eastAsia="zh-CN"/>
                    </w:rPr>
                    <w:t>30</w:t>
                  </w:r>
                  <w:r>
                    <w:rPr>
                      <w:rFonts w:ascii="Times New Roman"/>
                      <w:color w:val="auto"/>
                      <w:sz w:val="18"/>
                      <w:szCs w:val="18"/>
                    </w:rPr>
                    <w:t>00</w:t>
                  </w:r>
                </w:p>
              </w:tc>
              <w:tc>
                <w:tcPr>
                  <w:tcW w:w="637" w:type="dxa"/>
                  <w:tcBorders>
                    <w:right w:val="single" w:color="auto" w:sz="4" w:space="0"/>
                    <w:tl2br w:val="nil"/>
                    <w:tr2bl w:val="nil"/>
                  </w:tcBorders>
                  <w:vAlign w:val="center"/>
                </w:tcPr>
                <w:p w14:paraId="6ED93D7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 xml:space="preserve">2.299 </w:t>
                  </w:r>
                </w:p>
              </w:tc>
              <w:tc>
                <w:tcPr>
                  <w:tcW w:w="675" w:type="dxa"/>
                  <w:tcBorders>
                    <w:left w:val="single" w:color="auto" w:sz="4" w:space="0"/>
                    <w:tl2br w:val="nil"/>
                    <w:tr2bl w:val="nil"/>
                  </w:tcBorders>
                  <w:vAlign w:val="center"/>
                </w:tcPr>
                <w:p w14:paraId="5B9598C3">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0.766 </w:t>
                  </w:r>
                </w:p>
              </w:tc>
              <w:tc>
                <w:tcPr>
                  <w:tcW w:w="625" w:type="dxa"/>
                  <w:tcBorders>
                    <w:right w:val="single" w:color="auto" w:sz="4" w:space="0"/>
                    <w:tl2br w:val="nil"/>
                    <w:tr2bl w:val="nil"/>
                  </w:tcBorders>
                  <w:vAlign w:val="center"/>
                </w:tcPr>
                <w:p w14:paraId="61E38F09">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0.575 </w:t>
                  </w:r>
                </w:p>
              </w:tc>
              <w:tc>
                <w:tcPr>
                  <w:tcW w:w="613" w:type="dxa"/>
                  <w:tcBorders>
                    <w:left w:val="single" w:color="auto" w:sz="4" w:space="0"/>
                    <w:tl2br w:val="nil"/>
                    <w:tr2bl w:val="nil"/>
                  </w:tcBorders>
                  <w:vAlign w:val="center"/>
                </w:tcPr>
                <w:p w14:paraId="4EB5B2AC">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0.192 </w:t>
                  </w:r>
                </w:p>
              </w:tc>
              <w:tc>
                <w:tcPr>
                  <w:tcW w:w="637" w:type="dxa"/>
                  <w:tcBorders>
                    <w:right w:val="single" w:color="auto" w:sz="4" w:space="0"/>
                    <w:tl2br w:val="nil"/>
                    <w:tr2bl w:val="nil"/>
                  </w:tcBorders>
                  <w:vAlign w:val="center"/>
                </w:tcPr>
                <w:p w14:paraId="752D8CA0">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2.874</w:t>
                  </w:r>
                </w:p>
              </w:tc>
              <w:tc>
                <w:tcPr>
                  <w:tcW w:w="558" w:type="dxa"/>
                  <w:tcBorders>
                    <w:left w:val="single" w:color="auto" w:sz="4" w:space="0"/>
                    <w:tl2br w:val="nil"/>
                    <w:tr2bl w:val="nil"/>
                  </w:tcBorders>
                  <w:vAlign w:val="center"/>
                </w:tcPr>
                <w:p w14:paraId="578DECBC">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0.958</w:t>
                  </w:r>
                </w:p>
              </w:tc>
              <w:tc>
                <w:tcPr>
                  <w:tcW w:w="687" w:type="dxa"/>
                  <w:vMerge w:val="continue"/>
                  <w:tcBorders>
                    <w:tl2br w:val="nil"/>
                    <w:tr2bl w:val="nil"/>
                  </w:tcBorders>
                  <w:vAlign w:val="center"/>
                </w:tcPr>
                <w:p w14:paraId="0CEC057E">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p>
              </w:tc>
            </w:tr>
            <w:tr w14:paraId="79DA6E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9" w:type="dxa"/>
                  <w:tcBorders>
                    <w:tl2br w:val="nil"/>
                    <w:tr2bl w:val="nil"/>
                  </w:tcBorders>
                  <w:vAlign w:val="center"/>
                </w:tcPr>
                <w:p w14:paraId="0E50214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r>
                    <w:rPr>
                      <w:color w:val="auto"/>
                      <w:sz w:val="18"/>
                      <w:szCs w:val="18"/>
                    </w:rPr>
                    <w:t>树脂自硬砂铸造</w:t>
                  </w:r>
                </w:p>
              </w:tc>
              <w:tc>
                <w:tcPr>
                  <w:tcW w:w="950" w:type="dxa"/>
                  <w:vMerge w:val="continue"/>
                  <w:tcBorders>
                    <w:tl2br w:val="nil"/>
                    <w:tr2bl w:val="nil"/>
                  </w:tcBorders>
                  <w:vAlign w:val="center"/>
                </w:tcPr>
                <w:p w14:paraId="0909D304">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p>
              </w:tc>
              <w:tc>
                <w:tcPr>
                  <w:tcW w:w="730" w:type="dxa"/>
                  <w:tcBorders>
                    <w:tl2br w:val="nil"/>
                    <w:tr2bl w:val="nil"/>
                  </w:tcBorders>
                  <w:vAlign w:val="center"/>
                </w:tcPr>
                <w:p w14:paraId="4308C4D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ascii="Times New Roman"/>
                      <w:color w:val="auto"/>
                      <w:sz w:val="18"/>
                      <w:szCs w:val="18"/>
                      <w:highlight w:val="none"/>
                    </w:rPr>
                  </w:pPr>
                  <w:r>
                    <w:rPr>
                      <w:rFonts w:ascii="Times New Roman"/>
                      <w:color w:val="auto"/>
                      <w:sz w:val="18"/>
                      <w:szCs w:val="18"/>
                      <w:highlight w:val="none"/>
                    </w:rPr>
                    <w:t>6000</w:t>
                  </w:r>
                </w:p>
              </w:tc>
              <w:tc>
                <w:tcPr>
                  <w:tcW w:w="750" w:type="dxa"/>
                  <w:tcBorders>
                    <w:tl2br w:val="nil"/>
                    <w:tr2bl w:val="nil"/>
                  </w:tcBorders>
                  <w:vAlign w:val="center"/>
                </w:tcPr>
                <w:p w14:paraId="793DB53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ascii="Times New Roman"/>
                      <w:color w:val="auto"/>
                      <w:sz w:val="18"/>
                      <w:szCs w:val="18"/>
                    </w:rPr>
                  </w:pPr>
                  <w:r>
                    <w:rPr>
                      <w:rFonts w:hint="eastAsia" w:ascii="Times New Roman"/>
                      <w:color w:val="auto"/>
                      <w:sz w:val="18"/>
                      <w:szCs w:val="18"/>
                      <w:lang w:val="en-US" w:eastAsia="zh-CN"/>
                    </w:rPr>
                    <w:t>30</w:t>
                  </w:r>
                  <w:r>
                    <w:rPr>
                      <w:rFonts w:ascii="Times New Roman"/>
                      <w:color w:val="auto"/>
                      <w:sz w:val="18"/>
                      <w:szCs w:val="18"/>
                    </w:rPr>
                    <w:t>00</w:t>
                  </w:r>
                </w:p>
              </w:tc>
              <w:tc>
                <w:tcPr>
                  <w:tcW w:w="637" w:type="dxa"/>
                  <w:tcBorders>
                    <w:right w:val="single" w:color="auto" w:sz="4" w:space="0"/>
                    <w:tl2br w:val="nil"/>
                    <w:tr2bl w:val="nil"/>
                  </w:tcBorders>
                  <w:vAlign w:val="center"/>
                </w:tcPr>
                <w:p w14:paraId="2DF16D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rFonts w:hint="eastAsia" w:ascii="Times New Roman"/>
                      <w:color w:val="auto"/>
                      <w:sz w:val="18"/>
                      <w:szCs w:val="18"/>
                      <w:lang w:val="en-US" w:eastAsia="zh-CN"/>
                    </w:rPr>
                  </w:pPr>
                  <w:r>
                    <w:rPr>
                      <w:rFonts w:hint="default" w:ascii="Times New Roman"/>
                      <w:color w:val="auto"/>
                      <w:sz w:val="18"/>
                      <w:szCs w:val="18"/>
                      <w:lang w:val="en-US" w:eastAsia="zh-CN"/>
                    </w:rPr>
                    <w:t xml:space="preserve">2.299 </w:t>
                  </w:r>
                </w:p>
              </w:tc>
              <w:tc>
                <w:tcPr>
                  <w:tcW w:w="675" w:type="dxa"/>
                  <w:tcBorders>
                    <w:left w:val="single" w:color="auto" w:sz="4" w:space="0"/>
                    <w:tl2br w:val="nil"/>
                    <w:tr2bl w:val="nil"/>
                  </w:tcBorders>
                  <w:vAlign w:val="center"/>
                </w:tcPr>
                <w:p w14:paraId="2C6FB554">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0.766 </w:t>
                  </w:r>
                </w:p>
              </w:tc>
              <w:tc>
                <w:tcPr>
                  <w:tcW w:w="625" w:type="dxa"/>
                  <w:tcBorders>
                    <w:right w:val="single" w:color="auto" w:sz="4" w:space="0"/>
                    <w:tl2br w:val="nil"/>
                    <w:tr2bl w:val="nil"/>
                  </w:tcBorders>
                  <w:vAlign w:val="center"/>
                </w:tcPr>
                <w:p w14:paraId="20A7A7C4">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0.575 </w:t>
                  </w:r>
                </w:p>
              </w:tc>
              <w:tc>
                <w:tcPr>
                  <w:tcW w:w="613" w:type="dxa"/>
                  <w:tcBorders>
                    <w:left w:val="single" w:color="auto" w:sz="4" w:space="0"/>
                    <w:tl2br w:val="nil"/>
                    <w:tr2bl w:val="nil"/>
                  </w:tcBorders>
                  <w:vAlign w:val="center"/>
                </w:tcPr>
                <w:p w14:paraId="2F096A00">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0.192 </w:t>
                  </w:r>
                </w:p>
              </w:tc>
              <w:tc>
                <w:tcPr>
                  <w:tcW w:w="637" w:type="dxa"/>
                  <w:tcBorders>
                    <w:right w:val="single" w:color="auto" w:sz="4" w:space="0"/>
                    <w:tl2br w:val="nil"/>
                    <w:tr2bl w:val="nil"/>
                  </w:tcBorders>
                  <w:vAlign w:val="center"/>
                </w:tcPr>
                <w:p w14:paraId="313864B7">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2.874</w:t>
                  </w:r>
                </w:p>
              </w:tc>
              <w:tc>
                <w:tcPr>
                  <w:tcW w:w="558" w:type="dxa"/>
                  <w:tcBorders>
                    <w:left w:val="single" w:color="auto" w:sz="4" w:space="0"/>
                    <w:tl2br w:val="nil"/>
                    <w:tr2bl w:val="nil"/>
                  </w:tcBorders>
                  <w:vAlign w:val="center"/>
                </w:tcPr>
                <w:p w14:paraId="51E993F1">
                  <w:pPr>
                    <w:keepNext w:val="0"/>
                    <w:keepLines w:val="0"/>
                    <w:widowControl/>
                    <w:suppressLineNumbers w:val="0"/>
                    <w:jc w:val="center"/>
                    <w:textAlignment w:val="center"/>
                    <w:rPr>
                      <w:rFonts w:hint="eastAsia" w:ascii="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0.958</w:t>
                  </w:r>
                </w:p>
              </w:tc>
              <w:tc>
                <w:tcPr>
                  <w:tcW w:w="687" w:type="dxa"/>
                  <w:vMerge w:val="continue"/>
                  <w:tcBorders>
                    <w:tl2br w:val="nil"/>
                    <w:tr2bl w:val="nil"/>
                  </w:tcBorders>
                  <w:vAlign w:val="center"/>
                </w:tcPr>
                <w:p w14:paraId="7218185D">
                  <w:pPr>
                    <w:keepNext w:val="0"/>
                    <w:keepLines w:val="0"/>
                    <w:pageBreakBefore w:val="0"/>
                    <w:widowControl w:val="0"/>
                    <w:kinsoku/>
                    <w:wordWrap/>
                    <w:overflowPunct/>
                    <w:topLinePunct w:val="0"/>
                    <w:autoSpaceDE w:val="0"/>
                    <w:autoSpaceDN w:val="0"/>
                    <w:bidi w:val="0"/>
                    <w:adjustRightInd/>
                    <w:snapToGrid/>
                    <w:spacing w:before="0" w:line="0" w:lineRule="atLeast"/>
                    <w:ind w:left="0" w:right="0"/>
                    <w:jc w:val="center"/>
                    <w:textAlignment w:val="auto"/>
                    <w:rPr>
                      <w:color w:val="auto"/>
                      <w:sz w:val="18"/>
                      <w:szCs w:val="18"/>
                    </w:rPr>
                  </w:pPr>
                </w:p>
              </w:tc>
            </w:tr>
          </w:tbl>
          <w:p w14:paraId="4761A36F">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p>
          <w:p w14:paraId="2908DFF7">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②制芯废气</w:t>
            </w:r>
          </w:p>
          <w:p w14:paraId="431B1DAD">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项目制芯工艺分为两种：三乙胺冷芯盒制芯和覆膜砂热芯盒制芯。参考《排放源统计调查产排污核算方法和系数手册》：覆膜砂热芯盒工艺的产污系数为：颗粒物0.330kg/t·产品、挥发性有机物0.050kg/t·产品；三乙胺冷芯盒工艺的产污系数为：颗粒物0.218kg/t·产品、挥发性有机物0.0783kg/t·产品，根据《排污单位自行监测技术指南 金属铸造工业》（HJ1251-2022），三乙胺制芯工艺污染物控制指标为臭气浓度，鉴于冷芯盒制芯过程产生的恶臭主要来源于挥发性有机物，且目前尚无</w:t>
            </w:r>
            <w:r>
              <w:rPr>
                <w:rFonts w:hint="eastAsia"/>
                <w:color w:val="auto"/>
                <w:sz w:val="24"/>
                <w:szCs w:val="24"/>
                <w:highlight w:val="none"/>
                <w:lang w:val="en-US" w:eastAsia="zh-CN"/>
              </w:rPr>
              <w:t>该</w:t>
            </w:r>
            <w:r>
              <w:rPr>
                <w:rFonts w:hint="eastAsia" w:ascii="Times New Roman" w:eastAsia="宋体"/>
                <w:color w:val="auto"/>
                <w:sz w:val="24"/>
                <w:szCs w:val="24"/>
                <w:highlight w:val="none"/>
                <w:lang w:eastAsia="zh-CN"/>
              </w:rPr>
              <w:t>工序臭气浓度的产污系数，故本报告不对其进行定量分析。</w:t>
            </w:r>
          </w:p>
          <w:p w14:paraId="318D9D6B">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根据制芯工序，项目覆膜砂中含2.8%的酚醛树脂（其游离甲醛含量＜0.5%），树脂在热芯盒制芯过程因受热会产生少量的甲醛。根据设备特点，项目热芯盒射芯机设置半包围式的集气罩收集制芯废气，收集效率按</w:t>
            </w:r>
            <w:r>
              <w:rPr>
                <w:rFonts w:hint="eastAsia"/>
                <w:color w:val="auto"/>
                <w:sz w:val="24"/>
                <w:szCs w:val="24"/>
                <w:highlight w:val="none"/>
                <w:lang w:val="en-US" w:eastAsia="zh-CN"/>
              </w:rPr>
              <w:t>9</w:t>
            </w:r>
            <w:r>
              <w:rPr>
                <w:rFonts w:hint="eastAsia" w:ascii="Times New Roman" w:eastAsia="宋体"/>
                <w:color w:val="auto"/>
                <w:sz w:val="24"/>
                <w:szCs w:val="24"/>
                <w:highlight w:val="none"/>
                <w:lang w:eastAsia="zh-CN"/>
              </w:rPr>
              <w:t>0%计；冷芯盒射芯机为封闭设备，收集效率按100%计，项目制芯废气污染物产生量详见下表。</w:t>
            </w:r>
          </w:p>
          <w:p w14:paraId="20B20205">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5</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w:t>
            </w:r>
            <w:r>
              <w:rPr>
                <w:rFonts w:hint="eastAsia" w:ascii="Times New Roman" w:eastAsia="宋体"/>
                <w:b/>
                <w:bCs/>
                <w:color w:val="auto"/>
                <w:sz w:val="24"/>
                <w:szCs w:val="24"/>
                <w:highlight w:val="none"/>
                <w:lang w:eastAsia="zh-CN"/>
              </w:rPr>
              <w:t>制芯废气污染物产生情况一览表</w:t>
            </w:r>
          </w:p>
          <w:tbl>
            <w:tblPr>
              <w:tblStyle w:val="29"/>
              <w:tblW w:w="829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4"/>
              <w:gridCol w:w="750"/>
              <w:gridCol w:w="504"/>
              <w:gridCol w:w="610"/>
              <w:gridCol w:w="579"/>
              <w:gridCol w:w="911"/>
              <w:gridCol w:w="653"/>
              <w:gridCol w:w="686"/>
              <w:gridCol w:w="621"/>
              <w:gridCol w:w="633"/>
              <w:gridCol w:w="600"/>
              <w:gridCol w:w="632"/>
              <w:gridCol w:w="601"/>
            </w:tblGrid>
            <w:tr w14:paraId="0A2BDE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restart"/>
                  <w:tcBorders>
                    <w:tl2br w:val="nil"/>
                    <w:tr2bl w:val="nil"/>
                  </w:tcBorders>
                  <w:vAlign w:val="center"/>
                </w:tcPr>
                <w:p w14:paraId="762DD5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pacing w:val="-1"/>
                      <w:sz w:val="18"/>
                      <w:szCs w:val="18"/>
                    </w:rPr>
                    <w:t>制芯工艺</w:t>
                  </w:r>
                </w:p>
              </w:tc>
              <w:tc>
                <w:tcPr>
                  <w:tcW w:w="750" w:type="dxa"/>
                  <w:vMerge w:val="restart"/>
                  <w:tcBorders>
                    <w:tl2br w:val="nil"/>
                    <w:tr2bl w:val="nil"/>
                  </w:tcBorders>
                  <w:vAlign w:val="center"/>
                </w:tcPr>
                <w:p w14:paraId="3DF6DBC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z w:val="18"/>
                      <w:szCs w:val="18"/>
                    </w:rPr>
                    <w:t>配套</w:t>
                  </w:r>
                  <w:r>
                    <w:rPr>
                      <w:b/>
                      <w:bCs/>
                      <w:color w:val="auto"/>
                      <w:spacing w:val="-1"/>
                      <w:sz w:val="18"/>
                      <w:szCs w:val="18"/>
                    </w:rPr>
                    <w:t>铸造工艺</w:t>
                  </w:r>
                </w:p>
              </w:tc>
              <w:tc>
                <w:tcPr>
                  <w:tcW w:w="504" w:type="dxa"/>
                  <w:vMerge w:val="restart"/>
                  <w:tcBorders>
                    <w:tl2br w:val="nil"/>
                    <w:tr2bl w:val="nil"/>
                  </w:tcBorders>
                  <w:vAlign w:val="center"/>
                </w:tcPr>
                <w:p w14:paraId="71C1782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z w:val="18"/>
                      <w:szCs w:val="18"/>
                    </w:rPr>
                    <w:t>产品</w:t>
                  </w:r>
                </w:p>
              </w:tc>
              <w:tc>
                <w:tcPr>
                  <w:tcW w:w="610" w:type="dxa"/>
                  <w:vMerge w:val="restart"/>
                  <w:tcBorders>
                    <w:tl2br w:val="nil"/>
                    <w:tr2bl w:val="nil"/>
                  </w:tcBorders>
                  <w:vAlign w:val="center"/>
                </w:tcPr>
                <w:p w14:paraId="3F3C431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pacing w:val="-1"/>
                      <w:sz w:val="18"/>
                      <w:szCs w:val="18"/>
                    </w:rPr>
                    <w:t>对应产能</w:t>
                  </w:r>
                  <w:r>
                    <w:rPr>
                      <w:b/>
                      <w:bCs/>
                      <w:color w:val="auto"/>
                      <w:sz w:val="18"/>
                      <w:szCs w:val="18"/>
                    </w:rPr>
                    <w:t>（</w:t>
                  </w:r>
                  <w:r>
                    <w:rPr>
                      <w:rFonts w:ascii="Times New Roman" w:eastAsia="Times New Roman"/>
                      <w:b/>
                      <w:bCs/>
                      <w:color w:val="auto"/>
                      <w:sz w:val="18"/>
                      <w:szCs w:val="18"/>
                    </w:rPr>
                    <w:t>t/a</w:t>
                  </w:r>
                  <w:r>
                    <w:rPr>
                      <w:b/>
                      <w:bCs/>
                      <w:color w:val="auto"/>
                      <w:sz w:val="18"/>
                      <w:szCs w:val="18"/>
                    </w:rPr>
                    <w:t>）</w:t>
                  </w:r>
                </w:p>
              </w:tc>
              <w:tc>
                <w:tcPr>
                  <w:tcW w:w="579" w:type="dxa"/>
                  <w:vMerge w:val="restart"/>
                  <w:tcBorders>
                    <w:tl2br w:val="nil"/>
                    <w:tr2bl w:val="nil"/>
                  </w:tcBorders>
                  <w:vAlign w:val="center"/>
                </w:tcPr>
                <w:p w14:paraId="0D278A8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highlight w:val="none"/>
                    </w:rPr>
                  </w:pPr>
                  <w:r>
                    <w:rPr>
                      <w:b/>
                      <w:bCs/>
                      <w:color w:val="auto"/>
                      <w:sz w:val="18"/>
                      <w:szCs w:val="18"/>
                      <w:highlight w:val="none"/>
                    </w:rPr>
                    <w:t>工作时间（</w:t>
                  </w:r>
                  <w:r>
                    <w:rPr>
                      <w:rFonts w:ascii="Times New Roman" w:eastAsia="Times New Roman"/>
                      <w:b/>
                      <w:bCs/>
                      <w:color w:val="auto"/>
                      <w:sz w:val="18"/>
                      <w:szCs w:val="18"/>
                      <w:highlight w:val="none"/>
                    </w:rPr>
                    <w:t>h/a</w:t>
                  </w:r>
                  <w:r>
                    <w:rPr>
                      <w:b/>
                      <w:bCs/>
                      <w:color w:val="auto"/>
                      <w:sz w:val="18"/>
                      <w:szCs w:val="18"/>
                      <w:highlight w:val="none"/>
                    </w:rPr>
                    <w:t>）</w:t>
                  </w:r>
                </w:p>
              </w:tc>
              <w:tc>
                <w:tcPr>
                  <w:tcW w:w="911" w:type="dxa"/>
                  <w:vMerge w:val="restart"/>
                  <w:tcBorders>
                    <w:tl2br w:val="nil"/>
                    <w:tr2bl w:val="nil"/>
                  </w:tcBorders>
                  <w:vAlign w:val="center"/>
                </w:tcPr>
                <w:p w14:paraId="71C781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z w:val="18"/>
                      <w:szCs w:val="18"/>
                    </w:rPr>
                    <w:t>污染物</w:t>
                  </w:r>
                </w:p>
              </w:tc>
              <w:tc>
                <w:tcPr>
                  <w:tcW w:w="3825" w:type="dxa"/>
                  <w:gridSpan w:val="6"/>
                  <w:tcBorders>
                    <w:tl2br w:val="nil"/>
                    <w:tr2bl w:val="nil"/>
                  </w:tcBorders>
                  <w:vAlign w:val="center"/>
                </w:tcPr>
                <w:p w14:paraId="1B24915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z w:val="18"/>
                      <w:szCs w:val="18"/>
                    </w:rPr>
                    <w:t>产生量（</w:t>
                  </w:r>
                  <w:r>
                    <w:rPr>
                      <w:rFonts w:ascii="Times New Roman" w:eastAsia="Times New Roman"/>
                      <w:b/>
                      <w:bCs/>
                      <w:color w:val="auto"/>
                      <w:sz w:val="18"/>
                      <w:szCs w:val="18"/>
                    </w:rPr>
                    <w:t>kg/h</w:t>
                  </w:r>
                  <w:r>
                    <w:rPr>
                      <w:b/>
                      <w:bCs/>
                      <w:color w:val="auto"/>
                      <w:sz w:val="18"/>
                      <w:szCs w:val="18"/>
                    </w:rPr>
                    <w:t>）</w:t>
                  </w:r>
                </w:p>
              </w:tc>
              <w:tc>
                <w:tcPr>
                  <w:tcW w:w="601" w:type="dxa"/>
                  <w:vMerge w:val="restart"/>
                  <w:tcBorders>
                    <w:tl2br w:val="nil"/>
                    <w:tr2bl w:val="nil"/>
                  </w:tcBorders>
                  <w:vAlign w:val="center"/>
                </w:tcPr>
                <w:p w14:paraId="382B8D5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pacing w:val="-1"/>
                      <w:sz w:val="18"/>
                      <w:szCs w:val="18"/>
                    </w:rPr>
                    <w:t>所在位置</w:t>
                  </w:r>
                </w:p>
              </w:tc>
            </w:tr>
            <w:tr w14:paraId="7779D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continue"/>
                  <w:tcBorders>
                    <w:tl2br w:val="nil"/>
                    <w:tr2bl w:val="nil"/>
                  </w:tcBorders>
                  <w:vAlign w:val="center"/>
                </w:tcPr>
                <w:p w14:paraId="2F352B5E">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750" w:type="dxa"/>
                  <w:vMerge w:val="continue"/>
                  <w:tcBorders>
                    <w:tl2br w:val="nil"/>
                    <w:tr2bl w:val="nil"/>
                  </w:tcBorders>
                  <w:vAlign w:val="center"/>
                </w:tcPr>
                <w:p w14:paraId="6478C01C">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504" w:type="dxa"/>
                  <w:vMerge w:val="continue"/>
                  <w:tcBorders>
                    <w:tl2br w:val="nil"/>
                    <w:tr2bl w:val="nil"/>
                  </w:tcBorders>
                  <w:vAlign w:val="center"/>
                </w:tcPr>
                <w:p w14:paraId="1003344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610" w:type="dxa"/>
                  <w:vMerge w:val="continue"/>
                  <w:tcBorders>
                    <w:tl2br w:val="nil"/>
                    <w:tr2bl w:val="nil"/>
                  </w:tcBorders>
                  <w:vAlign w:val="center"/>
                </w:tcPr>
                <w:p w14:paraId="24753BC9">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579" w:type="dxa"/>
                  <w:vMerge w:val="continue"/>
                  <w:tcBorders>
                    <w:tl2br w:val="nil"/>
                    <w:tr2bl w:val="nil"/>
                  </w:tcBorders>
                  <w:vAlign w:val="center"/>
                </w:tcPr>
                <w:p w14:paraId="397B5F98">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highlight w:val="none"/>
                    </w:rPr>
                  </w:pPr>
                </w:p>
              </w:tc>
              <w:tc>
                <w:tcPr>
                  <w:tcW w:w="911" w:type="dxa"/>
                  <w:vMerge w:val="continue"/>
                  <w:tcBorders>
                    <w:tl2br w:val="nil"/>
                    <w:tr2bl w:val="nil"/>
                  </w:tcBorders>
                  <w:vAlign w:val="center"/>
                </w:tcPr>
                <w:p w14:paraId="681D0489">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1339" w:type="dxa"/>
                  <w:gridSpan w:val="2"/>
                  <w:tcBorders>
                    <w:tl2br w:val="nil"/>
                    <w:tr2bl w:val="nil"/>
                  </w:tcBorders>
                  <w:vAlign w:val="center"/>
                </w:tcPr>
                <w:p w14:paraId="47718AC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z w:val="18"/>
                      <w:szCs w:val="18"/>
                    </w:rPr>
                    <w:t>有组织</w:t>
                  </w:r>
                </w:p>
              </w:tc>
              <w:tc>
                <w:tcPr>
                  <w:tcW w:w="1254" w:type="dxa"/>
                  <w:gridSpan w:val="2"/>
                  <w:tcBorders>
                    <w:tl2br w:val="nil"/>
                    <w:tr2bl w:val="nil"/>
                  </w:tcBorders>
                  <w:vAlign w:val="center"/>
                </w:tcPr>
                <w:p w14:paraId="7AA759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z w:val="18"/>
                      <w:szCs w:val="18"/>
                    </w:rPr>
                    <w:t>无组织</w:t>
                  </w:r>
                </w:p>
              </w:tc>
              <w:tc>
                <w:tcPr>
                  <w:tcW w:w="1232" w:type="dxa"/>
                  <w:gridSpan w:val="2"/>
                  <w:tcBorders>
                    <w:tl2br w:val="nil"/>
                    <w:tr2bl w:val="nil"/>
                  </w:tcBorders>
                  <w:vAlign w:val="center"/>
                </w:tcPr>
                <w:p w14:paraId="417F8C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r>
                    <w:rPr>
                      <w:b/>
                      <w:bCs/>
                      <w:color w:val="auto"/>
                      <w:sz w:val="18"/>
                      <w:szCs w:val="18"/>
                    </w:rPr>
                    <w:t>合计</w:t>
                  </w:r>
                </w:p>
              </w:tc>
              <w:tc>
                <w:tcPr>
                  <w:tcW w:w="601" w:type="dxa"/>
                  <w:vMerge w:val="continue"/>
                  <w:tcBorders>
                    <w:tl2br w:val="nil"/>
                    <w:tr2bl w:val="nil"/>
                  </w:tcBorders>
                  <w:vAlign w:val="center"/>
                </w:tcPr>
                <w:p w14:paraId="3C84758A">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r>
            <w:tr w14:paraId="37C923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continue"/>
                  <w:tcBorders>
                    <w:tl2br w:val="nil"/>
                    <w:tr2bl w:val="nil"/>
                  </w:tcBorders>
                  <w:vAlign w:val="center"/>
                </w:tcPr>
                <w:p w14:paraId="7BA5082F">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750" w:type="dxa"/>
                  <w:vMerge w:val="continue"/>
                  <w:tcBorders>
                    <w:tl2br w:val="nil"/>
                    <w:tr2bl w:val="nil"/>
                  </w:tcBorders>
                  <w:vAlign w:val="center"/>
                </w:tcPr>
                <w:p w14:paraId="1B079036">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504" w:type="dxa"/>
                  <w:vMerge w:val="continue"/>
                  <w:tcBorders>
                    <w:tl2br w:val="nil"/>
                    <w:tr2bl w:val="nil"/>
                  </w:tcBorders>
                  <w:vAlign w:val="center"/>
                </w:tcPr>
                <w:p w14:paraId="010760BC">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610" w:type="dxa"/>
                  <w:vMerge w:val="continue"/>
                  <w:tcBorders>
                    <w:tl2br w:val="nil"/>
                    <w:tr2bl w:val="nil"/>
                  </w:tcBorders>
                  <w:vAlign w:val="center"/>
                </w:tcPr>
                <w:p w14:paraId="2845EB7D">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579" w:type="dxa"/>
                  <w:vMerge w:val="continue"/>
                  <w:tcBorders>
                    <w:tl2br w:val="nil"/>
                    <w:tr2bl w:val="nil"/>
                  </w:tcBorders>
                  <w:vAlign w:val="center"/>
                </w:tcPr>
                <w:p w14:paraId="6F1F5DA9">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highlight w:val="none"/>
                    </w:rPr>
                  </w:pPr>
                </w:p>
              </w:tc>
              <w:tc>
                <w:tcPr>
                  <w:tcW w:w="911" w:type="dxa"/>
                  <w:vMerge w:val="continue"/>
                  <w:tcBorders>
                    <w:tl2br w:val="nil"/>
                    <w:tr2bl w:val="nil"/>
                  </w:tcBorders>
                  <w:vAlign w:val="center"/>
                </w:tcPr>
                <w:p w14:paraId="53984999">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c>
                <w:tcPr>
                  <w:tcW w:w="653" w:type="dxa"/>
                  <w:tcBorders>
                    <w:right w:val="single" w:color="auto" w:sz="4" w:space="0"/>
                    <w:tl2br w:val="nil"/>
                    <w:tr2bl w:val="nil"/>
                  </w:tcBorders>
                  <w:vAlign w:val="center"/>
                </w:tcPr>
                <w:p w14:paraId="3922E00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t/a</w:t>
                  </w:r>
                </w:p>
              </w:tc>
              <w:tc>
                <w:tcPr>
                  <w:tcW w:w="686" w:type="dxa"/>
                  <w:tcBorders>
                    <w:left w:val="single" w:color="auto" w:sz="4" w:space="0"/>
                    <w:tl2br w:val="nil"/>
                    <w:tr2bl w:val="nil"/>
                  </w:tcBorders>
                  <w:vAlign w:val="center"/>
                </w:tcPr>
                <w:p w14:paraId="4991617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kg/h</w:t>
                  </w:r>
                </w:p>
              </w:tc>
              <w:tc>
                <w:tcPr>
                  <w:tcW w:w="621" w:type="dxa"/>
                  <w:tcBorders>
                    <w:right w:val="single" w:color="auto" w:sz="4" w:space="0"/>
                    <w:tl2br w:val="nil"/>
                    <w:tr2bl w:val="nil"/>
                  </w:tcBorders>
                  <w:vAlign w:val="center"/>
                </w:tcPr>
                <w:p w14:paraId="065DE49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t/a</w:t>
                  </w:r>
                </w:p>
              </w:tc>
              <w:tc>
                <w:tcPr>
                  <w:tcW w:w="633" w:type="dxa"/>
                  <w:tcBorders>
                    <w:left w:val="single" w:color="auto" w:sz="4" w:space="0"/>
                    <w:tl2br w:val="nil"/>
                    <w:tr2bl w:val="nil"/>
                  </w:tcBorders>
                  <w:vAlign w:val="center"/>
                </w:tcPr>
                <w:p w14:paraId="3E4FBF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kg/h</w:t>
                  </w:r>
                </w:p>
              </w:tc>
              <w:tc>
                <w:tcPr>
                  <w:tcW w:w="600" w:type="dxa"/>
                  <w:tcBorders>
                    <w:right w:val="single" w:color="auto" w:sz="4" w:space="0"/>
                    <w:tl2br w:val="nil"/>
                    <w:tr2bl w:val="nil"/>
                  </w:tcBorders>
                  <w:vAlign w:val="center"/>
                </w:tcPr>
                <w:p w14:paraId="27DB28C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t/a</w:t>
                  </w:r>
                </w:p>
              </w:tc>
              <w:tc>
                <w:tcPr>
                  <w:tcW w:w="632" w:type="dxa"/>
                  <w:tcBorders>
                    <w:left w:val="single" w:color="auto" w:sz="4" w:space="0"/>
                    <w:tl2br w:val="nil"/>
                    <w:tr2bl w:val="nil"/>
                  </w:tcBorders>
                  <w:vAlign w:val="center"/>
                </w:tcPr>
                <w:p w14:paraId="19C682B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kg/h</w:t>
                  </w:r>
                </w:p>
              </w:tc>
              <w:tc>
                <w:tcPr>
                  <w:tcW w:w="601" w:type="dxa"/>
                  <w:vMerge w:val="continue"/>
                  <w:tcBorders>
                    <w:tl2br w:val="nil"/>
                    <w:tr2bl w:val="nil"/>
                  </w:tcBorders>
                  <w:vAlign w:val="center"/>
                </w:tcPr>
                <w:p w14:paraId="48F70057">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b/>
                      <w:bCs/>
                      <w:color w:val="auto"/>
                      <w:sz w:val="18"/>
                      <w:szCs w:val="18"/>
                    </w:rPr>
                  </w:pPr>
                </w:p>
              </w:tc>
            </w:tr>
            <w:tr w14:paraId="08344C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restart"/>
                  <w:tcBorders>
                    <w:tl2br w:val="nil"/>
                    <w:tr2bl w:val="nil"/>
                  </w:tcBorders>
                  <w:vAlign w:val="center"/>
                </w:tcPr>
                <w:p w14:paraId="799F2E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z w:val="18"/>
                      <w:szCs w:val="18"/>
                    </w:rPr>
                    <w:t>冷芯盒</w:t>
                  </w:r>
                </w:p>
              </w:tc>
              <w:tc>
                <w:tcPr>
                  <w:tcW w:w="750" w:type="dxa"/>
                  <w:vMerge w:val="restart"/>
                  <w:tcBorders>
                    <w:tl2br w:val="nil"/>
                    <w:tr2bl w:val="nil"/>
                  </w:tcBorders>
                  <w:vAlign w:val="center"/>
                </w:tcPr>
                <w:p w14:paraId="000163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z w:val="18"/>
                      <w:szCs w:val="18"/>
                    </w:rPr>
                    <w:t>粘土砂铸造</w:t>
                  </w:r>
                </w:p>
              </w:tc>
              <w:tc>
                <w:tcPr>
                  <w:tcW w:w="504" w:type="dxa"/>
                  <w:vMerge w:val="restart"/>
                  <w:tcBorders>
                    <w:tl2br w:val="nil"/>
                    <w:tr2bl w:val="nil"/>
                  </w:tcBorders>
                  <w:vAlign w:val="center"/>
                </w:tcPr>
                <w:p w14:paraId="62ABEF5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z w:val="18"/>
                      <w:szCs w:val="18"/>
                    </w:rPr>
                    <w:t>精密铸铁件</w:t>
                  </w:r>
                </w:p>
              </w:tc>
              <w:tc>
                <w:tcPr>
                  <w:tcW w:w="610" w:type="dxa"/>
                  <w:vMerge w:val="restart"/>
                  <w:tcBorders>
                    <w:tl2br w:val="nil"/>
                    <w:tr2bl w:val="nil"/>
                  </w:tcBorders>
                  <w:vAlign w:val="center"/>
                </w:tcPr>
                <w:p w14:paraId="5C7846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ascii="Times New Roman"/>
                      <w:color w:val="auto"/>
                      <w:sz w:val="18"/>
                      <w:szCs w:val="18"/>
                    </w:rPr>
                  </w:pPr>
                  <w:r>
                    <w:rPr>
                      <w:rFonts w:hint="eastAsia" w:ascii="Times New Roman"/>
                      <w:color w:val="auto"/>
                      <w:sz w:val="18"/>
                      <w:szCs w:val="18"/>
                      <w:lang w:val="en-US" w:eastAsia="zh-CN"/>
                    </w:rPr>
                    <w:t>6</w:t>
                  </w:r>
                  <w:r>
                    <w:rPr>
                      <w:rFonts w:ascii="Times New Roman"/>
                      <w:color w:val="auto"/>
                      <w:sz w:val="18"/>
                      <w:szCs w:val="18"/>
                    </w:rPr>
                    <w:t>000</w:t>
                  </w:r>
                </w:p>
              </w:tc>
              <w:tc>
                <w:tcPr>
                  <w:tcW w:w="579" w:type="dxa"/>
                  <w:vMerge w:val="restart"/>
                  <w:tcBorders>
                    <w:tl2br w:val="nil"/>
                    <w:tr2bl w:val="nil"/>
                  </w:tcBorders>
                  <w:vAlign w:val="center"/>
                </w:tcPr>
                <w:p w14:paraId="46B3B5D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ascii="Times New Roman"/>
                      <w:color w:val="auto"/>
                      <w:sz w:val="18"/>
                      <w:szCs w:val="18"/>
                      <w:highlight w:val="none"/>
                    </w:rPr>
                  </w:pPr>
                  <w:r>
                    <w:rPr>
                      <w:rFonts w:hint="eastAsia"/>
                      <w:color w:val="auto"/>
                      <w:sz w:val="18"/>
                      <w:szCs w:val="18"/>
                      <w:highlight w:val="none"/>
                      <w:lang w:val="en-US" w:eastAsia="zh-CN"/>
                    </w:rPr>
                    <w:t>30</w:t>
                  </w:r>
                  <w:r>
                    <w:rPr>
                      <w:rFonts w:ascii="Times New Roman"/>
                      <w:color w:val="auto"/>
                      <w:sz w:val="18"/>
                      <w:szCs w:val="18"/>
                      <w:highlight w:val="none"/>
                    </w:rPr>
                    <w:t>00</w:t>
                  </w:r>
                </w:p>
              </w:tc>
              <w:tc>
                <w:tcPr>
                  <w:tcW w:w="911" w:type="dxa"/>
                  <w:tcBorders>
                    <w:tl2br w:val="nil"/>
                    <w:tr2bl w:val="nil"/>
                  </w:tcBorders>
                  <w:vAlign w:val="center"/>
                </w:tcPr>
                <w:p w14:paraId="799EE5E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z w:val="18"/>
                      <w:szCs w:val="18"/>
                    </w:rPr>
                    <w:t>颗粒物</w:t>
                  </w:r>
                </w:p>
              </w:tc>
              <w:tc>
                <w:tcPr>
                  <w:tcW w:w="653" w:type="dxa"/>
                  <w:tcBorders>
                    <w:right w:val="single" w:color="auto" w:sz="4" w:space="0"/>
                    <w:tl2br w:val="nil"/>
                    <w:tr2bl w:val="nil"/>
                  </w:tcBorders>
                  <w:vAlign w:val="center"/>
                </w:tcPr>
                <w:p w14:paraId="1822EF32">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1.308 </w:t>
                  </w:r>
                </w:p>
              </w:tc>
              <w:tc>
                <w:tcPr>
                  <w:tcW w:w="686" w:type="dxa"/>
                  <w:tcBorders>
                    <w:left w:val="single" w:color="auto" w:sz="4" w:space="0"/>
                    <w:tl2br w:val="nil"/>
                    <w:tr2bl w:val="nil"/>
                  </w:tcBorders>
                  <w:vAlign w:val="center"/>
                </w:tcPr>
                <w:p w14:paraId="2E8D7A7B">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0.654 </w:t>
                  </w:r>
                </w:p>
              </w:tc>
              <w:tc>
                <w:tcPr>
                  <w:tcW w:w="621" w:type="dxa"/>
                  <w:tcBorders>
                    <w:right w:val="single" w:color="auto" w:sz="4" w:space="0"/>
                    <w:tl2br w:val="nil"/>
                    <w:tr2bl w:val="nil"/>
                  </w:tcBorders>
                  <w:vAlign w:val="center"/>
                </w:tcPr>
                <w:p w14:paraId="77EE0D24">
                  <w:pPr>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w:t>
                  </w:r>
                </w:p>
              </w:tc>
              <w:tc>
                <w:tcPr>
                  <w:tcW w:w="633" w:type="dxa"/>
                  <w:tcBorders>
                    <w:left w:val="single" w:color="auto" w:sz="4" w:space="0"/>
                    <w:tl2br w:val="nil"/>
                    <w:tr2bl w:val="nil"/>
                  </w:tcBorders>
                  <w:vAlign w:val="center"/>
                </w:tcPr>
                <w:p w14:paraId="2D0BECD3">
                  <w:pPr>
                    <w:jc w:val="center"/>
                    <w:rPr>
                      <w:rFonts w:hint="default" w:ascii="Times New Roman" w:eastAsia="宋体"/>
                      <w:color w:val="auto"/>
                      <w:sz w:val="18"/>
                      <w:szCs w:val="18"/>
                      <w:lang w:val="en-US" w:eastAsia="zh-CN"/>
                    </w:rPr>
                  </w:pPr>
                  <w:r>
                    <w:rPr>
                      <w:rFonts w:hint="eastAsia" w:ascii="Times New Roman"/>
                      <w:color w:val="auto"/>
                      <w:sz w:val="18"/>
                      <w:szCs w:val="18"/>
                      <w:lang w:val="en-US" w:eastAsia="zh-CN"/>
                    </w:rPr>
                    <w:t>/</w:t>
                  </w:r>
                </w:p>
              </w:tc>
              <w:tc>
                <w:tcPr>
                  <w:tcW w:w="600" w:type="dxa"/>
                  <w:tcBorders>
                    <w:right w:val="single" w:color="auto" w:sz="4" w:space="0"/>
                    <w:tl2br w:val="nil"/>
                    <w:tr2bl w:val="nil"/>
                  </w:tcBorders>
                  <w:vAlign w:val="center"/>
                </w:tcPr>
                <w:p w14:paraId="4CF52FB3">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1.308 </w:t>
                  </w:r>
                </w:p>
              </w:tc>
              <w:tc>
                <w:tcPr>
                  <w:tcW w:w="632" w:type="dxa"/>
                  <w:tcBorders>
                    <w:left w:val="single" w:color="auto" w:sz="4" w:space="0"/>
                    <w:tl2br w:val="nil"/>
                    <w:tr2bl w:val="nil"/>
                  </w:tcBorders>
                  <w:vAlign w:val="center"/>
                </w:tcPr>
                <w:p w14:paraId="3389686A">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0.654 </w:t>
                  </w:r>
                </w:p>
              </w:tc>
              <w:tc>
                <w:tcPr>
                  <w:tcW w:w="601" w:type="dxa"/>
                  <w:vMerge w:val="restart"/>
                  <w:tcBorders>
                    <w:tl2br w:val="nil"/>
                    <w:tr2bl w:val="nil"/>
                  </w:tcBorders>
                  <w:vAlign w:val="center"/>
                </w:tcPr>
                <w:p w14:paraId="6C50A53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rFonts w:ascii="Times New Roman" w:eastAsia="Times New Roman"/>
                      <w:color w:val="auto"/>
                      <w:spacing w:val="-1"/>
                      <w:sz w:val="18"/>
                      <w:szCs w:val="18"/>
                    </w:rPr>
                    <w:t>1#</w:t>
                  </w:r>
                  <w:r>
                    <w:rPr>
                      <w:color w:val="auto"/>
                      <w:sz w:val="18"/>
                      <w:szCs w:val="18"/>
                    </w:rPr>
                    <w:t>厂房</w:t>
                  </w:r>
                </w:p>
              </w:tc>
            </w:tr>
            <w:tr w14:paraId="073B9B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continue"/>
                  <w:tcBorders>
                    <w:tl2br w:val="nil"/>
                    <w:tr2bl w:val="nil"/>
                  </w:tcBorders>
                  <w:vAlign w:val="center"/>
                </w:tcPr>
                <w:p w14:paraId="4E351CB3">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750" w:type="dxa"/>
                  <w:vMerge w:val="continue"/>
                  <w:tcBorders>
                    <w:tl2br w:val="nil"/>
                    <w:tr2bl w:val="nil"/>
                  </w:tcBorders>
                  <w:vAlign w:val="center"/>
                </w:tcPr>
                <w:p w14:paraId="7B89641F">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04" w:type="dxa"/>
                  <w:vMerge w:val="continue"/>
                  <w:tcBorders>
                    <w:tl2br w:val="nil"/>
                    <w:tr2bl w:val="nil"/>
                  </w:tcBorders>
                  <w:vAlign w:val="center"/>
                </w:tcPr>
                <w:p w14:paraId="357D811C">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610" w:type="dxa"/>
                  <w:vMerge w:val="continue"/>
                  <w:tcBorders>
                    <w:tl2br w:val="nil"/>
                    <w:tr2bl w:val="nil"/>
                  </w:tcBorders>
                  <w:vAlign w:val="center"/>
                </w:tcPr>
                <w:p w14:paraId="1A26670C">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79" w:type="dxa"/>
                  <w:vMerge w:val="continue"/>
                  <w:tcBorders>
                    <w:tl2br w:val="nil"/>
                    <w:tr2bl w:val="nil"/>
                  </w:tcBorders>
                  <w:vAlign w:val="center"/>
                </w:tcPr>
                <w:p w14:paraId="5D4B5E10">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highlight w:val="none"/>
                    </w:rPr>
                  </w:pPr>
                </w:p>
              </w:tc>
              <w:tc>
                <w:tcPr>
                  <w:tcW w:w="911" w:type="dxa"/>
                  <w:tcBorders>
                    <w:tl2br w:val="nil"/>
                    <w:tr2bl w:val="nil"/>
                  </w:tcBorders>
                  <w:vAlign w:val="center"/>
                </w:tcPr>
                <w:p w14:paraId="47BE1B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eastAsia="宋体"/>
                      <w:color w:val="auto"/>
                      <w:sz w:val="18"/>
                      <w:szCs w:val="18"/>
                      <w:lang w:eastAsia="zh-CN"/>
                    </w:rPr>
                  </w:pPr>
                  <w:r>
                    <w:rPr>
                      <w:rFonts w:hint="eastAsia"/>
                      <w:color w:val="auto"/>
                      <w:sz w:val="18"/>
                      <w:szCs w:val="18"/>
                      <w:lang w:val="en-US" w:eastAsia="zh-CN"/>
                    </w:rPr>
                    <w:t>非甲烷总烃</w:t>
                  </w:r>
                </w:p>
              </w:tc>
              <w:tc>
                <w:tcPr>
                  <w:tcW w:w="653" w:type="dxa"/>
                  <w:tcBorders>
                    <w:right w:val="single" w:color="auto" w:sz="4" w:space="0"/>
                    <w:tl2br w:val="nil"/>
                    <w:tr2bl w:val="nil"/>
                  </w:tcBorders>
                  <w:vAlign w:val="center"/>
                </w:tcPr>
                <w:p w14:paraId="0FCE2972">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0.470 </w:t>
                  </w:r>
                </w:p>
              </w:tc>
              <w:tc>
                <w:tcPr>
                  <w:tcW w:w="686" w:type="dxa"/>
                  <w:tcBorders>
                    <w:left w:val="single" w:color="auto" w:sz="4" w:space="0"/>
                    <w:tl2br w:val="nil"/>
                    <w:tr2bl w:val="nil"/>
                  </w:tcBorders>
                  <w:vAlign w:val="center"/>
                </w:tcPr>
                <w:p w14:paraId="40FE97B0">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0.235 </w:t>
                  </w:r>
                </w:p>
              </w:tc>
              <w:tc>
                <w:tcPr>
                  <w:tcW w:w="621" w:type="dxa"/>
                  <w:tcBorders>
                    <w:right w:val="single" w:color="auto" w:sz="4" w:space="0"/>
                    <w:tl2br w:val="nil"/>
                    <w:tr2bl w:val="nil"/>
                  </w:tcBorders>
                  <w:vAlign w:val="center"/>
                </w:tcPr>
                <w:p w14:paraId="2226FA97">
                  <w:pPr>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w:t>
                  </w:r>
                </w:p>
              </w:tc>
              <w:tc>
                <w:tcPr>
                  <w:tcW w:w="633" w:type="dxa"/>
                  <w:tcBorders>
                    <w:left w:val="single" w:color="auto" w:sz="4" w:space="0"/>
                    <w:tl2br w:val="nil"/>
                    <w:tr2bl w:val="nil"/>
                  </w:tcBorders>
                  <w:vAlign w:val="center"/>
                </w:tcPr>
                <w:p w14:paraId="31A57967">
                  <w:pPr>
                    <w:jc w:val="center"/>
                    <w:rPr>
                      <w:rFonts w:hint="default" w:ascii="Times New Roman" w:eastAsia="宋体"/>
                      <w:color w:val="auto"/>
                      <w:sz w:val="18"/>
                      <w:szCs w:val="18"/>
                      <w:lang w:val="en-US" w:eastAsia="zh-CN"/>
                    </w:rPr>
                  </w:pPr>
                  <w:r>
                    <w:rPr>
                      <w:rFonts w:hint="eastAsia" w:ascii="Times New Roman"/>
                      <w:color w:val="auto"/>
                      <w:sz w:val="18"/>
                      <w:szCs w:val="18"/>
                      <w:lang w:val="en-US" w:eastAsia="zh-CN"/>
                    </w:rPr>
                    <w:t>/</w:t>
                  </w:r>
                </w:p>
              </w:tc>
              <w:tc>
                <w:tcPr>
                  <w:tcW w:w="600" w:type="dxa"/>
                  <w:tcBorders>
                    <w:right w:val="single" w:color="auto" w:sz="4" w:space="0"/>
                    <w:tl2br w:val="nil"/>
                    <w:tr2bl w:val="nil"/>
                  </w:tcBorders>
                  <w:vAlign w:val="center"/>
                </w:tcPr>
                <w:p w14:paraId="32414EDF">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0.470 </w:t>
                  </w:r>
                </w:p>
              </w:tc>
              <w:tc>
                <w:tcPr>
                  <w:tcW w:w="632" w:type="dxa"/>
                  <w:tcBorders>
                    <w:left w:val="single" w:color="auto" w:sz="4" w:space="0"/>
                    <w:tl2br w:val="nil"/>
                    <w:tr2bl w:val="nil"/>
                  </w:tcBorders>
                  <w:vAlign w:val="center"/>
                </w:tcPr>
                <w:p w14:paraId="6AAF4D28">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0.235 </w:t>
                  </w:r>
                </w:p>
              </w:tc>
              <w:tc>
                <w:tcPr>
                  <w:tcW w:w="601" w:type="dxa"/>
                  <w:vMerge w:val="continue"/>
                  <w:tcBorders>
                    <w:tl2br w:val="nil"/>
                    <w:tr2bl w:val="nil"/>
                  </w:tcBorders>
                  <w:vAlign w:val="center"/>
                </w:tcPr>
                <w:p w14:paraId="2850DCB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r>
            <w:tr w14:paraId="53DE48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continue"/>
                  <w:tcBorders>
                    <w:tl2br w:val="nil"/>
                    <w:tr2bl w:val="nil"/>
                  </w:tcBorders>
                  <w:vAlign w:val="center"/>
                </w:tcPr>
                <w:p w14:paraId="6087FEF2">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750" w:type="dxa"/>
                  <w:vMerge w:val="restart"/>
                  <w:tcBorders>
                    <w:tl2br w:val="nil"/>
                    <w:tr2bl w:val="nil"/>
                  </w:tcBorders>
                  <w:vAlign w:val="center"/>
                </w:tcPr>
                <w:p w14:paraId="1664A24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pacing w:val="-1"/>
                      <w:sz w:val="18"/>
                      <w:szCs w:val="18"/>
                    </w:rPr>
                    <w:t>树脂自硬</w:t>
                  </w:r>
                  <w:r>
                    <w:rPr>
                      <w:color w:val="auto"/>
                      <w:sz w:val="18"/>
                      <w:szCs w:val="18"/>
                    </w:rPr>
                    <w:t>砂铸造</w:t>
                  </w:r>
                </w:p>
              </w:tc>
              <w:tc>
                <w:tcPr>
                  <w:tcW w:w="504" w:type="dxa"/>
                  <w:vMerge w:val="continue"/>
                  <w:tcBorders>
                    <w:tl2br w:val="nil"/>
                    <w:tr2bl w:val="nil"/>
                  </w:tcBorders>
                  <w:vAlign w:val="center"/>
                </w:tcPr>
                <w:p w14:paraId="623E8FE2">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610" w:type="dxa"/>
                  <w:vMerge w:val="restart"/>
                  <w:tcBorders>
                    <w:tl2br w:val="nil"/>
                    <w:tr2bl w:val="nil"/>
                  </w:tcBorders>
                  <w:vAlign w:val="center"/>
                </w:tcPr>
                <w:p w14:paraId="1DF248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ascii="Times New Roman"/>
                      <w:color w:val="auto"/>
                      <w:sz w:val="18"/>
                      <w:szCs w:val="18"/>
                    </w:rPr>
                  </w:pPr>
                  <w:r>
                    <w:rPr>
                      <w:rFonts w:hint="eastAsia"/>
                      <w:color w:val="auto"/>
                      <w:sz w:val="18"/>
                      <w:szCs w:val="18"/>
                      <w:lang w:val="en-US" w:eastAsia="zh-CN"/>
                    </w:rPr>
                    <w:t>3</w:t>
                  </w:r>
                  <w:r>
                    <w:rPr>
                      <w:rFonts w:ascii="Times New Roman"/>
                      <w:color w:val="auto"/>
                      <w:sz w:val="18"/>
                      <w:szCs w:val="18"/>
                    </w:rPr>
                    <w:t>000</w:t>
                  </w:r>
                </w:p>
              </w:tc>
              <w:tc>
                <w:tcPr>
                  <w:tcW w:w="579" w:type="dxa"/>
                  <w:vMerge w:val="restart"/>
                  <w:tcBorders>
                    <w:tl2br w:val="nil"/>
                    <w:tr2bl w:val="nil"/>
                  </w:tcBorders>
                  <w:vAlign w:val="center"/>
                </w:tcPr>
                <w:p w14:paraId="7EC5210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eastAsia="宋体"/>
                      <w:color w:val="auto"/>
                      <w:sz w:val="18"/>
                      <w:szCs w:val="18"/>
                      <w:highlight w:val="none"/>
                      <w:lang w:val="en-US" w:eastAsia="zh-CN"/>
                    </w:rPr>
                  </w:pPr>
                  <w:r>
                    <w:rPr>
                      <w:rFonts w:hint="eastAsia"/>
                      <w:color w:val="auto"/>
                      <w:sz w:val="18"/>
                      <w:szCs w:val="18"/>
                      <w:highlight w:val="none"/>
                      <w:lang w:val="en-US" w:eastAsia="zh-CN"/>
                    </w:rPr>
                    <w:t>30</w:t>
                  </w:r>
                  <w:r>
                    <w:rPr>
                      <w:rFonts w:hint="eastAsia" w:ascii="Times New Roman"/>
                      <w:color w:val="auto"/>
                      <w:sz w:val="18"/>
                      <w:szCs w:val="18"/>
                      <w:highlight w:val="none"/>
                      <w:lang w:val="en-US" w:eastAsia="zh-CN"/>
                    </w:rPr>
                    <w:t>00</w:t>
                  </w:r>
                </w:p>
              </w:tc>
              <w:tc>
                <w:tcPr>
                  <w:tcW w:w="911" w:type="dxa"/>
                  <w:tcBorders>
                    <w:tl2br w:val="nil"/>
                    <w:tr2bl w:val="nil"/>
                  </w:tcBorders>
                  <w:vAlign w:val="center"/>
                </w:tcPr>
                <w:p w14:paraId="16CCB71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color w:val="auto"/>
                      <w:sz w:val="18"/>
                      <w:szCs w:val="18"/>
                    </w:rPr>
                  </w:pPr>
                  <w:r>
                    <w:rPr>
                      <w:color w:val="auto"/>
                      <w:sz w:val="18"/>
                      <w:szCs w:val="18"/>
                    </w:rPr>
                    <w:t>颗粒物</w:t>
                  </w:r>
                </w:p>
              </w:tc>
              <w:tc>
                <w:tcPr>
                  <w:tcW w:w="653" w:type="dxa"/>
                  <w:tcBorders>
                    <w:right w:val="single" w:color="auto" w:sz="4" w:space="0"/>
                    <w:tl2br w:val="nil"/>
                    <w:tr2bl w:val="nil"/>
                  </w:tcBorders>
                  <w:vAlign w:val="center"/>
                </w:tcPr>
                <w:p w14:paraId="143A9ECC">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0.654 </w:t>
                  </w:r>
                </w:p>
              </w:tc>
              <w:tc>
                <w:tcPr>
                  <w:tcW w:w="686" w:type="dxa"/>
                  <w:tcBorders>
                    <w:left w:val="single" w:color="auto" w:sz="4" w:space="0"/>
                    <w:tl2br w:val="nil"/>
                    <w:tr2bl w:val="nil"/>
                  </w:tcBorders>
                  <w:vAlign w:val="center"/>
                </w:tcPr>
                <w:p w14:paraId="6867A6F5">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0.218 </w:t>
                  </w:r>
                </w:p>
              </w:tc>
              <w:tc>
                <w:tcPr>
                  <w:tcW w:w="621" w:type="dxa"/>
                  <w:tcBorders>
                    <w:right w:val="single" w:color="auto" w:sz="4" w:space="0"/>
                    <w:tl2br w:val="nil"/>
                    <w:tr2bl w:val="nil"/>
                  </w:tcBorders>
                  <w:vAlign w:val="center"/>
                </w:tcPr>
                <w:p w14:paraId="58BF9D90">
                  <w:pPr>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w:t>
                  </w:r>
                </w:p>
              </w:tc>
              <w:tc>
                <w:tcPr>
                  <w:tcW w:w="633" w:type="dxa"/>
                  <w:tcBorders>
                    <w:left w:val="single" w:color="auto" w:sz="4" w:space="0"/>
                    <w:tl2br w:val="nil"/>
                    <w:tr2bl w:val="nil"/>
                  </w:tcBorders>
                  <w:vAlign w:val="center"/>
                </w:tcPr>
                <w:p w14:paraId="5E7B674D">
                  <w:pPr>
                    <w:jc w:val="center"/>
                    <w:rPr>
                      <w:rFonts w:hint="default" w:ascii="Times New Roman" w:eastAsia="宋体"/>
                      <w:color w:val="auto"/>
                      <w:sz w:val="18"/>
                      <w:szCs w:val="18"/>
                      <w:lang w:val="en-US" w:eastAsia="zh-CN"/>
                    </w:rPr>
                  </w:pPr>
                  <w:r>
                    <w:rPr>
                      <w:rFonts w:hint="eastAsia" w:ascii="Times New Roman"/>
                      <w:color w:val="auto"/>
                      <w:sz w:val="18"/>
                      <w:szCs w:val="18"/>
                      <w:lang w:val="en-US" w:eastAsia="zh-CN"/>
                    </w:rPr>
                    <w:t>/</w:t>
                  </w:r>
                </w:p>
              </w:tc>
              <w:tc>
                <w:tcPr>
                  <w:tcW w:w="600" w:type="dxa"/>
                  <w:tcBorders>
                    <w:right w:val="single" w:color="auto" w:sz="4" w:space="0"/>
                    <w:tl2br w:val="nil"/>
                    <w:tr2bl w:val="nil"/>
                  </w:tcBorders>
                  <w:vAlign w:val="center"/>
                </w:tcPr>
                <w:p w14:paraId="3CBE67DB">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0.654 </w:t>
                  </w:r>
                </w:p>
              </w:tc>
              <w:tc>
                <w:tcPr>
                  <w:tcW w:w="632" w:type="dxa"/>
                  <w:tcBorders>
                    <w:left w:val="single" w:color="auto" w:sz="4" w:space="0"/>
                    <w:tl2br w:val="nil"/>
                    <w:tr2bl w:val="nil"/>
                  </w:tcBorders>
                  <w:vAlign w:val="center"/>
                </w:tcPr>
                <w:p w14:paraId="382A0F8A">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0.218 </w:t>
                  </w:r>
                </w:p>
              </w:tc>
              <w:tc>
                <w:tcPr>
                  <w:tcW w:w="601" w:type="dxa"/>
                  <w:vMerge w:val="continue"/>
                  <w:tcBorders>
                    <w:tl2br w:val="nil"/>
                    <w:tr2bl w:val="nil"/>
                  </w:tcBorders>
                  <w:vAlign w:val="center"/>
                </w:tcPr>
                <w:p w14:paraId="7D8A416C">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r>
            <w:tr w14:paraId="38834B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continue"/>
                  <w:tcBorders>
                    <w:tl2br w:val="nil"/>
                    <w:tr2bl w:val="nil"/>
                  </w:tcBorders>
                  <w:vAlign w:val="center"/>
                </w:tcPr>
                <w:p w14:paraId="3871182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750" w:type="dxa"/>
                  <w:vMerge w:val="continue"/>
                  <w:tcBorders>
                    <w:tl2br w:val="nil"/>
                    <w:tr2bl w:val="nil"/>
                  </w:tcBorders>
                  <w:vAlign w:val="center"/>
                </w:tcPr>
                <w:p w14:paraId="48496817">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04" w:type="dxa"/>
                  <w:vMerge w:val="continue"/>
                  <w:tcBorders>
                    <w:tl2br w:val="nil"/>
                    <w:tr2bl w:val="nil"/>
                  </w:tcBorders>
                  <w:vAlign w:val="center"/>
                </w:tcPr>
                <w:p w14:paraId="5FA3BA2D">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610" w:type="dxa"/>
                  <w:vMerge w:val="continue"/>
                  <w:tcBorders>
                    <w:tl2br w:val="nil"/>
                    <w:tr2bl w:val="nil"/>
                  </w:tcBorders>
                  <w:vAlign w:val="center"/>
                </w:tcPr>
                <w:p w14:paraId="6339D09F">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79" w:type="dxa"/>
                  <w:vMerge w:val="continue"/>
                  <w:tcBorders>
                    <w:tl2br w:val="nil"/>
                    <w:tr2bl w:val="nil"/>
                  </w:tcBorders>
                  <w:vAlign w:val="center"/>
                </w:tcPr>
                <w:p w14:paraId="0D653DD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highlight w:val="none"/>
                    </w:rPr>
                  </w:pPr>
                </w:p>
              </w:tc>
              <w:tc>
                <w:tcPr>
                  <w:tcW w:w="911" w:type="dxa"/>
                  <w:tcBorders>
                    <w:tl2br w:val="nil"/>
                    <w:tr2bl w:val="nil"/>
                  </w:tcBorders>
                  <w:vAlign w:val="center"/>
                </w:tcPr>
                <w:p w14:paraId="6AA2920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color w:val="auto"/>
                      <w:sz w:val="18"/>
                      <w:szCs w:val="18"/>
                    </w:rPr>
                  </w:pPr>
                  <w:r>
                    <w:rPr>
                      <w:rFonts w:hint="eastAsia"/>
                      <w:color w:val="auto"/>
                      <w:sz w:val="18"/>
                      <w:szCs w:val="18"/>
                      <w:lang w:val="en-US" w:eastAsia="zh-CN"/>
                    </w:rPr>
                    <w:t>非甲烷总烃</w:t>
                  </w:r>
                </w:p>
              </w:tc>
              <w:tc>
                <w:tcPr>
                  <w:tcW w:w="653" w:type="dxa"/>
                  <w:tcBorders>
                    <w:right w:val="single" w:color="auto" w:sz="4" w:space="0"/>
                    <w:tl2br w:val="nil"/>
                    <w:tr2bl w:val="nil"/>
                  </w:tcBorders>
                  <w:vAlign w:val="center"/>
                </w:tcPr>
                <w:p w14:paraId="7E4EE7CF">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0.235 </w:t>
                  </w:r>
                </w:p>
              </w:tc>
              <w:tc>
                <w:tcPr>
                  <w:tcW w:w="686" w:type="dxa"/>
                  <w:tcBorders>
                    <w:left w:val="single" w:color="auto" w:sz="4" w:space="0"/>
                    <w:tl2br w:val="nil"/>
                    <w:tr2bl w:val="nil"/>
                  </w:tcBorders>
                  <w:vAlign w:val="center"/>
                </w:tcPr>
                <w:p w14:paraId="307A4EBA">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0.078 </w:t>
                  </w:r>
                </w:p>
              </w:tc>
              <w:tc>
                <w:tcPr>
                  <w:tcW w:w="621" w:type="dxa"/>
                  <w:tcBorders>
                    <w:right w:val="single" w:color="auto" w:sz="4" w:space="0"/>
                    <w:tl2br w:val="nil"/>
                    <w:tr2bl w:val="nil"/>
                  </w:tcBorders>
                  <w:vAlign w:val="center"/>
                </w:tcPr>
                <w:p w14:paraId="64DB192E">
                  <w:pPr>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w:t>
                  </w:r>
                </w:p>
              </w:tc>
              <w:tc>
                <w:tcPr>
                  <w:tcW w:w="633" w:type="dxa"/>
                  <w:tcBorders>
                    <w:left w:val="single" w:color="auto" w:sz="4" w:space="0"/>
                    <w:tl2br w:val="nil"/>
                    <w:tr2bl w:val="nil"/>
                  </w:tcBorders>
                  <w:vAlign w:val="center"/>
                </w:tcPr>
                <w:p w14:paraId="0AAFDD27">
                  <w:pPr>
                    <w:jc w:val="center"/>
                    <w:rPr>
                      <w:rFonts w:hint="default" w:ascii="Times New Roman" w:eastAsia="宋体"/>
                      <w:color w:val="auto"/>
                      <w:sz w:val="18"/>
                      <w:szCs w:val="18"/>
                      <w:lang w:val="en-US" w:eastAsia="zh-CN"/>
                    </w:rPr>
                  </w:pPr>
                  <w:r>
                    <w:rPr>
                      <w:rFonts w:hint="eastAsia" w:ascii="Times New Roman"/>
                      <w:color w:val="auto"/>
                      <w:sz w:val="18"/>
                      <w:szCs w:val="18"/>
                      <w:lang w:val="en-US" w:eastAsia="zh-CN"/>
                    </w:rPr>
                    <w:t>/</w:t>
                  </w:r>
                </w:p>
              </w:tc>
              <w:tc>
                <w:tcPr>
                  <w:tcW w:w="600" w:type="dxa"/>
                  <w:tcBorders>
                    <w:right w:val="single" w:color="auto" w:sz="4" w:space="0"/>
                    <w:tl2br w:val="nil"/>
                    <w:tr2bl w:val="nil"/>
                  </w:tcBorders>
                  <w:vAlign w:val="center"/>
                </w:tcPr>
                <w:p w14:paraId="3A7A36B3">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0.235 </w:t>
                  </w:r>
                </w:p>
              </w:tc>
              <w:tc>
                <w:tcPr>
                  <w:tcW w:w="632" w:type="dxa"/>
                  <w:tcBorders>
                    <w:left w:val="single" w:color="auto" w:sz="4" w:space="0"/>
                    <w:tl2br w:val="nil"/>
                    <w:tr2bl w:val="nil"/>
                  </w:tcBorders>
                  <w:vAlign w:val="center"/>
                </w:tcPr>
                <w:p w14:paraId="6CBA23EB">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0.078 </w:t>
                  </w:r>
                </w:p>
              </w:tc>
              <w:tc>
                <w:tcPr>
                  <w:tcW w:w="601" w:type="dxa"/>
                  <w:vMerge w:val="continue"/>
                  <w:tcBorders>
                    <w:tl2br w:val="nil"/>
                    <w:tr2bl w:val="nil"/>
                  </w:tcBorders>
                  <w:vAlign w:val="center"/>
                </w:tcPr>
                <w:p w14:paraId="27A3B9CE">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r>
            <w:tr w14:paraId="101E36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restart"/>
                  <w:tcBorders>
                    <w:tl2br w:val="nil"/>
                    <w:tr2bl w:val="nil"/>
                  </w:tcBorders>
                  <w:vAlign w:val="center"/>
                </w:tcPr>
                <w:p w14:paraId="7C2C6B4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z w:val="18"/>
                      <w:szCs w:val="18"/>
                    </w:rPr>
                    <w:t>热芯盒</w:t>
                  </w:r>
                </w:p>
              </w:tc>
              <w:tc>
                <w:tcPr>
                  <w:tcW w:w="750" w:type="dxa"/>
                  <w:vMerge w:val="restart"/>
                  <w:tcBorders>
                    <w:tl2br w:val="nil"/>
                    <w:tr2bl w:val="nil"/>
                  </w:tcBorders>
                  <w:vAlign w:val="center"/>
                </w:tcPr>
                <w:p w14:paraId="3F223FC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pacing w:val="-1"/>
                      <w:sz w:val="18"/>
                      <w:szCs w:val="18"/>
                    </w:rPr>
                    <w:t>树脂自硬</w:t>
                  </w:r>
                  <w:r>
                    <w:rPr>
                      <w:color w:val="auto"/>
                      <w:sz w:val="18"/>
                      <w:szCs w:val="18"/>
                    </w:rPr>
                    <w:t>砂铸造</w:t>
                  </w:r>
                </w:p>
              </w:tc>
              <w:tc>
                <w:tcPr>
                  <w:tcW w:w="504" w:type="dxa"/>
                  <w:vMerge w:val="continue"/>
                  <w:tcBorders>
                    <w:tl2br w:val="nil"/>
                    <w:tr2bl w:val="nil"/>
                  </w:tcBorders>
                  <w:vAlign w:val="center"/>
                </w:tcPr>
                <w:p w14:paraId="3386143F">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610" w:type="dxa"/>
                  <w:vMerge w:val="restart"/>
                  <w:tcBorders>
                    <w:tl2br w:val="nil"/>
                    <w:tr2bl w:val="nil"/>
                  </w:tcBorders>
                  <w:vAlign w:val="center"/>
                </w:tcPr>
                <w:p w14:paraId="0EE044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ascii="Times New Roman"/>
                      <w:color w:val="auto"/>
                      <w:sz w:val="18"/>
                      <w:szCs w:val="18"/>
                    </w:rPr>
                  </w:pPr>
                  <w:r>
                    <w:rPr>
                      <w:rFonts w:hint="eastAsia"/>
                      <w:color w:val="auto"/>
                      <w:sz w:val="18"/>
                      <w:szCs w:val="18"/>
                      <w:lang w:val="en-US" w:eastAsia="zh-CN"/>
                    </w:rPr>
                    <w:t>3</w:t>
                  </w:r>
                  <w:r>
                    <w:rPr>
                      <w:rFonts w:ascii="Times New Roman"/>
                      <w:color w:val="auto"/>
                      <w:sz w:val="18"/>
                      <w:szCs w:val="18"/>
                    </w:rPr>
                    <w:t>000</w:t>
                  </w:r>
                </w:p>
              </w:tc>
              <w:tc>
                <w:tcPr>
                  <w:tcW w:w="579" w:type="dxa"/>
                  <w:vMerge w:val="restart"/>
                  <w:tcBorders>
                    <w:tl2br w:val="nil"/>
                    <w:tr2bl w:val="nil"/>
                  </w:tcBorders>
                  <w:vAlign w:val="center"/>
                </w:tcPr>
                <w:p w14:paraId="5A69C4B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eastAsia="宋体"/>
                      <w:color w:val="auto"/>
                      <w:sz w:val="18"/>
                      <w:szCs w:val="18"/>
                      <w:highlight w:val="none"/>
                      <w:lang w:val="en-US" w:eastAsia="zh-CN"/>
                    </w:rPr>
                  </w:pPr>
                  <w:r>
                    <w:rPr>
                      <w:rFonts w:hint="eastAsia"/>
                      <w:color w:val="auto"/>
                      <w:sz w:val="18"/>
                      <w:szCs w:val="18"/>
                      <w:highlight w:val="none"/>
                      <w:lang w:val="en-US" w:eastAsia="zh-CN"/>
                    </w:rPr>
                    <w:t>30</w:t>
                  </w:r>
                  <w:r>
                    <w:rPr>
                      <w:rFonts w:hint="eastAsia" w:ascii="Times New Roman"/>
                      <w:color w:val="auto"/>
                      <w:sz w:val="18"/>
                      <w:szCs w:val="18"/>
                      <w:highlight w:val="none"/>
                      <w:lang w:val="en-US" w:eastAsia="zh-CN"/>
                    </w:rPr>
                    <w:t>00</w:t>
                  </w:r>
                </w:p>
              </w:tc>
              <w:tc>
                <w:tcPr>
                  <w:tcW w:w="911" w:type="dxa"/>
                  <w:tcBorders>
                    <w:tl2br w:val="nil"/>
                    <w:tr2bl w:val="nil"/>
                  </w:tcBorders>
                  <w:vAlign w:val="center"/>
                </w:tcPr>
                <w:p w14:paraId="2736064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color w:val="auto"/>
                      <w:sz w:val="18"/>
                      <w:szCs w:val="18"/>
                    </w:rPr>
                  </w:pPr>
                  <w:r>
                    <w:rPr>
                      <w:color w:val="auto"/>
                      <w:sz w:val="18"/>
                      <w:szCs w:val="18"/>
                    </w:rPr>
                    <w:t>颗粒物</w:t>
                  </w:r>
                </w:p>
              </w:tc>
              <w:tc>
                <w:tcPr>
                  <w:tcW w:w="653" w:type="dxa"/>
                  <w:tcBorders>
                    <w:right w:val="single" w:color="auto" w:sz="4" w:space="0"/>
                    <w:tl2br w:val="nil"/>
                    <w:tr2bl w:val="nil"/>
                  </w:tcBorders>
                  <w:vAlign w:val="center"/>
                </w:tcPr>
                <w:p w14:paraId="3D1E3F2B">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0.891 </w:t>
                  </w:r>
                </w:p>
              </w:tc>
              <w:tc>
                <w:tcPr>
                  <w:tcW w:w="686" w:type="dxa"/>
                  <w:tcBorders>
                    <w:left w:val="single" w:color="auto" w:sz="4" w:space="0"/>
                    <w:tl2br w:val="nil"/>
                    <w:tr2bl w:val="nil"/>
                  </w:tcBorders>
                  <w:vAlign w:val="center"/>
                </w:tcPr>
                <w:p w14:paraId="7C4AFF29">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0.297 </w:t>
                  </w:r>
                </w:p>
              </w:tc>
              <w:tc>
                <w:tcPr>
                  <w:tcW w:w="621" w:type="dxa"/>
                  <w:tcBorders>
                    <w:right w:val="single" w:color="auto" w:sz="4" w:space="0"/>
                    <w:tl2br w:val="nil"/>
                    <w:tr2bl w:val="nil"/>
                  </w:tcBorders>
                  <w:vAlign w:val="center"/>
                </w:tcPr>
                <w:p w14:paraId="56D3523B">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0.099 </w:t>
                  </w:r>
                </w:p>
              </w:tc>
              <w:tc>
                <w:tcPr>
                  <w:tcW w:w="633" w:type="dxa"/>
                  <w:tcBorders>
                    <w:left w:val="single" w:color="auto" w:sz="4" w:space="0"/>
                    <w:tl2br w:val="nil"/>
                    <w:tr2bl w:val="nil"/>
                  </w:tcBorders>
                  <w:vAlign w:val="center"/>
                </w:tcPr>
                <w:p w14:paraId="324C6302">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0.033 </w:t>
                  </w:r>
                </w:p>
              </w:tc>
              <w:tc>
                <w:tcPr>
                  <w:tcW w:w="600" w:type="dxa"/>
                  <w:tcBorders>
                    <w:right w:val="single" w:color="auto" w:sz="4" w:space="0"/>
                    <w:tl2br w:val="nil"/>
                    <w:tr2bl w:val="nil"/>
                  </w:tcBorders>
                  <w:vAlign w:val="center"/>
                </w:tcPr>
                <w:p w14:paraId="5566F191">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0.990 </w:t>
                  </w:r>
                </w:p>
              </w:tc>
              <w:tc>
                <w:tcPr>
                  <w:tcW w:w="632" w:type="dxa"/>
                  <w:tcBorders>
                    <w:left w:val="single" w:color="auto" w:sz="4" w:space="0"/>
                    <w:tl2br w:val="nil"/>
                    <w:tr2bl w:val="nil"/>
                  </w:tcBorders>
                  <w:vAlign w:val="center"/>
                </w:tcPr>
                <w:p w14:paraId="4C2FE361">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0.330 </w:t>
                  </w:r>
                </w:p>
              </w:tc>
              <w:tc>
                <w:tcPr>
                  <w:tcW w:w="601" w:type="dxa"/>
                  <w:vMerge w:val="continue"/>
                  <w:tcBorders>
                    <w:tl2br w:val="nil"/>
                    <w:tr2bl w:val="nil"/>
                  </w:tcBorders>
                  <w:vAlign w:val="center"/>
                </w:tcPr>
                <w:p w14:paraId="01475729">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r>
            <w:tr w14:paraId="6ACEC4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continue"/>
                  <w:tcBorders>
                    <w:tl2br w:val="nil"/>
                    <w:tr2bl w:val="nil"/>
                  </w:tcBorders>
                  <w:vAlign w:val="center"/>
                </w:tcPr>
                <w:p w14:paraId="0145728D">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750" w:type="dxa"/>
                  <w:vMerge w:val="continue"/>
                  <w:tcBorders>
                    <w:tl2br w:val="nil"/>
                    <w:tr2bl w:val="nil"/>
                  </w:tcBorders>
                  <w:vAlign w:val="center"/>
                </w:tcPr>
                <w:p w14:paraId="5CD28F46">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04" w:type="dxa"/>
                  <w:vMerge w:val="continue"/>
                  <w:tcBorders>
                    <w:tl2br w:val="nil"/>
                    <w:tr2bl w:val="nil"/>
                  </w:tcBorders>
                  <w:vAlign w:val="center"/>
                </w:tcPr>
                <w:p w14:paraId="0488CF57">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610" w:type="dxa"/>
                  <w:vMerge w:val="continue"/>
                  <w:tcBorders>
                    <w:tl2br w:val="nil"/>
                    <w:tr2bl w:val="nil"/>
                  </w:tcBorders>
                  <w:vAlign w:val="center"/>
                </w:tcPr>
                <w:p w14:paraId="1BF81CC7">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79" w:type="dxa"/>
                  <w:vMerge w:val="continue"/>
                  <w:tcBorders>
                    <w:tl2br w:val="nil"/>
                    <w:tr2bl w:val="nil"/>
                  </w:tcBorders>
                  <w:vAlign w:val="center"/>
                </w:tcPr>
                <w:p w14:paraId="41B6F9DF">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highlight w:val="yellow"/>
                    </w:rPr>
                  </w:pPr>
                </w:p>
              </w:tc>
              <w:tc>
                <w:tcPr>
                  <w:tcW w:w="911" w:type="dxa"/>
                  <w:tcBorders>
                    <w:tl2br w:val="nil"/>
                    <w:tr2bl w:val="nil"/>
                  </w:tcBorders>
                  <w:vAlign w:val="center"/>
                </w:tcPr>
                <w:p w14:paraId="2C141C1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color w:val="auto"/>
                      <w:sz w:val="18"/>
                      <w:szCs w:val="18"/>
                    </w:rPr>
                  </w:pPr>
                  <w:r>
                    <w:rPr>
                      <w:rFonts w:hint="eastAsia"/>
                      <w:color w:val="auto"/>
                      <w:sz w:val="18"/>
                      <w:szCs w:val="18"/>
                      <w:lang w:val="en-US" w:eastAsia="zh-CN"/>
                    </w:rPr>
                    <w:t>非甲烷总烃</w:t>
                  </w:r>
                </w:p>
              </w:tc>
              <w:tc>
                <w:tcPr>
                  <w:tcW w:w="653" w:type="dxa"/>
                  <w:tcBorders>
                    <w:right w:val="single" w:color="auto" w:sz="4" w:space="0"/>
                    <w:tl2br w:val="nil"/>
                    <w:tr2bl w:val="nil"/>
                  </w:tcBorders>
                  <w:vAlign w:val="center"/>
                </w:tcPr>
                <w:p w14:paraId="69455B64">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0.135 </w:t>
                  </w:r>
                </w:p>
              </w:tc>
              <w:tc>
                <w:tcPr>
                  <w:tcW w:w="686" w:type="dxa"/>
                  <w:tcBorders>
                    <w:left w:val="single" w:color="auto" w:sz="4" w:space="0"/>
                    <w:tl2br w:val="nil"/>
                    <w:tr2bl w:val="nil"/>
                  </w:tcBorders>
                  <w:vAlign w:val="center"/>
                </w:tcPr>
                <w:p w14:paraId="005B9F8C">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0.045 </w:t>
                  </w:r>
                </w:p>
              </w:tc>
              <w:tc>
                <w:tcPr>
                  <w:tcW w:w="621" w:type="dxa"/>
                  <w:tcBorders>
                    <w:right w:val="single" w:color="auto" w:sz="4" w:space="0"/>
                    <w:tl2br w:val="nil"/>
                    <w:tr2bl w:val="nil"/>
                  </w:tcBorders>
                  <w:vAlign w:val="center"/>
                </w:tcPr>
                <w:p w14:paraId="2A142088">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0.015 </w:t>
                  </w:r>
                </w:p>
              </w:tc>
              <w:tc>
                <w:tcPr>
                  <w:tcW w:w="633" w:type="dxa"/>
                  <w:tcBorders>
                    <w:left w:val="single" w:color="auto" w:sz="4" w:space="0"/>
                    <w:tl2br w:val="nil"/>
                    <w:tr2bl w:val="nil"/>
                  </w:tcBorders>
                  <w:vAlign w:val="center"/>
                </w:tcPr>
                <w:p w14:paraId="36D95124">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0.005 </w:t>
                  </w:r>
                </w:p>
              </w:tc>
              <w:tc>
                <w:tcPr>
                  <w:tcW w:w="600" w:type="dxa"/>
                  <w:tcBorders>
                    <w:right w:val="single" w:color="auto" w:sz="4" w:space="0"/>
                    <w:tl2br w:val="nil"/>
                    <w:tr2bl w:val="nil"/>
                  </w:tcBorders>
                  <w:vAlign w:val="center"/>
                </w:tcPr>
                <w:p w14:paraId="01FBF7ED">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0.150 </w:t>
                  </w:r>
                </w:p>
              </w:tc>
              <w:tc>
                <w:tcPr>
                  <w:tcW w:w="632" w:type="dxa"/>
                  <w:tcBorders>
                    <w:left w:val="single" w:color="auto" w:sz="4" w:space="0"/>
                    <w:tl2br w:val="nil"/>
                    <w:tr2bl w:val="nil"/>
                  </w:tcBorders>
                  <w:vAlign w:val="center"/>
                </w:tcPr>
                <w:p w14:paraId="3ADEF4CA">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0.050 </w:t>
                  </w:r>
                </w:p>
              </w:tc>
              <w:tc>
                <w:tcPr>
                  <w:tcW w:w="601" w:type="dxa"/>
                  <w:vMerge w:val="continue"/>
                  <w:tcBorders>
                    <w:tl2br w:val="nil"/>
                    <w:tr2bl w:val="nil"/>
                  </w:tcBorders>
                  <w:vAlign w:val="center"/>
                </w:tcPr>
                <w:p w14:paraId="6CD02DD4">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r>
            <w:tr w14:paraId="5E076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14" w:type="dxa"/>
                  <w:vMerge w:val="continue"/>
                  <w:tcBorders>
                    <w:tl2br w:val="nil"/>
                    <w:tr2bl w:val="nil"/>
                  </w:tcBorders>
                  <w:vAlign w:val="center"/>
                </w:tcPr>
                <w:p w14:paraId="4031E218">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750" w:type="dxa"/>
                  <w:vMerge w:val="continue"/>
                  <w:tcBorders>
                    <w:tl2br w:val="nil"/>
                    <w:tr2bl w:val="nil"/>
                  </w:tcBorders>
                  <w:vAlign w:val="center"/>
                </w:tcPr>
                <w:p w14:paraId="3B714BAD">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04" w:type="dxa"/>
                  <w:vMerge w:val="continue"/>
                  <w:tcBorders>
                    <w:tl2br w:val="nil"/>
                    <w:tr2bl w:val="nil"/>
                  </w:tcBorders>
                  <w:vAlign w:val="center"/>
                </w:tcPr>
                <w:p w14:paraId="40DB1BA3">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610" w:type="dxa"/>
                  <w:vMerge w:val="continue"/>
                  <w:tcBorders>
                    <w:tl2br w:val="nil"/>
                    <w:tr2bl w:val="nil"/>
                  </w:tcBorders>
                  <w:vAlign w:val="center"/>
                </w:tcPr>
                <w:p w14:paraId="10DFA09C">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c>
                <w:tcPr>
                  <w:tcW w:w="579" w:type="dxa"/>
                  <w:vMerge w:val="continue"/>
                  <w:tcBorders>
                    <w:tl2br w:val="nil"/>
                    <w:tr2bl w:val="nil"/>
                  </w:tcBorders>
                  <w:vAlign w:val="center"/>
                </w:tcPr>
                <w:p w14:paraId="551FF4F3">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highlight w:val="yellow"/>
                    </w:rPr>
                  </w:pPr>
                </w:p>
              </w:tc>
              <w:tc>
                <w:tcPr>
                  <w:tcW w:w="911" w:type="dxa"/>
                  <w:tcBorders>
                    <w:tl2br w:val="nil"/>
                    <w:tr2bl w:val="nil"/>
                  </w:tcBorders>
                  <w:vAlign w:val="center"/>
                </w:tcPr>
                <w:p w14:paraId="59CCAD5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r>
                    <w:rPr>
                      <w:color w:val="auto"/>
                      <w:sz w:val="18"/>
                      <w:szCs w:val="18"/>
                    </w:rPr>
                    <w:t>甲醛</w:t>
                  </w:r>
                </w:p>
              </w:tc>
              <w:tc>
                <w:tcPr>
                  <w:tcW w:w="653" w:type="dxa"/>
                  <w:tcBorders>
                    <w:right w:val="single" w:color="auto" w:sz="4" w:space="0"/>
                    <w:tl2br w:val="nil"/>
                    <w:tr2bl w:val="nil"/>
                  </w:tcBorders>
                  <w:vAlign w:val="center"/>
                </w:tcPr>
                <w:p w14:paraId="6DF7E1FE">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0.025 </w:t>
                  </w:r>
                </w:p>
              </w:tc>
              <w:tc>
                <w:tcPr>
                  <w:tcW w:w="686" w:type="dxa"/>
                  <w:tcBorders>
                    <w:left w:val="single" w:color="auto" w:sz="4" w:space="0"/>
                    <w:tl2br w:val="nil"/>
                    <w:tr2bl w:val="nil"/>
                  </w:tcBorders>
                  <w:vAlign w:val="center"/>
                </w:tcPr>
                <w:p w14:paraId="0E683DAF">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0.008 </w:t>
                  </w:r>
                </w:p>
              </w:tc>
              <w:tc>
                <w:tcPr>
                  <w:tcW w:w="621" w:type="dxa"/>
                  <w:tcBorders>
                    <w:right w:val="single" w:color="auto" w:sz="4" w:space="0"/>
                    <w:tl2br w:val="nil"/>
                    <w:tr2bl w:val="nil"/>
                  </w:tcBorders>
                  <w:vAlign w:val="center"/>
                </w:tcPr>
                <w:p w14:paraId="467572D5">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0.003 </w:t>
                  </w:r>
                </w:p>
              </w:tc>
              <w:tc>
                <w:tcPr>
                  <w:tcW w:w="633" w:type="dxa"/>
                  <w:tcBorders>
                    <w:left w:val="single" w:color="auto" w:sz="4" w:space="0"/>
                    <w:tl2br w:val="nil"/>
                    <w:tr2bl w:val="nil"/>
                  </w:tcBorders>
                  <w:vAlign w:val="center"/>
                </w:tcPr>
                <w:p w14:paraId="2F6485BA">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0.001 </w:t>
                  </w:r>
                </w:p>
              </w:tc>
              <w:tc>
                <w:tcPr>
                  <w:tcW w:w="600" w:type="dxa"/>
                  <w:tcBorders>
                    <w:right w:val="single" w:color="auto" w:sz="4" w:space="0"/>
                    <w:tl2br w:val="nil"/>
                    <w:tr2bl w:val="nil"/>
                  </w:tcBorders>
                  <w:vAlign w:val="center"/>
                </w:tcPr>
                <w:p w14:paraId="7ADB2BA3">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0.028 </w:t>
                  </w:r>
                </w:p>
              </w:tc>
              <w:tc>
                <w:tcPr>
                  <w:tcW w:w="632" w:type="dxa"/>
                  <w:tcBorders>
                    <w:left w:val="single" w:color="auto" w:sz="4" w:space="0"/>
                    <w:tl2br w:val="nil"/>
                    <w:tr2bl w:val="nil"/>
                  </w:tcBorders>
                  <w:vAlign w:val="center"/>
                </w:tcPr>
                <w:p w14:paraId="10C45A59">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0.009 </w:t>
                  </w:r>
                </w:p>
              </w:tc>
              <w:tc>
                <w:tcPr>
                  <w:tcW w:w="601" w:type="dxa"/>
                  <w:vMerge w:val="continue"/>
                  <w:tcBorders>
                    <w:tl2br w:val="nil"/>
                    <w:tr2bl w:val="nil"/>
                  </w:tcBorders>
                  <w:vAlign w:val="center"/>
                </w:tcPr>
                <w:p w14:paraId="7CD2AA53">
                  <w:pPr>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color w:val="auto"/>
                      <w:sz w:val="18"/>
                      <w:szCs w:val="18"/>
                    </w:rPr>
                  </w:pPr>
                </w:p>
              </w:tc>
            </w:tr>
          </w:tbl>
          <w:p w14:paraId="44F9B084">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③造型废气</w:t>
            </w:r>
          </w:p>
          <w:p w14:paraId="1B7CB3C7">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根据工艺分析，粘土砂造型废气污染物主要为颗粒物；树脂自硬砂铸造的造型废气污染物主要为挥发性有机物和颗粒物；熔模铸造的造型废气主要来自</w:t>
            </w:r>
            <w:r>
              <w:rPr>
                <w:rFonts w:hint="eastAsia"/>
                <w:color w:val="auto"/>
                <w:sz w:val="24"/>
                <w:szCs w:val="24"/>
                <w:highlight w:val="none"/>
                <w:lang w:val="en-US" w:eastAsia="zh-CN"/>
              </w:rPr>
              <w:t>蜡模组树、脱蜡、型壳</w:t>
            </w:r>
            <w:r>
              <w:rPr>
                <w:rFonts w:hint="eastAsia" w:ascii="Times New Roman" w:eastAsia="宋体"/>
                <w:color w:val="auto"/>
                <w:sz w:val="24"/>
                <w:szCs w:val="24"/>
                <w:highlight w:val="none"/>
                <w:lang w:eastAsia="zh-CN"/>
              </w:rPr>
              <w:t>焙烧，其</w:t>
            </w:r>
            <w:r>
              <w:rPr>
                <w:rFonts w:hint="eastAsia"/>
                <w:color w:val="auto"/>
                <w:sz w:val="24"/>
                <w:szCs w:val="24"/>
                <w:highlight w:val="none"/>
                <w:lang w:val="en-US" w:eastAsia="zh-CN"/>
              </w:rPr>
              <w:t>中蜡模组树、脱蜡采用蒸汽加热，</w:t>
            </w:r>
            <w:r>
              <w:rPr>
                <w:rFonts w:hint="eastAsia" w:ascii="Times New Roman" w:eastAsia="宋体"/>
                <w:color w:val="auto"/>
                <w:sz w:val="24"/>
                <w:szCs w:val="24"/>
                <w:highlight w:val="none"/>
                <w:lang w:eastAsia="zh-CN"/>
              </w:rPr>
              <w:t>废气主要污染物分别为挥发性有机物</w:t>
            </w:r>
            <w:r>
              <w:rPr>
                <w:rFonts w:hint="eastAsia"/>
                <w:color w:val="auto"/>
                <w:sz w:val="24"/>
                <w:szCs w:val="24"/>
                <w:highlight w:val="none"/>
                <w:lang w:eastAsia="zh-CN"/>
              </w:rPr>
              <w:t>；</w:t>
            </w:r>
            <w:r>
              <w:rPr>
                <w:rFonts w:hint="eastAsia" w:ascii="Times New Roman" w:eastAsia="宋体"/>
                <w:color w:val="auto"/>
                <w:sz w:val="24"/>
                <w:szCs w:val="24"/>
                <w:highlight w:val="none"/>
                <w:lang w:eastAsia="zh-CN"/>
              </w:rPr>
              <w:t>焙烧</w:t>
            </w:r>
            <w:r>
              <w:rPr>
                <w:rFonts w:hint="eastAsia"/>
                <w:color w:val="auto"/>
                <w:sz w:val="24"/>
                <w:szCs w:val="24"/>
                <w:highlight w:val="none"/>
                <w:lang w:val="en-US" w:eastAsia="zh-CN"/>
              </w:rPr>
              <w:t>以天然气为原料，</w:t>
            </w:r>
            <w:r>
              <w:rPr>
                <w:rFonts w:hint="eastAsia" w:ascii="Times New Roman" w:eastAsia="宋体"/>
                <w:color w:val="auto"/>
                <w:sz w:val="24"/>
                <w:szCs w:val="24"/>
                <w:highlight w:val="none"/>
                <w:lang w:eastAsia="zh-CN"/>
              </w:rPr>
              <w:t>废气主要污染物为挥发性有机物和颗粒物</w:t>
            </w:r>
            <w:r>
              <w:rPr>
                <w:rFonts w:hint="eastAsia"/>
                <w:color w:val="auto"/>
                <w:sz w:val="24"/>
                <w:szCs w:val="24"/>
                <w:highlight w:val="none"/>
                <w:lang w:eastAsia="zh-CN"/>
              </w:rPr>
              <w:t>、</w:t>
            </w:r>
            <w:r>
              <w:rPr>
                <w:rFonts w:hint="eastAsia"/>
                <w:color w:val="auto"/>
                <w:sz w:val="24"/>
                <w:szCs w:val="24"/>
                <w:highlight w:val="none"/>
                <w:lang w:val="en-US" w:eastAsia="zh-CN"/>
              </w:rPr>
              <w:t>二氧化硫、氮氧化物</w:t>
            </w:r>
            <w:r>
              <w:rPr>
                <w:rFonts w:hint="eastAsia" w:ascii="Times New Roman" w:eastAsia="宋体"/>
                <w:color w:val="auto"/>
                <w:sz w:val="24"/>
                <w:szCs w:val="24"/>
                <w:highlight w:val="none"/>
                <w:lang w:eastAsia="zh-CN"/>
              </w:rPr>
              <w:t>。除</w:t>
            </w:r>
            <w:r>
              <w:rPr>
                <w:rFonts w:hint="eastAsia"/>
                <w:color w:val="auto"/>
                <w:sz w:val="24"/>
                <w:szCs w:val="24"/>
                <w:highlight w:val="none"/>
                <w:lang w:val="en-US" w:eastAsia="zh-CN"/>
              </w:rPr>
              <w:t>脱蜡、</w:t>
            </w:r>
            <w:r>
              <w:rPr>
                <w:rFonts w:hint="eastAsia" w:ascii="Times New Roman" w:eastAsia="宋体"/>
                <w:color w:val="auto"/>
                <w:sz w:val="24"/>
                <w:szCs w:val="24"/>
                <w:highlight w:val="none"/>
                <w:lang w:eastAsia="zh-CN"/>
              </w:rPr>
              <w:t>焙烧废气为密闭设备100%收集外，拟根据相应工序生产需要设置顶吸或侧吸集气罩收集造型浇注废气，收集效率按80%计。参考《排放源统计调查产排污核算方法和系数手册》相应的产污系数，项目各铸造工艺的造型废气污染物产生情况详见下表。</w:t>
            </w:r>
            <w:r>
              <w:rPr>
                <w:rFonts w:hint="eastAsia"/>
                <w:color w:val="auto"/>
                <w:sz w:val="24"/>
                <w:szCs w:val="24"/>
                <w:highlight w:val="none"/>
                <w:lang w:val="en-US" w:eastAsia="zh-CN"/>
              </w:rPr>
              <w:t>蜡模组树</w:t>
            </w:r>
            <w:r>
              <w:rPr>
                <w:rFonts w:hint="eastAsia" w:ascii="Times New Roman" w:eastAsia="宋体"/>
                <w:color w:val="auto"/>
                <w:sz w:val="24"/>
                <w:szCs w:val="24"/>
                <w:highlight w:val="none"/>
                <w:lang w:eastAsia="zh-CN"/>
              </w:rPr>
              <w:t>产生的恶臭主要来源于挥发性有机物，且目前尚无</w:t>
            </w:r>
            <w:r>
              <w:rPr>
                <w:rFonts w:hint="eastAsia"/>
                <w:color w:val="auto"/>
                <w:sz w:val="24"/>
                <w:szCs w:val="24"/>
                <w:highlight w:val="none"/>
                <w:lang w:val="en-US" w:eastAsia="zh-CN"/>
              </w:rPr>
              <w:t>该</w:t>
            </w:r>
            <w:r>
              <w:rPr>
                <w:rFonts w:hint="eastAsia" w:ascii="Times New Roman" w:eastAsia="宋体"/>
                <w:color w:val="auto"/>
                <w:sz w:val="24"/>
                <w:szCs w:val="24"/>
                <w:highlight w:val="none"/>
                <w:lang w:eastAsia="zh-CN"/>
              </w:rPr>
              <w:t>工序臭气浓度的产污系数，故本报告不对其进行定量分析。</w:t>
            </w:r>
          </w:p>
          <w:p w14:paraId="404AAB3D">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6</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w:t>
            </w:r>
            <w:r>
              <w:rPr>
                <w:rFonts w:hint="eastAsia" w:ascii="Times New Roman" w:eastAsia="宋体"/>
                <w:b/>
                <w:bCs/>
                <w:color w:val="auto"/>
                <w:sz w:val="24"/>
                <w:szCs w:val="24"/>
                <w:highlight w:val="none"/>
                <w:lang w:eastAsia="zh-CN"/>
              </w:rPr>
              <w:t>造型废气污染物产生情况一览表</w:t>
            </w:r>
          </w:p>
          <w:tbl>
            <w:tblPr>
              <w:tblStyle w:val="29"/>
              <w:tblW w:w="832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0"/>
              <w:gridCol w:w="558"/>
              <w:gridCol w:w="537"/>
              <w:gridCol w:w="554"/>
              <w:gridCol w:w="580"/>
              <w:gridCol w:w="983"/>
              <w:gridCol w:w="870"/>
              <w:gridCol w:w="643"/>
              <w:gridCol w:w="580"/>
              <w:gridCol w:w="567"/>
              <w:gridCol w:w="567"/>
              <w:gridCol w:w="555"/>
              <w:gridCol w:w="517"/>
              <w:gridCol w:w="361"/>
            </w:tblGrid>
            <w:tr w14:paraId="01013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8" w:type="dxa"/>
                  <w:gridSpan w:val="2"/>
                  <w:vMerge w:val="restart"/>
                  <w:tcBorders>
                    <w:tl2br w:val="nil"/>
                    <w:tr2bl w:val="nil"/>
                  </w:tcBorders>
                  <w:vAlign w:val="center"/>
                </w:tcPr>
                <w:p w14:paraId="6F3F0D2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铸造工艺</w:t>
                  </w:r>
                </w:p>
              </w:tc>
              <w:tc>
                <w:tcPr>
                  <w:tcW w:w="537" w:type="dxa"/>
                  <w:vMerge w:val="restart"/>
                  <w:tcBorders>
                    <w:tl2br w:val="nil"/>
                    <w:tr2bl w:val="nil"/>
                  </w:tcBorders>
                  <w:vAlign w:val="center"/>
                </w:tcPr>
                <w:p w14:paraId="366F869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产品</w:t>
                  </w:r>
                </w:p>
              </w:tc>
              <w:tc>
                <w:tcPr>
                  <w:tcW w:w="554" w:type="dxa"/>
                  <w:vMerge w:val="restart"/>
                  <w:tcBorders>
                    <w:tl2br w:val="nil"/>
                    <w:tr2bl w:val="nil"/>
                  </w:tcBorders>
                  <w:vAlign w:val="center"/>
                </w:tcPr>
                <w:p w14:paraId="41D1DF9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对应产能（t/a）</w:t>
                  </w:r>
                </w:p>
              </w:tc>
              <w:tc>
                <w:tcPr>
                  <w:tcW w:w="580" w:type="dxa"/>
                  <w:vMerge w:val="restart"/>
                  <w:tcBorders>
                    <w:tl2br w:val="nil"/>
                    <w:tr2bl w:val="nil"/>
                  </w:tcBorders>
                  <w:vAlign w:val="center"/>
                </w:tcPr>
                <w:p w14:paraId="4D918D9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工作时间（h/a）</w:t>
                  </w:r>
                </w:p>
              </w:tc>
              <w:tc>
                <w:tcPr>
                  <w:tcW w:w="983" w:type="dxa"/>
                  <w:vMerge w:val="restart"/>
                  <w:tcBorders>
                    <w:tl2br w:val="nil"/>
                    <w:tr2bl w:val="nil"/>
                  </w:tcBorders>
                  <w:vAlign w:val="center"/>
                </w:tcPr>
                <w:p w14:paraId="36A89AA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污染物</w:t>
                  </w:r>
                </w:p>
              </w:tc>
              <w:tc>
                <w:tcPr>
                  <w:tcW w:w="870" w:type="dxa"/>
                  <w:vMerge w:val="restart"/>
                  <w:tcBorders>
                    <w:tl2br w:val="nil"/>
                    <w:tr2bl w:val="nil"/>
                  </w:tcBorders>
                  <w:vAlign w:val="center"/>
                </w:tcPr>
                <w:p w14:paraId="0E3E22A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产污系数(kg/t·产品)</w:t>
                  </w:r>
                </w:p>
              </w:tc>
              <w:tc>
                <w:tcPr>
                  <w:tcW w:w="3429" w:type="dxa"/>
                  <w:gridSpan w:val="6"/>
                  <w:tcBorders>
                    <w:tl2br w:val="nil"/>
                    <w:tr2bl w:val="nil"/>
                  </w:tcBorders>
                  <w:vAlign w:val="center"/>
                </w:tcPr>
                <w:p w14:paraId="132C49E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产生量（kg/h）</w:t>
                  </w:r>
                </w:p>
              </w:tc>
              <w:tc>
                <w:tcPr>
                  <w:tcW w:w="361" w:type="dxa"/>
                  <w:vMerge w:val="restart"/>
                  <w:tcBorders>
                    <w:tl2br w:val="nil"/>
                    <w:tr2bl w:val="nil"/>
                  </w:tcBorders>
                  <w:vAlign w:val="center"/>
                </w:tcPr>
                <w:p w14:paraId="4BFA75E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所在位置</w:t>
                  </w:r>
                </w:p>
              </w:tc>
            </w:tr>
            <w:tr w14:paraId="4C0A06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8" w:type="dxa"/>
                  <w:gridSpan w:val="2"/>
                  <w:vMerge w:val="continue"/>
                  <w:tcBorders>
                    <w:tl2br w:val="nil"/>
                    <w:tr2bl w:val="nil"/>
                  </w:tcBorders>
                  <w:vAlign w:val="center"/>
                </w:tcPr>
                <w:p w14:paraId="091323F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37" w:type="dxa"/>
                  <w:vMerge w:val="continue"/>
                  <w:tcBorders>
                    <w:tl2br w:val="nil"/>
                    <w:tr2bl w:val="nil"/>
                  </w:tcBorders>
                  <w:vAlign w:val="center"/>
                </w:tcPr>
                <w:p w14:paraId="3C52A4A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54" w:type="dxa"/>
                  <w:vMerge w:val="continue"/>
                  <w:tcBorders>
                    <w:tl2br w:val="nil"/>
                    <w:tr2bl w:val="nil"/>
                  </w:tcBorders>
                  <w:vAlign w:val="center"/>
                </w:tcPr>
                <w:p w14:paraId="43787A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80" w:type="dxa"/>
                  <w:vMerge w:val="continue"/>
                  <w:tcBorders>
                    <w:tl2br w:val="nil"/>
                    <w:tr2bl w:val="nil"/>
                  </w:tcBorders>
                  <w:vAlign w:val="center"/>
                </w:tcPr>
                <w:p w14:paraId="199A2D4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983" w:type="dxa"/>
                  <w:vMerge w:val="continue"/>
                  <w:tcBorders>
                    <w:tl2br w:val="nil"/>
                    <w:tr2bl w:val="nil"/>
                  </w:tcBorders>
                  <w:vAlign w:val="center"/>
                </w:tcPr>
                <w:p w14:paraId="13B064A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870" w:type="dxa"/>
                  <w:vMerge w:val="continue"/>
                  <w:tcBorders>
                    <w:tl2br w:val="nil"/>
                    <w:tr2bl w:val="nil"/>
                  </w:tcBorders>
                  <w:vAlign w:val="center"/>
                </w:tcPr>
                <w:p w14:paraId="0D276BD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1223" w:type="dxa"/>
                  <w:gridSpan w:val="2"/>
                  <w:tcBorders>
                    <w:tl2br w:val="nil"/>
                    <w:tr2bl w:val="nil"/>
                  </w:tcBorders>
                  <w:vAlign w:val="center"/>
                </w:tcPr>
                <w:p w14:paraId="0FA4A7C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有组织</w:t>
                  </w:r>
                </w:p>
              </w:tc>
              <w:tc>
                <w:tcPr>
                  <w:tcW w:w="1134" w:type="dxa"/>
                  <w:gridSpan w:val="2"/>
                  <w:tcBorders>
                    <w:tl2br w:val="nil"/>
                    <w:tr2bl w:val="nil"/>
                  </w:tcBorders>
                  <w:vAlign w:val="center"/>
                </w:tcPr>
                <w:p w14:paraId="079EE2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无组织</w:t>
                  </w:r>
                </w:p>
              </w:tc>
              <w:tc>
                <w:tcPr>
                  <w:tcW w:w="1072" w:type="dxa"/>
                  <w:gridSpan w:val="2"/>
                  <w:tcBorders>
                    <w:tl2br w:val="nil"/>
                    <w:tr2bl w:val="nil"/>
                  </w:tcBorders>
                  <w:vAlign w:val="center"/>
                </w:tcPr>
                <w:p w14:paraId="3559F6E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合计</w:t>
                  </w:r>
                </w:p>
              </w:tc>
              <w:tc>
                <w:tcPr>
                  <w:tcW w:w="361" w:type="dxa"/>
                  <w:vMerge w:val="continue"/>
                  <w:tcBorders>
                    <w:tl2br w:val="nil"/>
                    <w:tr2bl w:val="nil"/>
                  </w:tcBorders>
                  <w:vAlign w:val="center"/>
                </w:tcPr>
                <w:p w14:paraId="68CF915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r>
            <w:tr w14:paraId="4434D6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8" w:type="dxa"/>
                  <w:gridSpan w:val="2"/>
                  <w:vMerge w:val="continue"/>
                  <w:tcBorders>
                    <w:tl2br w:val="nil"/>
                    <w:tr2bl w:val="nil"/>
                  </w:tcBorders>
                  <w:vAlign w:val="center"/>
                </w:tcPr>
                <w:p w14:paraId="6642F1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37" w:type="dxa"/>
                  <w:vMerge w:val="continue"/>
                  <w:tcBorders>
                    <w:tl2br w:val="nil"/>
                    <w:tr2bl w:val="nil"/>
                  </w:tcBorders>
                  <w:vAlign w:val="center"/>
                </w:tcPr>
                <w:p w14:paraId="72D467B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54" w:type="dxa"/>
                  <w:vMerge w:val="continue"/>
                  <w:tcBorders>
                    <w:tl2br w:val="nil"/>
                    <w:tr2bl w:val="nil"/>
                  </w:tcBorders>
                  <w:vAlign w:val="center"/>
                </w:tcPr>
                <w:p w14:paraId="7B827BF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80" w:type="dxa"/>
                  <w:vMerge w:val="continue"/>
                  <w:tcBorders>
                    <w:tl2br w:val="nil"/>
                    <w:tr2bl w:val="nil"/>
                  </w:tcBorders>
                  <w:vAlign w:val="center"/>
                </w:tcPr>
                <w:p w14:paraId="4283DFC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983" w:type="dxa"/>
                  <w:vMerge w:val="continue"/>
                  <w:tcBorders>
                    <w:tl2br w:val="nil"/>
                    <w:tr2bl w:val="nil"/>
                  </w:tcBorders>
                  <w:vAlign w:val="center"/>
                </w:tcPr>
                <w:p w14:paraId="3A29B9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870" w:type="dxa"/>
                  <w:vMerge w:val="continue"/>
                  <w:tcBorders>
                    <w:tl2br w:val="nil"/>
                    <w:tr2bl w:val="nil"/>
                  </w:tcBorders>
                  <w:vAlign w:val="center"/>
                </w:tcPr>
                <w:p w14:paraId="4367FA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643" w:type="dxa"/>
                  <w:tcBorders>
                    <w:tl2br w:val="nil"/>
                    <w:tr2bl w:val="nil"/>
                  </w:tcBorders>
                  <w:vAlign w:val="center"/>
                </w:tcPr>
                <w:p w14:paraId="353C01D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t/a</w:t>
                  </w:r>
                </w:p>
              </w:tc>
              <w:tc>
                <w:tcPr>
                  <w:tcW w:w="580" w:type="dxa"/>
                  <w:tcBorders>
                    <w:tl2br w:val="nil"/>
                    <w:tr2bl w:val="nil"/>
                  </w:tcBorders>
                  <w:vAlign w:val="center"/>
                </w:tcPr>
                <w:p w14:paraId="2B03147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kg/h</w:t>
                  </w:r>
                </w:p>
              </w:tc>
              <w:tc>
                <w:tcPr>
                  <w:tcW w:w="567" w:type="dxa"/>
                  <w:tcBorders>
                    <w:tl2br w:val="nil"/>
                    <w:tr2bl w:val="nil"/>
                  </w:tcBorders>
                  <w:vAlign w:val="center"/>
                </w:tcPr>
                <w:p w14:paraId="150431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t/a</w:t>
                  </w:r>
                </w:p>
              </w:tc>
              <w:tc>
                <w:tcPr>
                  <w:tcW w:w="567" w:type="dxa"/>
                  <w:tcBorders>
                    <w:tl2br w:val="nil"/>
                    <w:tr2bl w:val="nil"/>
                  </w:tcBorders>
                  <w:vAlign w:val="center"/>
                </w:tcPr>
                <w:p w14:paraId="27C54EE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kg/h</w:t>
                  </w:r>
                </w:p>
              </w:tc>
              <w:tc>
                <w:tcPr>
                  <w:tcW w:w="555" w:type="dxa"/>
                  <w:tcBorders>
                    <w:tl2br w:val="nil"/>
                    <w:tr2bl w:val="nil"/>
                  </w:tcBorders>
                  <w:vAlign w:val="center"/>
                </w:tcPr>
                <w:p w14:paraId="01CD4A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t/a</w:t>
                  </w:r>
                </w:p>
              </w:tc>
              <w:tc>
                <w:tcPr>
                  <w:tcW w:w="517" w:type="dxa"/>
                  <w:tcBorders>
                    <w:tl2br w:val="nil"/>
                    <w:tr2bl w:val="nil"/>
                  </w:tcBorders>
                  <w:vAlign w:val="center"/>
                </w:tcPr>
                <w:p w14:paraId="6840BB5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kg/h</w:t>
                  </w:r>
                </w:p>
              </w:tc>
              <w:tc>
                <w:tcPr>
                  <w:tcW w:w="361" w:type="dxa"/>
                  <w:vMerge w:val="continue"/>
                  <w:tcBorders>
                    <w:tl2br w:val="nil"/>
                    <w:tr2bl w:val="nil"/>
                  </w:tcBorders>
                  <w:vAlign w:val="center"/>
                </w:tcPr>
                <w:p w14:paraId="34717D7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r>
            <w:tr w14:paraId="63F35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restart"/>
                  <w:tcBorders>
                    <w:right w:val="single" w:color="auto" w:sz="4" w:space="0"/>
                    <w:tl2br w:val="nil"/>
                    <w:tr2bl w:val="nil"/>
                  </w:tcBorders>
                  <w:vAlign w:val="center"/>
                </w:tcPr>
                <w:p w14:paraId="04B3B3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熔模铸造</w:t>
                  </w:r>
                </w:p>
              </w:tc>
              <w:tc>
                <w:tcPr>
                  <w:tcW w:w="558" w:type="dxa"/>
                  <w:tcBorders>
                    <w:left w:val="single" w:color="auto" w:sz="4" w:space="0"/>
                    <w:tl2br w:val="nil"/>
                    <w:tr2bl w:val="nil"/>
                  </w:tcBorders>
                  <w:vAlign w:val="center"/>
                </w:tcPr>
                <w:p w14:paraId="3924DAE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组树</w:t>
                  </w:r>
                </w:p>
              </w:tc>
              <w:tc>
                <w:tcPr>
                  <w:tcW w:w="537" w:type="dxa"/>
                  <w:vMerge w:val="restart"/>
                  <w:tcBorders>
                    <w:tl2br w:val="nil"/>
                    <w:tr2bl w:val="nil"/>
                  </w:tcBorders>
                  <w:vAlign w:val="center"/>
                </w:tcPr>
                <w:p w14:paraId="4136642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精密铸件</w:t>
                  </w:r>
                </w:p>
              </w:tc>
              <w:tc>
                <w:tcPr>
                  <w:tcW w:w="554" w:type="dxa"/>
                  <w:tcBorders>
                    <w:tl2br w:val="nil"/>
                    <w:tr2bl w:val="nil"/>
                  </w:tcBorders>
                  <w:vAlign w:val="center"/>
                </w:tcPr>
                <w:p w14:paraId="046DD3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highlight w:val="none"/>
                      <w:lang w:val="en-US" w:eastAsia="zh-CN"/>
                    </w:rPr>
                  </w:pPr>
                  <w:r>
                    <w:rPr>
                      <w:rFonts w:hint="eastAsia" w:ascii="Times New Roman" w:hAnsi="Times New Roman" w:eastAsia="宋体" w:cs="Times New Roman"/>
                      <w:b w:val="0"/>
                      <w:bCs w:val="0"/>
                      <w:color w:val="auto"/>
                      <w:spacing w:val="-1"/>
                      <w:sz w:val="18"/>
                      <w:szCs w:val="18"/>
                      <w:highlight w:val="none"/>
                      <w:lang w:val="en-US" w:eastAsia="zh-CN"/>
                    </w:rPr>
                    <w:t>500</w:t>
                  </w:r>
                </w:p>
              </w:tc>
              <w:tc>
                <w:tcPr>
                  <w:tcW w:w="580" w:type="dxa"/>
                  <w:tcBorders>
                    <w:tl2br w:val="nil"/>
                    <w:tr2bl w:val="nil"/>
                  </w:tcBorders>
                  <w:vAlign w:val="center"/>
                </w:tcPr>
                <w:p w14:paraId="088872C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highlight w:val="none"/>
                      <w:lang w:val="en-US" w:eastAsia="zh-CN"/>
                    </w:rPr>
                  </w:pPr>
                  <w:r>
                    <w:rPr>
                      <w:rFonts w:hint="eastAsia" w:ascii="Times New Roman" w:hAnsi="Times New Roman" w:eastAsia="宋体" w:cs="Times New Roman"/>
                      <w:b w:val="0"/>
                      <w:bCs w:val="0"/>
                      <w:color w:val="auto"/>
                      <w:spacing w:val="-1"/>
                      <w:sz w:val="18"/>
                      <w:szCs w:val="18"/>
                      <w:highlight w:val="none"/>
                      <w:lang w:val="en-US" w:eastAsia="zh-CN"/>
                    </w:rPr>
                    <w:t>1200</w:t>
                  </w:r>
                </w:p>
              </w:tc>
              <w:tc>
                <w:tcPr>
                  <w:tcW w:w="983" w:type="dxa"/>
                  <w:tcBorders>
                    <w:tl2br w:val="nil"/>
                    <w:tr2bl w:val="nil"/>
                  </w:tcBorders>
                  <w:vAlign w:val="center"/>
                </w:tcPr>
                <w:p w14:paraId="368A75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非甲烷总烃</w:t>
                  </w:r>
                </w:p>
              </w:tc>
              <w:tc>
                <w:tcPr>
                  <w:tcW w:w="870" w:type="dxa"/>
                  <w:tcBorders>
                    <w:tl2br w:val="nil"/>
                    <w:tr2bl w:val="nil"/>
                  </w:tcBorders>
                  <w:vAlign w:val="center"/>
                </w:tcPr>
                <w:p w14:paraId="519C25C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color w:val="auto"/>
                      <w:spacing w:val="-1"/>
                      <w:sz w:val="18"/>
                      <w:szCs w:val="18"/>
                      <w:highlight w:val="none"/>
                    </w:rPr>
                    <w:t>0.333</w:t>
                  </w:r>
                </w:p>
              </w:tc>
              <w:tc>
                <w:tcPr>
                  <w:tcW w:w="643" w:type="dxa"/>
                  <w:tcBorders>
                    <w:tl2br w:val="nil"/>
                    <w:tr2bl w:val="nil"/>
                  </w:tcBorders>
                  <w:vAlign w:val="center"/>
                </w:tcPr>
                <w:p w14:paraId="0A0DB89B">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0.133</w:t>
                  </w:r>
                </w:p>
              </w:tc>
              <w:tc>
                <w:tcPr>
                  <w:tcW w:w="580" w:type="dxa"/>
                  <w:tcBorders>
                    <w:tl2br w:val="nil"/>
                    <w:tr2bl w:val="nil"/>
                  </w:tcBorders>
                  <w:vAlign w:val="center"/>
                </w:tcPr>
                <w:p w14:paraId="06A82781">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0.111</w:t>
                  </w:r>
                </w:p>
              </w:tc>
              <w:tc>
                <w:tcPr>
                  <w:tcW w:w="567" w:type="dxa"/>
                  <w:tcBorders>
                    <w:tl2br w:val="nil"/>
                    <w:tr2bl w:val="nil"/>
                  </w:tcBorders>
                  <w:vAlign w:val="center"/>
                </w:tcPr>
                <w:p w14:paraId="0268B430">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0.033</w:t>
                  </w:r>
                </w:p>
              </w:tc>
              <w:tc>
                <w:tcPr>
                  <w:tcW w:w="567" w:type="dxa"/>
                  <w:tcBorders>
                    <w:tl2br w:val="nil"/>
                    <w:tr2bl w:val="nil"/>
                  </w:tcBorders>
                  <w:vAlign w:val="center"/>
                </w:tcPr>
                <w:p w14:paraId="683FD2FA">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0.028</w:t>
                  </w:r>
                </w:p>
              </w:tc>
              <w:tc>
                <w:tcPr>
                  <w:tcW w:w="555" w:type="dxa"/>
                  <w:tcBorders>
                    <w:tl2br w:val="nil"/>
                    <w:tr2bl w:val="nil"/>
                  </w:tcBorders>
                  <w:vAlign w:val="center"/>
                </w:tcPr>
                <w:p w14:paraId="7DEDCE10">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0.167</w:t>
                  </w:r>
                </w:p>
              </w:tc>
              <w:tc>
                <w:tcPr>
                  <w:tcW w:w="517" w:type="dxa"/>
                  <w:tcBorders>
                    <w:tl2br w:val="nil"/>
                    <w:tr2bl w:val="nil"/>
                  </w:tcBorders>
                  <w:vAlign w:val="center"/>
                </w:tcPr>
                <w:p w14:paraId="017918BD">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0.139</w:t>
                  </w:r>
                </w:p>
              </w:tc>
              <w:tc>
                <w:tcPr>
                  <w:tcW w:w="361" w:type="dxa"/>
                  <w:vMerge w:val="restart"/>
                  <w:tcBorders>
                    <w:tl2br w:val="nil"/>
                    <w:tr2bl w:val="nil"/>
                  </w:tcBorders>
                  <w:vAlign w:val="center"/>
                </w:tcPr>
                <w:p w14:paraId="0DBF051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1#厂房</w:t>
                  </w:r>
                </w:p>
              </w:tc>
            </w:tr>
            <w:tr w14:paraId="0F6E95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continue"/>
                  <w:tcBorders>
                    <w:right w:val="single" w:color="auto" w:sz="4" w:space="0"/>
                    <w:tl2br w:val="nil"/>
                    <w:tr2bl w:val="nil"/>
                  </w:tcBorders>
                  <w:vAlign w:val="center"/>
                </w:tcPr>
                <w:p w14:paraId="25A4BEF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8" w:type="dxa"/>
                  <w:vMerge w:val="restart"/>
                  <w:tcBorders>
                    <w:tl2br w:val="nil"/>
                    <w:tr2bl w:val="nil"/>
                  </w:tcBorders>
                  <w:vAlign w:val="center"/>
                </w:tcPr>
                <w:p w14:paraId="5C501D1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造型、脱蜡、焙烧</w:t>
                  </w:r>
                </w:p>
              </w:tc>
              <w:tc>
                <w:tcPr>
                  <w:tcW w:w="537" w:type="dxa"/>
                  <w:vMerge w:val="continue"/>
                  <w:tcBorders>
                    <w:tl2br w:val="nil"/>
                    <w:tr2bl w:val="nil"/>
                  </w:tcBorders>
                  <w:vAlign w:val="center"/>
                </w:tcPr>
                <w:p w14:paraId="749CC96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restart"/>
                  <w:tcBorders>
                    <w:tl2br w:val="nil"/>
                    <w:tr2bl w:val="nil"/>
                  </w:tcBorders>
                  <w:vAlign w:val="center"/>
                </w:tcPr>
                <w:p w14:paraId="0ECA50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3</w:t>
                  </w:r>
                  <w:r>
                    <w:rPr>
                      <w:rFonts w:hint="default" w:ascii="Times New Roman" w:hAnsi="Times New Roman" w:eastAsia="宋体" w:cs="Times New Roman"/>
                      <w:color w:val="auto"/>
                      <w:spacing w:val="-1"/>
                      <w:sz w:val="18"/>
                      <w:szCs w:val="18"/>
                      <w:highlight w:val="none"/>
                    </w:rPr>
                    <w:t>000</w:t>
                  </w:r>
                </w:p>
              </w:tc>
              <w:tc>
                <w:tcPr>
                  <w:tcW w:w="580" w:type="dxa"/>
                  <w:vMerge w:val="restart"/>
                  <w:tcBorders>
                    <w:tl2br w:val="nil"/>
                    <w:tr2bl w:val="nil"/>
                  </w:tcBorders>
                  <w:vAlign w:val="center"/>
                </w:tcPr>
                <w:p w14:paraId="3F4AF1E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3000</w:t>
                  </w:r>
                </w:p>
              </w:tc>
              <w:tc>
                <w:tcPr>
                  <w:tcW w:w="983" w:type="dxa"/>
                  <w:tcBorders>
                    <w:tl2br w:val="nil"/>
                    <w:tr2bl w:val="nil"/>
                  </w:tcBorders>
                  <w:shd w:val="clear" w:color="auto" w:fill="auto"/>
                  <w:vAlign w:val="center"/>
                </w:tcPr>
                <w:p w14:paraId="79E8B75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highlight w:val="none"/>
                      <w:lang w:val="en-US" w:eastAsia="zh-CN" w:bidi="ar-SA"/>
                    </w:rPr>
                  </w:pPr>
                  <w:r>
                    <w:rPr>
                      <w:rFonts w:hint="eastAsia" w:ascii="Times New Roman" w:hAnsi="Times New Roman" w:eastAsia="宋体" w:cs="Times New Roman"/>
                      <w:color w:val="auto"/>
                      <w:spacing w:val="-1"/>
                      <w:sz w:val="18"/>
                      <w:szCs w:val="18"/>
                      <w:highlight w:val="none"/>
                      <w:lang w:val="en-US" w:eastAsia="zh-CN"/>
                    </w:rPr>
                    <w:t>非甲烷总烃</w:t>
                  </w:r>
                </w:p>
              </w:tc>
              <w:tc>
                <w:tcPr>
                  <w:tcW w:w="870" w:type="dxa"/>
                  <w:tcBorders>
                    <w:tl2br w:val="nil"/>
                    <w:tr2bl w:val="nil"/>
                  </w:tcBorders>
                  <w:shd w:val="clear" w:color="auto" w:fill="auto"/>
                  <w:vAlign w:val="center"/>
                </w:tcPr>
                <w:p w14:paraId="38973E7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highlight w:val="none"/>
                      <w:lang w:val="en-US" w:eastAsia="zh-CN" w:bidi="ar-SA"/>
                    </w:rPr>
                  </w:pPr>
                  <w:r>
                    <w:rPr>
                      <w:rFonts w:hint="default" w:ascii="Times New Roman" w:hAnsi="Times New Roman" w:eastAsia="宋体" w:cs="Times New Roman"/>
                      <w:color w:val="auto"/>
                      <w:spacing w:val="-1"/>
                      <w:sz w:val="18"/>
                      <w:szCs w:val="18"/>
                      <w:highlight w:val="none"/>
                    </w:rPr>
                    <w:t>0.333</w:t>
                  </w:r>
                </w:p>
              </w:tc>
              <w:tc>
                <w:tcPr>
                  <w:tcW w:w="643" w:type="dxa"/>
                  <w:tcBorders>
                    <w:tl2br w:val="nil"/>
                    <w:tr2bl w:val="nil"/>
                  </w:tcBorders>
                  <w:shd w:val="clear" w:color="auto" w:fill="auto"/>
                  <w:vAlign w:val="center"/>
                </w:tcPr>
                <w:p w14:paraId="575326D0">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0.167</w:t>
                  </w:r>
                </w:p>
              </w:tc>
              <w:tc>
                <w:tcPr>
                  <w:tcW w:w="580" w:type="dxa"/>
                  <w:tcBorders>
                    <w:tl2br w:val="nil"/>
                    <w:tr2bl w:val="nil"/>
                  </w:tcBorders>
                  <w:shd w:val="clear" w:color="auto" w:fill="auto"/>
                  <w:vAlign w:val="center"/>
                </w:tcPr>
                <w:p w14:paraId="107607E5">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0.056</w:t>
                  </w:r>
                </w:p>
              </w:tc>
              <w:tc>
                <w:tcPr>
                  <w:tcW w:w="567" w:type="dxa"/>
                  <w:tcBorders>
                    <w:tl2br w:val="nil"/>
                    <w:tr2bl w:val="nil"/>
                  </w:tcBorders>
                  <w:shd w:val="clear" w:color="auto" w:fill="auto"/>
                  <w:vAlign w:val="center"/>
                </w:tcPr>
                <w:p w14:paraId="3C8A50B7">
                  <w:pPr>
                    <w:jc w:val="center"/>
                    <w:rPr>
                      <w:rFonts w:hint="default" w:ascii="Times New Roman" w:hAnsi="Times New Roman" w:eastAsia="宋体" w:cs="Times New Roman"/>
                      <w:color w:val="auto"/>
                      <w:spacing w:val="-1"/>
                      <w:sz w:val="18"/>
                      <w:szCs w:val="18"/>
                      <w:highlight w:val="none"/>
                      <w:lang w:val="en-US" w:eastAsia="zh-CN" w:bidi="ar-SA"/>
                    </w:rPr>
                  </w:pPr>
                  <w:r>
                    <w:rPr>
                      <w:rFonts w:hint="eastAsia" w:cs="Times New Roman"/>
                      <w:color w:val="auto"/>
                      <w:spacing w:val="-1"/>
                      <w:sz w:val="18"/>
                      <w:szCs w:val="18"/>
                      <w:highlight w:val="none"/>
                      <w:lang w:val="en-US" w:eastAsia="zh-CN" w:bidi="ar-SA"/>
                    </w:rPr>
                    <w:t>0</w:t>
                  </w:r>
                </w:p>
              </w:tc>
              <w:tc>
                <w:tcPr>
                  <w:tcW w:w="567" w:type="dxa"/>
                  <w:tcBorders>
                    <w:tl2br w:val="nil"/>
                    <w:tr2bl w:val="nil"/>
                  </w:tcBorders>
                  <w:shd w:val="clear" w:color="auto" w:fill="auto"/>
                  <w:vAlign w:val="center"/>
                </w:tcPr>
                <w:p w14:paraId="0A211541">
                  <w:pPr>
                    <w:jc w:val="center"/>
                    <w:rPr>
                      <w:rFonts w:hint="default" w:ascii="Times New Roman" w:hAnsi="Times New Roman" w:eastAsia="宋体" w:cs="Times New Roman"/>
                      <w:color w:val="auto"/>
                      <w:spacing w:val="-1"/>
                      <w:sz w:val="18"/>
                      <w:szCs w:val="18"/>
                      <w:highlight w:val="none"/>
                      <w:lang w:val="en-US" w:eastAsia="zh-CN" w:bidi="ar-SA"/>
                    </w:rPr>
                  </w:pPr>
                  <w:r>
                    <w:rPr>
                      <w:rFonts w:hint="eastAsia" w:cs="Times New Roman"/>
                      <w:color w:val="auto"/>
                      <w:spacing w:val="-1"/>
                      <w:sz w:val="18"/>
                      <w:szCs w:val="18"/>
                      <w:highlight w:val="none"/>
                      <w:lang w:val="en-US" w:eastAsia="zh-CN" w:bidi="ar-SA"/>
                    </w:rPr>
                    <w:t>0</w:t>
                  </w:r>
                </w:p>
              </w:tc>
              <w:tc>
                <w:tcPr>
                  <w:tcW w:w="555" w:type="dxa"/>
                  <w:tcBorders>
                    <w:tl2br w:val="nil"/>
                    <w:tr2bl w:val="nil"/>
                  </w:tcBorders>
                  <w:shd w:val="clear" w:color="auto" w:fill="auto"/>
                  <w:vAlign w:val="center"/>
                </w:tcPr>
                <w:p w14:paraId="7C9EEC8E">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0.167</w:t>
                  </w:r>
                </w:p>
              </w:tc>
              <w:tc>
                <w:tcPr>
                  <w:tcW w:w="517" w:type="dxa"/>
                  <w:tcBorders>
                    <w:tl2br w:val="nil"/>
                    <w:tr2bl w:val="nil"/>
                  </w:tcBorders>
                  <w:shd w:val="clear" w:color="auto" w:fill="auto"/>
                  <w:vAlign w:val="center"/>
                </w:tcPr>
                <w:p w14:paraId="344C6FA6">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0.056</w:t>
                  </w:r>
                </w:p>
              </w:tc>
              <w:tc>
                <w:tcPr>
                  <w:tcW w:w="361" w:type="dxa"/>
                  <w:vMerge w:val="continue"/>
                  <w:tcBorders>
                    <w:tl2br w:val="nil"/>
                    <w:tr2bl w:val="nil"/>
                  </w:tcBorders>
                  <w:vAlign w:val="center"/>
                </w:tcPr>
                <w:p w14:paraId="220DEDC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7B7F0E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continue"/>
                  <w:tcBorders>
                    <w:right w:val="single" w:color="auto" w:sz="4" w:space="0"/>
                    <w:tl2br w:val="nil"/>
                    <w:tr2bl w:val="nil"/>
                  </w:tcBorders>
                  <w:vAlign w:val="center"/>
                </w:tcPr>
                <w:p w14:paraId="5DCABE0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8" w:type="dxa"/>
                  <w:vMerge w:val="continue"/>
                  <w:tcBorders>
                    <w:tl2br w:val="nil"/>
                    <w:tr2bl w:val="nil"/>
                  </w:tcBorders>
                  <w:vAlign w:val="center"/>
                </w:tcPr>
                <w:p w14:paraId="633F514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p>
              </w:tc>
              <w:tc>
                <w:tcPr>
                  <w:tcW w:w="537" w:type="dxa"/>
                  <w:vMerge w:val="continue"/>
                  <w:tcBorders>
                    <w:tl2br w:val="nil"/>
                    <w:tr2bl w:val="nil"/>
                  </w:tcBorders>
                  <w:vAlign w:val="center"/>
                </w:tcPr>
                <w:p w14:paraId="2D5E15A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continue"/>
                  <w:tcBorders>
                    <w:tl2br w:val="nil"/>
                    <w:tr2bl w:val="nil"/>
                  </w:tcBorders>
                  <w:vAlign w:val="center"/>
                </w:tcPr>
                <w:p w14:paraId="4B44AC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80" w:type="dxa"/>
                  <w:vMerge w:val="continue"/>
                  <w:tcBorders>
                    <w:tl2br w:val="nil"/>
                    <w:tr2bl w:val="nil"/>
                  </w:tcBorders>
                  <w:vAlign w:val="center"/>
                </w:tcPr>
                <w:p w14:paraId="4A074D5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983" w:type="dxa"/>
                  <w:tcBorders>
                    <w:tl2br w:val="nil"/>
                    <w:tr2bl w:val="nil"/>
                  </w:tcBorders>
                  <w:vAlign w:val="center"/>
                </w:tcPr>
                <w:p w14:paraId="0F14142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颗粒物</w:t>
                  </w:r>
                </w:p>
              </w:tc>
              <w:tc>
                <w:tcPr>
                  <w:tcW w:w="870" w:type="dxa"/>
                  <w:tcBorders>
                    <w:tl2br w:val="nil"/>
                    <w:tr2bl w:val="nil"/>
                  </w:tcBorders>
                  <w:vAlign w:val="center"/>
                </w:tcPr>
                <w:p w14:paraId="6EBED3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0.000286</w:t>
                  </w:r>
                </w:p>
              </w:tc>
              <w:tc>
                <w:tcPr>
                  <w:tcW w:w="643" w:type="dxa"/>
                  <w:tcBorders>
                    <w:tl2br w:val="nil"/>
                    <w:tr2bl w:val="nil"/>
                  </w:tcBorders>
                  <w:vAlign w:val="center"/>
                </w:tcPr>
                <w:p w14:paraId="215AC0B3">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0.114</w:t>
                  </w:r>
                </w:p>
              </w:tc>
              <w:tc>
                <w:tcPr>
                  <w:tcW w:w="580" w:type="dxa"/>
                  <w:tcBorders>
                    <w:tl2br w:val="nil"/>
                    <w:tr2bl w:val="nil"/>
                  </w:tcBorders>
                  <w:vAlign w:val="center"/>
                </w:tcPr>
                <w:p w14:paraId="3699E460">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0.038</w:t>
                  </w:r>
                </w:p>
              </w:tc>
              <w:tc>
                <w:tcPr>
                  <w:tcW w:w="567" w:type="dxa"/>
                  <w:tcBorders>
                    <w:tl2br w:val="nil"/>
                    <w:tr2bl w:val="nil"/>
                  </w:tcBorders>
                  <w:vAlign w:val="center"/>
                </w:tcPr>
                <w:p w14:paraId="52CAD4E0">
                  <w:pPr>
                    <w:jc w:val="center"/>
                    <w:rPr>
                      <w:rFonts w:hint="eastAsia"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0</w:t>
                  </w:r>
                </w:p>
              </w:tc>
              <w:tc>
                <w:tcPr>
                  <w:tcW w:w="567" w:type="dxa"/>
                  <w:tcBorders>
                    <w:tl2br w:val="nil"/>
                    <w:tr2bl w:val="nil"/>
                  </w:tcBorders>
                  <w:vAlign w:val="center"/>
                </w:tcPr>
                <w:p w14:paraId="779B02BA">
                  <w:pPr>
                    <w:jc w:val="center"/>
                    <w:rPr>
                      <w:rFonts w:hint="eastAsia"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0</w:t>
                  </w:r>
                </w:p>
              </w:tc>
              <w:tc>
                <w:tcPr>
                  <w:tcW w:w="555" w:type="dxa"/>
                  <w:tcBorders>
                    <w:tl2br w:val="nil"/>
                    <w:tr2bl w:val="nil"/>
                  </w:tcBorders>
                  <w:vAlign w:val="center"/>
                </w:tcPr>
                <w:p w14:paraId="1B1A14B1">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0.114</w:t>
                  </w:r>
                </w:p>
              </w:tc>
              <w:tc>
                <w:tcPr>
                  <w:tcW w:w="517" w:type="dxa"/>
                  <w:tcBorders>
                    <w:tl2br w:val="nil"/>
                    <w:tr2bl w:val="nil"/>
                  </w:tcBorders>
                  <w:vAlign w:val="center"/>
                </w:tcPr>
                <w:p w14:paraId="2D1D5D52">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0.038</w:t>
                  </w:r>
                </w:p>
              </w:tc>
              <w:tc>
                <w:tcPr>
                  <w:tcW w:w="361" w:type="dxa"/>
                  <w:vMerge w:val="continue"/>
                  <w:tcBorders>
                    <w:tl2br w:val="nil"/>
                    <w:tr2bl w:val="nil"/>
                  </w:tcBorders>
                  <w:vAlign w:val="center"/>
                </w:tcPr>
                <w:p w14:paraId="5AF8CBA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39702C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continue"/>
                  <w:tcBorders>
                    <w:right w:val="single" w:color="auto" w:sz="4" w:space="0"/>
                    <w:tl2br w:val="nil"/>
                    <w:tr2bl w:val="nil"/>
                  </w:tcBorders>
                  <w:vAlign w:val="center"/>
                </w:tcPr>
                <w:p w14:paraId="0C52685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8" w:type="dxa"/>
                  <w:vMerge w:val="continue"/>
                  <w:tcBorders>
                    <w:tl2br w:val="nil"/>
                    <w:tr2bl w:val="nil"/>
                  </w:tcBorders>
                  <w:vAlign w:val="center"/>
                </w:tcPr>
                <w:p w14:paraId="48E6B24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p>
              </w:tc>
              <w:tc>
                <w:tcPr>
                  <w:tcW w:w="537" w:type="dxa"/>
                  <w:vMerge w:val="continue"/>
                  <w:tcBorders>
                    <w:tl2br w:val="nil"/>
                    <w:tr2bl w:val="nil"/>
                  </w:tcBorders>
                  <w:vAlign w:val="center"/>
                </w:tcPr>
                <w:p w14:paraId="34C1A6A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continue"/>
                  <w:tcBorders>
                    <w:tl2br w:val="nil"/>
                    <w:tr2bl w:val="nil"/>
                  </w:tcBorders>
                  <w:vAlign w:val="center"/>
                </w:tcPr>
                <w:p w14:paraId="720B187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80" w:type="dxa"/>
                  <w:vMerge w:val="continue"/>
                  <w:tcBorders>
                    <w:tl2br w:val="nil"/>
                    <w:tr2bl w:val="nil"/>
                  </w:tcBorders>
                  <w:vAlign w:val="center"/>
                </w:tcPr>
                <w:p w14:paraId="2576AF8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983" w:type="dxa"/>
                  <w:tcBorders>
                    <w:tl2br w:val="nil"/>
                    <w:tr2bl w:val="nil"/>
                  </w:tcBorders>
                  <w:vAlign w:val="center"/>
                </w:tcPr>
                <w:p w14:paraId="0F62C8D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二氧化硫</w:t>
                  </w:r>
                </w:p>
              </w:tc>
              <w:tc>
                <w:tcPr>
                  <w:tcW w:w="870" w:type="dxa"/>
                  <w:tcBorders>
                    <w:tl2br w:val="nil"/>
                    <w:tr2bl w:val="nil"/>
                  </w:tcBorders>
                  <w:vAlign w:val="center"/>
                </w:tcPr>
                <w:p w14:paraId="1C6DFA0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0.000002S</w:t>
                  </w:r>
                </w:p>
              </w:tc>
              <w:tc>
                <w:tcPr>
                  <w:tcW w:w="643" w:type="dxa"/>
                  <w:tcBorders>
                    <w:tl2br w:val="nil"/>
                    <w:tr2bl w:val="nil"/>
                  </w:tcBorders>
                  <w:vAlign w:val="center"/>
                </w:tcPr>
                <w:p w14:paraId="3996439A">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0.080</w:t>
                  </w:r>
                </w:p>
              </w:tc>
              <w:tc>
                <w:tcPr>
                  <w:tcW w:w="580" w:type="dxa"/>
                  <w:tcBorders>
                    <w:tl2br w:val="nil"/>
                    <w:tr2bl w:val="nil"/>
                  </w:tcBorders>
                  <w:vAlign w:val="center"/>
                </w:tcPr>
                <w:p w14:paraId="662A7643">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0.027</w:t>
                  </w:r>
                </w:p>
              </w:tc>
              <w:tc>
                <w:tcPr>
                  <w:tcW w:w="567" w:type="dxa"/>
                  <w:tcBorders>
                    <w:tl2br w:val="nil"/>
                    <w:tr2bl w:val="nil"/>
                  </w:tcBorders>
                  <w:vAlign w:val="center"/>
                </w:tcPr>
                <w:p w14:paraId="306A9CEA">
                  <w:pPr>
                    <w:jc w:val="center"/>
                    <w:rPr>
                      <w:rFonts w:hint="eastAsia"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0</w:t>
                  </w:r>
                </w:p>
              </w:tc>
              <w:tc>
                <w:tcPr>
                  <w:tcW w:w="567" w:type="dxa"/>
                  <w:tcBorders>
                    <w:tl2br w:val="nil"/>
                    <w:tr2bl w:val="nil"/>
                  </w:tcBorders>
                  <w:vAlign w:val="center"/>
                </w:tcPr>
                <w:p w14:paraId="1FFEDE25">
                  <w:pPr>
                    <w:jc w:val="center"/>
                    <w:rPr>
                      <w:rFonts w:hint="eastAsia"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0</w:t>
                  </w:r>
                </w:p>
              </w:tc>
              <w:tc>
                <w:tcPr>
                  <w:tcW w:w="555" w:type="dxa"/>
                  <w:tcBorders>
                    <w:tl2br w:val="nil"/>
                    <w:tr2bl w:val="nil"/>
                  </w:tcBorders>
                  <w:vAlign w:val="center"/>
                </w:tcPr>
                <w:p w14:paraId="63345E81">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0.080</w:t>
                  </w:r>
                </w:p>
              </w:tc>
              <w:tc>
                <w:tcPr>
                  <w:tcW w:w="517" w:type="dxa"/>
                  <w:tcBorders>
                    <w:tl2br w:val="nil"/>
                    <w:tr2bl w:val="nil"/>
                  </w:tcBorders>
                  <w:vAlign w:val="center"/>
                </w:tcPr>
                <w:p w14:paraId="4794F964">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0.027</w:t>
                  </w:r>
                </w:p>
              </w:tc>
              <w:tc>
                <w:tcPr>
                  <w:tcW w:w="361" w:type="dxa"/>
                  <w:vMerge w:val="continue"/>
                  <w:tcBorders>
                    <w:tl2br w:val="nil"/>
                    <w:tr2bl w:val="nil"/>
                  </w:tcBorders>
                  <w:vAlign w:val="center"/>
                </w:tcPr>
                <w:p w14:paraId="22BC751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1A5C72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continue"/>
                  <w:tcBorders>
                    <w:right w:val="single" w:color="auto" w:sz="4" w:space="0"/>
                    <w:tl2br w:val="nil"/>
                    <w:tr2bl w:val="nil"/>
                  </w:tcBorders>
                  <w:vAlign w:val="center"/>
                </w:tcPr>
                <w:p w14:paraId="7342B2F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8" w:type="dxa"/>
                  <w:vMerge w:val="continue"/>
                  <w:tcBorders>
                    <w:tl2br w:val="nil"/>
                    <w:tr2bl w:val="nil"/>
                  </w:tcBorders>
                  <w:vAlign w:val="center"/>
                </w:tcPr>
                <w:p w14:paraId="0326D6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p>
              </w:tc>
              <w:tc>
                <w:tcPr>
                  <w:tcW w:w="537" w:type="dxa"/>
                  <w:vMerge w:val="continue"/>
                  <w:tcBorders>
                    <w:tl2br w:val="nil"/>
                    <w:tr2bl w:val="nil"/>
                  </w:tcBorders>
                  <w:vAlign w:val="center"/>
                </w:tcPr>
                <w:p w14:paraId="3561C58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continue"/>
                  <w:tcBorders>
                    <w:tl2br w:val="nil"/>
                    <w:tr2bl w:val="nil"/>
                  </w:tcBorders>
                  <w:vAlign w:val="center"/>
                </w:tcPr>
                <w:p w14:paraId="2DFE271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80" w:type="dxa"/>
                  <w:vMerge w:val="continue"/>
                  <w:tcBorders>
                    <w:tl2br w:val="nil"/>
                    <w:tr2bl w:val="nil"/>
                  </w:tcBorders>
                  <w:vAlign w:val="center"/>
                </w:tcPr>
                <w:p w14:paraId="716A7AC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983" w:type="dxa"/>
                  <w:tcBorders>
                    <w:tl2br w:val="nil"/>
                    <w:tr2bl w:val="nil"/>
                  </w:tcBorders>
                  <w:vAlign w:val="center"/>
                </w:tcPr>
                <w:p w14:paraId="489010F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氮氧化物</w:t>
                  </w:r>
                </w:p>
              </w:tc>
              <w:tc>
                <w:tcPr>
                  <w:tcW w:w="870" w:type="dxa"/>
                  <w:tcBorders>
                    <w:tl2br w:val="nil"/>
                    <w:tr2bl w:val="nil"/>
                  </w:tcBorders>
                  <w:vAlign w:val="center"/>
                </w:tcPr>
                <w:p w14:paraId="62ED253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0.00187</w:t>
                  </w:r>
                </w:p>
              </w:tc>
              <w:tc>
                <w:tcPr>
                  <w:tcW w:w="643" w:type="dxa"/>
                  <w:tcBorders>
                    <w:tl2br w:val="nil"/>
                    <w:tr2bl w:val="nil"/>
                  </w:tcBorders>
                  <w:vAlign w:val="center"/>
                </w:tcPr>
                <w:p w14:paraId="07578279">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0.748</w:t>
                  </w:r>
                </w:p>
              </w:tc>
              <w:tc>
                <w:tcPr>
                  <w:tcW w:w="580" w:type="dxa"/>
                  <w:tcBorders>
                    <w:tl2br w:val="nil"/>
                    <w:tr2bl w:val="nil"/>
                  </w:tcBorders>
                  <w:vAlign w:val="center"/>
                </w:tcPr>
                <w:p w14:paraId="5092DB96">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0.249</w:t>
                  </w:r>
                </w:p>
              </w:tc>
              <w:tc>
                <w:tcPr>
                  <w:tcW w:w="567" w:type="dxa"/>
                  <w:tcBorders>
                    <w:tl2br w:val="nil"/>
                    <w:tr2bl w:val="nil"/>
                  </w:tcBorders>
                  <w:vAlign w:val="center"/>
                </w:tcPr>
                <w:p w14:paraId="45BCB440">
                  <w:pPr>
                    <w:jc w:val="center"/>
                    <w:rPr>
                      <w:rFonts w:hint="eastAsia"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0</w:t>
                  </w:r>
                </w:p>
              </w:tc>
              <w:tc>
                <w:tcPr>
                  <w:tcW w:w="567" w:type="dxa"/>
                  <w:tcBorders>
                    <w:tl2br w:val="nil"/>
                    <w:tr2bl w:val="nil"/>
                  </w:tcBorders>
                  <w:vAlign w:val="center"/>
                </w:tcPr>
                <w:p w14:paraId="5A1F38BB">
                  <w:pPr>
                    <w:jc w:val="center"/>
                    <w:rPr>
                      <w:rFonts w:hint="eastAsia"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0</w:t>
                  </w:r>
                </w:p>
              </w:tc>
              <w:tc>
                <w:tcPr>
                  <w:tcW w:w="555" w:type="dxa"/>
                  <w:tcBorders>
                    <w:tl2br w:val="nil"/>
                    <w:tr2bl w:val="nil"/>
                  </w:tcBorders>
                  <w:vAlign w:val="center"/>
                </w:tcPr>
                <w:p w14:paraId="0C038647">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0.748</w:t>
                  </w:r>
                </w:p>
              </w:tc>
              <w:tc>
                <w:tcPr>
                  <w:tcW w:w="517" w:type="dxa"/>
                  <w:tcBorders>
                    <w:tl2br w:val="nil"/>
                    <w:tr2bl w:val="nil"/>
                  </w:tcBorders>
                  <w:vAlign w:val="center"/>
                </w:tcPr>
                <w:p w14:paraId="1C6786D4">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0.249</w:t>
                  </w:r>
                </w:p>
              </w:tc>
              <w:tc>
                <w:tcPr>
                  <w:tcW w:w="361" w:type="dxa"/>
                  <w:vMerge w:val="continue"/>
                  <w:tcBorders>
                    <w:tl2br w:val="nil"/>
                    <w:tr2bl w:val="nil"/>
                  </w:tcBorders>
                  <w:vAlign w:val="center"/>
                </w:tcPr>
                <w:p w14:paraId="7DFB8E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0A38DD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tcBorders>
                    <w:tl2br w:val="nil"/>
                    <w:tr2bl w:val="nil"/>
                  </w:tcBorders>
                  <w:vAlign w:val="center"/>
                </w:tcPr>
                <w:p w14:paraId="5D23792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粘土砂铸造</w:t>
                  </w:r>
                </w:p>
              </w:tc>
              <w:tc>
                <w:tcPr>
                  <w:tcW w:w="558" w:type="dxa"/>
                  <w:tcBorders>
                    <w:tl2br w:val="nil"/>
                    <w:tr2bl w:val="nil"/>
                  </w:tcBorders>
                  <w:vAlign w:val="center"/>
                </w:tcPr>
                <w:p w14:paraId="39A75A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造型</w:t>
                  </w:r>
                </w:p>
              </w:tc>
              <w:tc>
                <w:tcPr>
                  <w:tcW w:w="537" w:type="dxa"/>
                  <w:vMerge w:val="restart"/>
                  <w:tcBorders>
                    <w:tl2br w:val="nil"/>
                    <w:tr2bl w:val="nil"/>
                  </w:tcBorders>
                  <w:vAlign w:val="center"/>
                </w:tcPr>
                <w:p w14:paraId="2CCDBE1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精密铸铁件</w:t>
                  </w:r>
                </w:p>
              </w:tc>
              <w:tc>
                <w:tcPr>
                  <w:tcW w:w="554" w:type="dxa"/>
                  <w:tcBorders>
                    <w:tl2br w:val="nil"/>
                    <w:tr2bl w:val="nil"/>
                  </w:tcBorders>
                  <w:vAlign w:val="center"/>
                </w:tcPr>
                <w:p w14:paraId="65B9976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60</w:t>
                  </w:r>
                  <w:r>
                    <w:rPr>
                      <w:rFonts w:hint="default" w:ascii="Times New Roman" w:hAnsi="Times New Roman" w:eastAsia="宋体" w:cs="Times New Roman"/>
                      <w:color w:val="auto"/>
                      <w:spacing w:val="-1"/>
                      <w:sz w:val="18"/>
                      <w:szCs w:val="18"/>
                      <w:highlight w:val="none"/>
                    </w:rPr>
                    <w:t>00</w:t>
                  </w:r>
                </w:p>
              </w:tc>
              <w:tc>
                <w:tcPr>
                  <w:tcW w:w="580" w:type="dxa"/>
                  <w:tcBorders>
                    <w:tl2br w:val="nil"/>
                    <w:tr2bl w:val="nil"/>
                  </w:tcBorders>
                  <w:vAlign w:val="center"/>
                </w:tcPr>
                <w:p w14:paraId="38EC62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eastAsia" w:cs="Times New Roman"/>
                      <w:color w:val="auto"/>
                      <w:spacing w:val="-1"/>
                      <w:sz w:val="18"/>
                      <w:szCs w:val="18"/>
                      <w:highlight w:val="none"/>
                      <w:lang w:val="en-US" w:eastAsia="zh-CN"/>
                    </w:rPr>
                    <w:t>3</w:t>
                  </w:r>
                  <w:r>
                    <w:rPr>
                      <w:rFonts w:hint="eastAsia" w:ascii="Times New Roman" w:hAnsi="Times New Roman" w:eastAsia="宋体" w:cs="Times New Roman"/>
                      <w:color w:val="auto"/>
                      <w:spacing w:val="-1"/>
                      <w:sz w:val="18"/>
                      <w:szCs w:val="18"/>
                      <w:highlight w:val="none"/>
                      <w:lang w:val="en-US" w:eastAsia="zh-CN"/>
                    </w:rPr>
                    <w:t>0</w:t>
                  </w:r>
                  <w:r>
                    <w:rPr>
                      <w:rFonts w:hint="default" w:ascii="Times New Roman" w:hAnsi="Times New Roman" w:eastAsia="宋体" w:cs="Times New Roman"/>
                      <w:color w:val="auto"/>
                      <w:spacing w:val="-1"/>
                      <w:sz w:val="18"/>
                      <w:szCs w:val="18"/>
                      <w:highlight w:val="none"/>
                    </w:rPr>
                    <w:t>00</w:t>
                  </w:r>
                </w:p>
              </w:tc>
              <w:tc>
                <w:tcPr>
                  <w:tcW w:w="983" w:type="dxa"/>
                  <w:tcBorders>
                    <w:tl2br w:val="nil"/>
                    <w:tr2bl w:val="nil"/>
                  </w:tcBorders>
                  <w:vAlign w:val="center"/>
                </w:tcPr>
                <w:p w14:paraId="0E452A6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颗粒物</w:t>
                  </w:r>
                </w:p>
              </w:tc>
              <w:tc>
                <w:tcPr>
                  <w:tcW w:w="870" w:type="dxa"/>
                  <w:tcBorders>
                    <w:tl2br w:val="nil"/>
                    <w:tr2bl w:val="nil"/>
                  </w:tcBorders>
                  <w:vAlign w:val="center"/>
                </w:tcPr>
                <w:p w14:paraId="1359438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1.97</w:t>
                  </w:r>
                </w:p>
              </w:tc>
              <w:tc>
                <w:tcPr>
                  <w:tcW w:w="643" w:type="dxa"/>
                  <w:tcBorders>
                    <w:tl2br w:val="nil"/>
                    <w:tr2bl w:val="nil"/>
                  </w:tcBorders>
                  <w:vAlign w:val="center"/>
                </w:tcPr>
                <w:p w14:paraId="58590087">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9.456</w:t>
                  </w:r>
                </w:p>
              </w:tc>
              <w:tc>
                <w:tcPr>
                  <w:tcW w:w="580" w:type="dxa"/>
                  <w:tcBorders>
                    <w:tl2br w:val="nil"/>
                    <w:tr2bl w:val="nil"/>
                  </w:tcBorders>
                  <w:vAlign w:val="center"/>
                </w:tcPr>
                <w:p w14:paraId="2D7B192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3.152 </w:t>
                  </w:r>
                </w:p>
              </w:tc>
              <w:tc>
                <w:tcPr>
                  <w:tcW w:w="567" w:type="dxa"/>
                  <w:tcBorders>
                    <w:tl2br w:val="nil"/>
                    <w:tr2bl w:val="nil"/>
                  </w:tcBorders>
                  <w:vAlign w:val="center"/>
                </w:tcPr>
                <w:p w14:paraId="5E8DE42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2.364 </w:t>
                  </w:r>
                </w:p>
              </w:tc>
              <w:tc>
                <w:tcPr>
                  <w:tcW w:w="567" w:type="dxa"/>
                  <w:tcBorders>
                    <w:tl2br w:val="nil"/>
                    <w:tr2bl w:val="nil"/>
                  </w:tcBorders>
                  <w:vAlign w:val="center"/>
                </w:tcPr>
                <w:p w14:paraId="5341198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0.788 </w:t>
                  </w:r>
                </w:p>
              </w:tc>
              <w:tc>
                <w:tcPr>
                  <w:tcW w:w="555" w:type="dxa"/>
                  <w:tcBorders>
                    <w:tl2br w:val="nil"/>
                    <w:tr2bl w:val="nil"/>
                  </w:tcBorders>
                  <w:vAlign w:val="center"/>
                </w:tcPr>
                <w:p w14:paraId="275142A2">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11.820 </w:t>
                  </w:r>
                </w:p>
              </w:tc>
              <w:tc>
                <w:tcPr>
                  <w:tcW w:w="517" w:type="dxa"/>
                  <w:tcBorders>
                    <w:tl2br w:val="nil"/>
                    <w:tr2bl w:val="nil"/>
                  </w:tcBorders>
                  <w:vAlign w:val="center"/>
                </w:tcPr>
                <w:p w14:paraId="14EE28D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3.940 </w:t>
                  </w:r>
                </w:p>
              </w:tc>
              <w:tc>
                <w:tcPr>
                  <w:tcW w:w="361" w:type="dxa"/>
                  <w:vMerge w:val="continue"/>
                  <w:tcBorders>
                    <w:tl2br w:val="nil"/>
                    <w:tr2bl w:val="nil"/>
                  </w:tcBorders>
                  <w:vAlign w:val="center"/>
                </w:tcPr>
                <w:p w14:paraId="47D40B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67623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restart"/>
                  <w:tcBorders>
                    <w:tl2br w:val="nil"/>
                    <w:tr2bl w:val="nil"/>
                  </w:tcBorders>
                  <w:vAlign w:val="center"/>
                </w:tcPr>
                <w:p w14:paraId="41C2F59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树脂自硬砂铸造</w:t>
                  </w:r>
                </w:p>
              </w:tc>
              <w:tc>
                <w:tcPr>
                  <w:tcW w:w="558" w:type="dxa"/>
                  <w:vMerge w:val="restart"/>
                  <w:tcBorders>
                    <w:tl2br w:val="nil"/>
                    <w:tr2bl w:val="nil"/>
                  </w:tcBorders>
                  <w:vAlign w:val="center"/>
                </w:tcPr>
                <w:p w14:paraId="67FB3D7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造型</w:t>
                  </w:r>
                </w:p>
              </w:tc>
              <w:tc>
                <w:tcPr>
                  <w:tcW w:w="537" w:type="dxa"/>
                  <w:vMerge w:val="continue"/>
                  <w:tcBorders>
                    <w:tl2br w:val="nil"/>
                    <w:tr2bl w:val="nil"/>
                  </w:tcBorders>
                  <w:vAlign w:val="center"/>
                </w:tcPr>
                <w:p w14:paraId="5D8B4F3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restart"/>
                  <w:tcBorders>
                    <w:tl2br w:val="nil"/>
                    <w:tr2bl w:val="nil"/>
                  </w:tcBorders>
                  <w:vAlign w:val="center"/>
                </w:tcPr>
                <w:p w14:paraId="0348E6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6000</w:t>
                  </w:r>
                </w:p>
              </w:tc>
              <w:tc>
                <w:tcPr>
                  <w:tcW w:w="580" w:type="dxa"/>
                  <w:vMerge w:val="restart"/>
                  <w:tcBorders>
                    <w:tl2br w:val="nil"/>
                    <w:tr2bl w:val="nil"/>
                  </w:tcBorders>
                  <w:vAlign w:val="center"/>
                </w:tcPr>
                <w:p w14:paraId="4AB5B96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eastAsia" w:cs="Times New Roman"/>
                      <w:color w:val="auto"/>
                      <w:spacing w:val="-1"/>
                      <w:sz w:val="18"/>
                      <w:szCs w:val="18"/>
                      <w:highlight w:val="none"/>
                      <w:lang w:val="en-US" w:eastAsia="zh-CN"/>
                    </w:rPr>
                    <w:t>30</w:t>
                  </w:r>
                  <w:r>
                    <w:rPr>
                      <w:rFonts w:hint="default" w:ascii="Times New Roman" w:hAnsi="Times New Roman" w:eastAsia="宋体" w:cs="Times New Roman"/>
                      <w:color w:val="auto"/>
                      <w:spacing w:val="-1"/>
                      <w:sz w:val="18"/>
                      <w:szCs w:val="18"/>
                      <w:highlight w:val="none"/>
                    </w:rPr>
                    <w:t>00</w:t>
                  </w:r>
                </w:p>
              </w:tc>
              <w:tc>
                <w:tcPr>
                  <w:tcW w:w="983" w:type="dxa"/>
                  <w:tcBorders>
                    <w:tl2br w:val="nil"/>
                    <w:tr2bl w:val="nil"/>
                  </w:tcBorders>
                  <w:vAlign w:val="center"/>
                </w:tcPr>
                <w:p w14:paraId="35D84CA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颗粒物</w:t>
                  </w:r>
                </w:p>
              </w:tc>
              <w:tc>
                <w:tcPr>
                  <w:tcW w:w="870" w:type="dxa"/>
                  <w:tcBorders>
                    <w:tl2br w:val="nil"/>
                    <w:tr2bl w:val="nil"/>
                  </w:tcBorders>
                  <w:vAlign w:val="center"/>
                </w:tcPr>
                <w:p w14:paraId="4577CE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1.03</w:t>
                  </w:r>
                </w:p>
              </w:tc>
              <w:tc>
                <w:tcPr>
                  <w:tcW w:w="643" w:type="dxa"/>
                  <w:tcBorders>
                    <w:tl2br w:val="nil"/>
                    <w:tr2bl w:val="nil"/>
                  </w:tcBorders>
                  <w:vAlign w:val="center"/>
                </w:tcPr>
                <w:p w14:paraId="14FDE6FB">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4.944 </w:t>
                  </w:r>
                </w:p>
              </w:tc>
              <w:tc>
                <w:tcPr>
                  <w:tcW w:w="580" w:type="dxa"/>
                  <w:tcBorders>
                    <w:tl2br w:val="nil"/>
                    <w:tr2bl w:val="nil"/>
                  </w:tcBorders>
                  <w:vAlign w:val="center"/>
                </w:tcPr>
                <w:p w14:paraId="06A24D5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1.648 </w:t>
                  </w:r>
                </w:p>
              </w:tc>
              <w:tc>
                <w:tcPr>
                  <w:tcW w:w="567" w:type="dxa"/>
                  <w:tcBorders>
                    <w:tl2br w:val="nil"/>
                    <w:tr2bl w:val="nil"/>
                  </w:tcBorders>
                  <w:vAlign w:val="center"/>
                </w:tcPr>
                <w:p w14:paraId="5061F3B9">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1.236 </w:t>
                  </w:r>
                </w:p>
              </w:tc>
              <w:tc>
                <w:tcPr>
                  <w:tcW w:w="567" w:type="dxa"/>
                  <w:tcBorders>
                    <w:tl2br w:val="nil"/>
                    <w:tr2bl w:val="nil"/>
                  </w:tcBorders>
                  <w:vAlign w:val="center"/>
                </w:tcPr>
                <w:p w14:paraId="229C503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0.412 </w:t>
                  </w:r>
                </w:p>
              </w:tc>
              <w:tc>
                <w:tcPr>
                  <w:tcW w:w="555" w:type="dxa"/>
                  <w:tcBorders>
                    <w:tl2br w:val="nil"/>
                    <w:tr2bl w:val="nil"/>
                  </w:tcBorders>
                  <w:vAlign w:val="center"/>
                </w:tcPr>
                <w:p w14:paraId="2986603B">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6.180 </w:t>
                  </w:r>
                </w:p>
              </w:tc>
              <w:tc>
                <w:tcPr>
                  <w:tcW w:w="517" w:type="dxa"/>
                  <w:tcBorders>
                    <w:tl2br w:val="nil"/>
                    <w:tr2bl w:val="nil"/>
                  </w:tcBorders>
                  <w:vAlign w:val="center"/>
                </w:tcPr>
                <w:p w14:paraId="1800BF1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2.060 </w:t>
                  </w:r>
                </w:p>
              </w:tc>
              <w:tc>
                <w:tcPr>
                  <w:tcW w:w="361" w:type="dxa"/>
                  <w:vMerge w:val="continue"/>
                  <w:tcBorders>
                    <w:tl2br w:val="nil"/>
                    <w:tr2bl w:val="nil"/>
                  </w:tcBorders>
                  <w:vAlign w:val="center"/>
                </w:tcPr>
                <w:p w14:paraId="0C852D0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50A9AE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continue"/>
                  <w:tcBorders>
                    <w:tl2br w:val="nil"/>
                    <w:tr2bl w:val="nil"/>
                  </w:tcBorders>
                  <w:vAlign w:val="center"/>
                </w:tcPr>
                <w:p w14:paraId="33D0D02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8" w:type="dxa"/>
                  <w:vMerge w:val="continue"/>
                  <w:tcBorders>
                    <w:tl2br w:val="nil"/>
                    <w:tr2bl w:val="nil"/>
                  </w:tcBorders>
                  <w:vAlign w:val="center"/>
                </w:tcPr>
                <w:p w14:paraId="5A58C09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37" w:type="dxa"/>
                  <w:vMerge w:val="continue"/>
                  <w:tcBorders>
                    <w:tl2br w:val="nil"/>
                    <w:tr2bl w:val="nil"/>
                  </w:tcBorders>
                  <w:vAlign w:val="center"/>
                </w:tcPr>
                <w:p w14:paraId="7E53DEE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continue"/>
                  <w:tcBorders>
                    <w:tl2br w:val="nil"/>
                    <w:tr2bl w:val="nil"/>
                  </w:tcBorders>
                  <w:vAlign w:val="center"/>
                </w:tcPr>
                <w:p w14:paraId="7667299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80" w:type="dxa"/>
                  <w:vMerge w:val="continue"/>
                  <w:tcBorders>
                    <w:tl2br w:val="nil"/>
                    <w:tr2bl w:val="nil"/>
                  </w:tcBorders>
                  <w:vAlign w:val="center"/>
                </w:tcPr>
                <w:p w14:paraId="2990EEF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983" w:type="dxa"/>
                  <w:tcBorders>
                    <w:tl2br w:val="nil"/>
                    <w:tr2bl w:val="nil"/>
                  </w:tcBorders>
                  <w:vAlign w:val="center"/>
                </w:tcPr>
                <w:p w14:paraId="398E31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非甲烷总烃</w:t>
                  </w:r>
                </w:p>
              </w:tc>
              <w:tc>
                <w:tcPr>
                  <w:tcW w:w="870" w:type="dxa"/>
                  <w:tcBorders>
                    <w:tl2br w:val="nil"/>
                    <w:tr2bl w:val="nil"/>
                  </w:tcBorders>
                  <w:vAlign w:val="center"/>
                </w:tcPr>
                <w:p w14:paraId="2015C8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0.495</w:t>
                  </w:r>
                </w:p>
              </w:tc>
              <w:tc>
                <w:tcPr>
                  <w:tcW w:w="643" w:type="dxa"/>
                  <w:tcBorders>
                    <w:tl2br w:val="nil"/>
                    <w:tr2bl w:val="nil"/>
                  </w:tcBorders>
                  <w:vAlign w:val="center"/>
                </w:tcPr>
                <w:p w14:paraId="2B3CBF7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2.376 </w:t>
                  </w:r>
                </w:p>
              </w:tc>
              <w:tc>
                <w:tcPr>
                  <w:tcW w:w="580" w:type="dxa"/>
                  <w:tcBorders>
                    <w:tl2br w:val="nil"/>
                    <w:tr2bl w:val="nil"/>
                  </w:tcBorders>
                  <w:vAlign w:val="center"/>
                </w:tcPr>
                <w:p w14:paraId="1D89B93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0.792 </w:t>
                  </w:r>
                </w:p>
              </w:tc>
              <w:tc>
                <w:tcPr>
                  <w:tcW w:w="567" w:type="dxa"/>
                  <w:tcBorders>
                    <w:tl2br w:val="nil"/>
                    <w:tr2bl w:val="nil"/>
                  </w:tcBorders>
                  <w:vAlign w:val="center"/>
                </w:tcPr>
                <w:p w14:paraId="30727EC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0.594 </w:t>
                  </w:r>
                </w:p>
              </w:tc>
              <w:tc>
                <w:tcPr>
                  <w:tcW w:w="567" w:type="dxa"/>
                  <w:tcBorders>
                    <w:tl2br w:val="nil"/>
                    <w:tr2bl w:val="nil"/>
                  </w:tcBorders>
                  <w:vAlign w:val="center"/>
                </w:tcPr>
                <w:p w14:paraId="3488839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0.198 </w:t>
                  </w:r>
                </w:p>
              </w:tc>
              <w:tc>
                <w:tcPr>
                  <w:tcW w:w="555" w:type="dxa"/>
                  <w:tcBorders>
                    <w:tl2br w:val="nil"/>
                    <w:tr2bl w:val="nil"/>
                  </w:tcBorders>
                  <w:vAlign w:val="center"/>
                </w:tcPr>
                <w:p w14:paraId="114E8FA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2.970 </w:t>
                  </w:r>
                </w:p>
              </w:tc>
              <w:tc>
                <w:tcPr>
                  <w:tcW w:w="517" w:type="dxa"/>
                  <w:tcBorders>
                    <w:tl2br w:val="nil"/>
                    <w:tr2bl w:val="nil"/>
                  </w:tcBorders>
                  <w:vAlign w:val="center"/>
                </w:tcPr>
                <w:p w14:paraId="7DC289A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0.990 </w:t>
                  </w:r>
                </w:p>
              </w:tc>
              <w:tc>
                <w:tcPr>
                  <w:tcW w:w="361" w:type="dxa"/>
                  <w:vMerge w:val="continue"/>
                  <w:tcBorders>
                    <w:tl2br w:val="nil"/>
                    <w:tr2bl w:val="nil"/>
                  </w:tcBorders>
                  <w:vAlign w:val="center"/>
                </w:tcPr>
                <w:p w14:paraId="265E19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3E744F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0" w:type="dxa"/>
                  <w:vMerge w:val="continue"/>
                  <w:tcBorders>
                    <w:tl2br w:val="nil"/>
                    <w:tr2bl w:val="nil"/>
                  </w:tcBorders>
                  <w:vAlign w:val="center"/>
                </w:tcPr>
                <w:p w14:paraId="09577A6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8" w:type="dxa"/>
                  <w:vMerge w:val="continue"/>
                  <w:tcBorders>
                    <w:tl2br w:val="nil"/>
                    <w:tr2bl w:val="nil"/>
                  </w:tcBorders>
                  <w:vAlign w:val="center"/>
                </w:tcPr>
                <w:p w14:paraId="36C75C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37" w:type="dxa"/>
                  <w:vMerge w:val="continue"/>
                  <w:tcBorders>
                    <w:tl2br w:val="nil"/>
                    <w:tr2bl w:val="nil"/>
                  </w:tcBorders>
                  <w:vAlign w:val="center"/>
                </w:tcPr>
                <w:p w14:paraId="30B976E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continue"/>
                  <w:tcBorders>
                    <w:tl2br w:val="nil"/>
                    <w:tr2bl w:val="nil"/>
                  </w:tcBorders>
                  <w:vAlign w:val="center"/>
                </w:tcPr>
                <w:p w14:paraId="0647652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80" w:type="dxa"/>
                  <w:vMerge w:val="continue"/>
                  <w:tcBorders>
                    <w:tl2br w:val="nil"/>
                    <w:tr2bl w:val="nil"/>
                  </w:tcBorders>
                  <w:vAlign w:val="center"/>
                </w:tcPr>
                <w:p w14:paraId="7EEFB70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983" w:type="dxa"/>
                  <w:tcBorders>
                    <w:tl2br w:val="nil"/>
                    <w:tr2bl w:val="nil"/>
                  </w:tcBorders>
                  <w:vAlign w:val="center"/>
                </w:tcPr>
                <w:p w14:paraId="7FDA6D9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甲醛</w:t>
                  </w:r>
                </w:p>
              </w:tc>
              <w:tc>
                <w:tcPr>
                  <w:tcW w:w="870" w:type="dxa"/>
                  <w:tcBorders>
                    <w:tl2br w:val="nil"/>
                    <w:tr2bl w:val="nil"/>
                  </w:tcBorders>
                  <w:vAlign w:val="center"/>
                </w:tcPr>
                <w:p w14:paraId="5E2F34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r>
                    <w:rPr>
                      <w:rFonts w:hint="default" w:ascii="Times New Roman" w:hAnsi="Times New Roman" w:eastAsia="宋体" w:cs="Times New Roman"/>
                      <w:color w:val="auto"/>
                      <w:spacing w:val="-1"/>
                      <w:sz w:val="18"/>
                      <w:szCs w:val="18"/>
                      <w:highlight w:val="none"/>
                    </w:rPr>
                    <w:t>/注</w:t>
                  </w:r>
                  <w:r>
                    <w:rPr>
                      <w:rFonts w:hint="eastAsia" w:cs="Times New Roman"/>
                      <w:color w:val="auto"/>
                      <w:spacing w:val="-1"/>
                      <w:sz w:val="18"/>
                      <w:szCs w:val="18"/>
                      <w:highlight w:val="none"/>
                      <w:lang w:val="en-US" w:eastAsia="zh-CN"/>
                    </w:rPr>
                    <w:t>②</w:t>
                  </w:r>
                </w:p>
              </w:tc>
              <w:tc>
                <w:tcPr>
                  <w:tcW w:w="643" w:type="dxa"/>
                  <w:tcBorders>
                    <w:tl2br w:val="nil"/>
                    <w:tr2bl w:val="nil"/>
                  </w:tcBorders>
                  <w:vAlign w:val="center"/>
                </w:tcPr>
                <w:p w14:paraId="3AD5AE3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cs="Times New Roman"/>
                      <w:i w:val="0"/>
                      <w:iCs w:val="0"/>
                      <w:color w:val="auto"/>
                      <w:kern w:val="0"/>
                      <w:sz w:val="18"/>
                      <w:szCs w:val="18"/>
                      <w:highlight w:val="none"/>
                      <w:u w:val="none"/>
                      <w:lang w:val="en-US" w:eastAsia="zh-CN" w:bidi="ar"/>
                    </w:rPr>
                    <w:t>114</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80" w:type="dxa"/>
                  <w:tcBorders>
                    <w:tl2br w:val="nil"/>
                    <w:tr2bl w:val="nil"/>
                  </w:tcBorders>
                  <w:vAlign w:val="center"/>
                </w:tcPr>
                <w:p w14:paraId="0BB26712">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38</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67" w:type="dxa"/>
                  <w:tcBorders>
                    <w:tl2br w:val="nil"/>
                    <w:tr2bl w:val="nil"/>
                  </w:tcBorders>
                  <w:vAlign w:val="center"/>
                </w:tcPr>
                <w:p w14:paraId="7B38EAE9">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29</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67" w:type="dxa"/>
                  <w:tcBorders>
                    <w:tl2br w:val="nil"/>
                    <w:tr2bl w:val="nil"/>
                  </w:tcBorders>
                  <w:vAlign w:val="center"/>
                </w:tcPr>
                <w:p w14:paraId="18291F4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10</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55" w:type="dxa"/>
                  <w:tcBorders>
                    <w:tl2br w:val="nil"/>
                    <w:tr2bl w:val="nil"/>
                  </w:tcBorders>
                  <w:vAlign w:val="center"/>
                </w:tcPr>
                <w:p w14:paraId="0723D33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cs="Times New Roman"/>
                      <w:i w:val="0"/>
                      <w:iCs w:val="0"/>
                      <w:color w:val="auto"/>
                      <w:kern w:val="0"/>
                      <w:sz w:val="18"/>
                      <w:szCs w:val="18"/>
                      <w:highlight w:val="none"/>
                      <w:u w:val="none"/>
                      <w:lang w:val="en-US" w:eastAsia="zh-CN" w:bidi="ar"/>
                    </w:rPr>
                    <w:t>143</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17" w:type="dxa"/>
                  <w:tcBorders>
                    <w:tl2br w:val="nil"/>
                    <w:tr2bl w:val="nil"/>
                  </w:tcBorders>
                  <w:vAlign w:val="center"/>
                </w:tcPr>
                <w:p w14:paraId="51498C82">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48</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361" w:type="dxa"/>
                  <w:vMerge w:val="continue"/>
                  <w:tcBorders>
                    <w:tl2br w:val="nil"/>
                    <w:tr2bl w:val="nil"/>
                  </w:tcBorders>
                  <w:vAlign w:val="center"/>
                </w:tcPr>
                <w:p w14:paraId="138C6F4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45001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22" w:type="dxa"/>
                  <w:gridSpan w:val="14"/>
                  <w:tcBorders>
                    <w:tl2br w:val="nil"/>
                    <w:tr2bl w:val="nil"/>
                  </w:tcBorders>
                  <w:vAlign w:val="center"/>
                </w:tcPr>
                <w:p w14:paraId="067DF8C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eastAsia"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注：</w:t>
                  </w:r>
                  <w:r>
                    <w:rPr>
                      <w:rFonts w:hint="eastAsia" w:cs="Times New Roman"/>
                      <w:color w:val="auto"/>
                      <w:spacing w:val="-1"/>
                      <w:sz w:val="18"/>
                      <w:szCs w:val="18"/>
                      <w:highlight w:val="none"/>
                      <w:lang w:val="en-US" w:eastAsia="zh-CN"/>
                    </w:rPr>
                    <w:t>①</w:t>
                  </w:r>
                  <w:r>
                    <w:rPr>
                      <w:rFonts w:hint="eastAsia" w:ascii="Times New Roman" w:hAnsi="Times New Roman" w:eastAsia="宋体" w:cs="Times New Roman"/>
                      <w:color w:val="auto"/>
                      <w:spacing w:val="-1"/>
                      <w:sz w:val="18"/>
                      <w:szCs w:val="18"/>
                      <w:highlight w:val="none"/>
                      <w:lang w:val="en-US" w:eastAsia="zh-CN"/>
                    </w:rPr>
                    <w:t>S为天然气收到基硫分，本项目熔模铸造型壳焙烧以天然气为燃料，根据《天然气》（GB17820-2018），S取值100mg/m³。</w:t>
                  </w:r>
                </w:p>
                <w:p w14:paraId="1794B1B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eastAsia"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②</w:t>
                  </w:r>
                  <w:r>
                    <w:rPr>
                      <w:rFonts w:hint="eastAsia" w:ascii="Times New Roman" w:hAnsi="Times New Roman" w:eastAsia="宋体" w:cs="Times New Roman"/>
                      <w:color w:val="auto"/>
                      <w:spacing w:val="-1"/>
                      <w:sz w:val="18"/>
                      <w:szCs w:val="18"/>
                      <w:highlight w:val="none"/>
                      <w:lang w:val="en-US" w:eastAsia="zh-CN"/>
                    </w:rPr>
                    <w:t>酚醛树脂中甲醛成分含量</w:t>
                  </w:r>
                  <w:r>
                    <w:rPr>
                      <w:rFonts w:hint="eastAsia" w:cs="Times New Roman"/>
                      <w:color w:val="auto"/>
                      <w:spacing w:val="-1"/>
                      <w:sz w:val="18"/>
                      <w:szCs w:val="18"/>
                      <w:highlight w:val="none"/>
                      <w:lang w:val="en-US" w:eastAsia="zh-CN"/>
                    </w:rPr>
                    <w:t>以</w:t>
                  </w:r>
                  <w:r>
                    <w:rPr>
                      <w:rFonts w:hint="eastAsia" w:ascii="Times New Roman" w:hAnsi="Times New Roman" w:eastAsia="宋体" w:cs="Times New Roman"/>
                      <w:color w:val="auto"/>
                      <w:spacing w:val="-1"/>
                      <w:sz w:val="18"/>
                      <w:szCs w:val="18"/>
                      <w:highlight w:val="none"/>
                      <w:lang w:val="en-US" w:eastAsia="zh-CN"/>
                    </w:rPr>
                    <w:t>0.5%</w:t>
                  </w:r>
                  <w:r>
                    <w:rPr>
                      <w:rFonts w:hint="eastAsia" w:cs="Times New Roman"/>
                      <w:color w:val="auto"/>
                      <w:spacing w:val="-1"/>
                      <w:sz w:val="18"/>
                      <w:szCs w:val="18"/>
                      <w:highlight w:val="none"/>
                      <w:lang w:val="en-US" w:eastAsia="zh-CN"/>
                    </w:rPr>
                    <w:t>计，本次评估以其中50%甲醛在造型工序挥发，50%甲醛在浇注工序挥发</w:t>
                  </w:r>
                  <w:r>
                    <w:rPr>
                      <w:rFonts w:hint="eastAsia" w:ascii="Times New Roman" w:hAnsi="Times New Roman" w:eastAsia="宋体" w:cs="Times New Roman"/>
                      <w:color w:val="auto"/>
                      <w:spacing w:val="-1"/>
                      <w:sz w:val="18"/>
                      <w:szCs w:val="18"/>
                      <w:highlight w:val="none"/>
                      <w:lang w:val="en-US" w:eastAsia="zh-CN"/>
                    </w:rPr>
                    <w:t>。</w:t>
                  </w:r>
                </w:p>
                <w:p w14:paraId="76E0CEF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eastAsia="宋体"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③项目部分蜡模根据产品造型需求，需要进行组树，预计需要组树的铸件约500t，组树工序年工作1200小时。</w:t>
                  </w:r>
                </w:p>
              </w:tc>
            </w:tr>
          </w:tbl>
          <w:p w14:paraId="5C44A5C3">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④</w:t>
            </w:r>
            <w:r>
              <w:rPr>
                <w:rFonts w:hint="eastAsia" w:ascii="Times New Roman" w:eastAsia="宋体"/>
                <w:color w:val="auto"/>
                <w:sz w:val="24"/>
                <w:szCs w:val="24"/>
                <w:highlight w:val="none"/>
                <w:lang w:eastAsia="zh-CN"/>
              </w:rPr>
              <w:t>浇注废气</w:t>
            </w:r>
          </w:p>
          <w:p w14:paraId="6D8BEA02">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根据工艺分析，粘土砂浇注废气污染物主要为颗粒物；树脂自硬砂铸造的浇注废气污染物主要为挥发性有机物和颗粒物；熔模铸造的</w:t>
            </w:r>
            <w:r>
              <w:rPr>
                <w:rFonts w:hint="eastAsia"/>
                <w:color w:val="auto"/>
                <w:sz w:val="24"/>
                <w:szCs w:val="24"/>
                <w:highlight w:val="none"/>
                <w:lang w:val="en-US" w:eastAsia="zh-CN"/>
              </w:rPr>
              <w:t>浇注废气主要为颗粒物。本项目</w:t>
            </w:r>
            <w:r>
              <w:rPr>
                <w:rFonts w:hint="eastAsia" w:ascii="Times New Roman" w:eastAsia="宋体"/>
                <w:color w:val="auto"/>
                <w:sz w:val="24"/>
                <w:szCs w:val="24"/>
                <w:highlight w:val="none"/>
                <w:lang w:eastAsia="zh-CN"/>
              </w:rPr>
              <w:t>拟根据相应工序生产需要设置顶吸或侧吸集气罩收集造型浇注废气，收集效率按80%计。参考《排放源统计调查产排污核算方法和系数手册》相应的产污系数，项目各铸造工艺的浇注废气污染物产生情况详见下表。</w:t>
            </w:r>
          </w:p>
          <w:p w14:paraId="6518FF82">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p>
          <w:p w14:paraId="128E87AC">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p>
          <w:p w14:paraId="5E6EA661">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p>
          <w:p w14:paraId="7B0D69AD">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7</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浇注</w:t>
            </w:r>
            <w:r>
              <w:rPr>
                <w:rFonts w:hint="eastAsia" w:ascii="Times New Roman" w:eastAsia="宋体"/>
                <w:b/>
                <w:bCs/>
                <w:color w:val="auto"/>
                <w:sz w:val="24"/>
                <w:szCs w:val="24"/>
                <w:highlight w:val="none"/>
                <w:lang w:eastAsia="zh-CN"/>
              </w:rPr>
              <w:t>废气污染物产生情况一览表</w:t>
            </w:r>
          </w:p>
          <w:tbl>
            <w:tblPr>
              <w:tblStyle w:val="29"/>
              <w:tblW w:w="839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6"/>
              <w:gridCol w:w="432"/>
              <w:gridCol w:w="537"/>
              <w:gridCol w:w="554"/>
              <w:gridCol w:w="580"/>
              <w:gridCol w:w="983"/>
              <w:gridCol w:w="870"/>
              <w:gridCol w:w="643"/>
              <w:gridCol w:w="580"/>
              <w:gridCol w:w="567"/>
              <w:gridCol w:w="567"/>
              <w:gridCol w:w="555"/>
              <w:gridCol w:w="517"/>
              <w:gridCol w:w="432"/>
            </w:tblGrid>
            <w:tr w14:paraId="62F616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8" w:type="dxa"/>
                  <w:gridSpan w:val="2"/>
                  <w:vMerge w:val="restart"/>
                  <w:tcBorders>
                    <w:tl2br w:val="nil"/>
                    <w:tr2bl w:val="nil"/>
                  </w:tcBorders>
                  <w:vAlign w:val="center"/>
                </w:tcPr>
                <w:p w14:paraId="05B0BCC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铸造工艺</w:t>
                  </w:r>
                </w:p>
              </w:tc>
              <w:tc>
                <w:tcPr>
                  <w:tcW w:w="537" w:type="dxa"/>
                  <w:vMerge w:val="restart"/>
                  <w:tcBorders>
                    <w:tl2br w:val="nil"/>
                    <w:tr2bl w:val="nil"/>
                  </w:tcBorders>
                  <w:vAlign w:val="center"/>
                </w:tcPr>
                <w:p w14:paraId="612200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产品</w:t>
                  </w:r>
                </w:p>
              </w:tc>
              <w:tc>
                <w:tcPr>
                  <w:tcW w:w="554" w:type="dxa"/>
                  <w:vMerge w:val="restart"/>
                  <w:tcBorders>
                    <w:tl2br w:val="nil"/>
                    <w:tr2bl w:val="nil"/>
                  </w:tcBorders>
                  <w:vAlign w:val="center"/>
                </w:tcPr>
                <w:p w14:paraId="1B92F18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对应产能（t/a）</w:t>
                  </w:r>
                </w:p>
              </w:tc>
              <w:tc>
                <w:tcPr>
                  <w:tcW w:w="580" w:type="dxa"/>
                  <w:vMerge w:val="restart"/>
                  <w:tcBorders>
                    <w:tl2br w:val="nil"/>
                    <w:tr2bl w:val="nil"/>
                  </w:tcBorders>
                  <w:vAlign w:val="center"/>
                </w:tcPr>
                <w:p w14:paraId="5F3E9A6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工作时间（h/a）</w:t>
                  </w:r>
                </w:p>
              </w:tc>
              <w:tc>
                <w:tcPr>
                  <w:tcW w:w="983" w:type="dxa"/>
                  <w:vMerge w:val="restart"/>
                  <w:tcBorders>
                    <w:tl2br w:val="nil"/>
                    <w:tr2bl w:val="nil"/>
                  </w:tcBorders>
                  <w:vAlign w:val="center"/>
                </w:tcPr>
                <w:p w14:paraId="4AB0B9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污染物</w:t>
                  </w:r>
                </w:p>
              </w:tc>
              <w:tc>
                <w:tcPr>
                  <w:tcW w:w="870" w:type="dxa"/>
                  <w:vMerge w:val="restart"/>
                  <w:tcBorders>
                    <w:tl2br w:val="nil"/>
                    <w:tr2bl w:val="nil"/>
                  </w:tcBorders>
                  <w:vAlign w:val="center"/>
                </w:tcPr>
                <w:p w14:paraId="219756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产污系数(kg/t·产品)</w:t>
                  </w:r>
                </w:p>
              </w:tc>
              <w:tc>
                <w:tcPr>
                  <w:tcW w:w="3429" w:type="dxa"/>
                  <w:gridSpan w:val="6"/>
                  <w:tcBorders>
                    <w:tl2br w:val="nil"/>
                    <w:tr2bl w:val="nil"/>
                  </w:tcBorders>
                  <w:vAlign w:val="center"/>
                </w:tcPr>
                <w:p w14:paraId="77E982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产生量（kg/h）</w:t>
                  </w:r>
                </w:p>
              </w:tc>
              <w:tc>
                <w:tcPr>
                  <w:tcW w:w="432" w:type="dxa"/>
                  <w:vMerge w:val="restart"/>
                  <w:tcBorders>
                    <w:tl2br w:val="nil"/>
                    <w:tr2bl w:val="nil"/>
                  </w:tcBorders>
                  <w:vAlign w:val="center"/>
                </w:tcPr>
                <w:p w14:paraId="1401D5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所在位置</w:t>
                  </w:r>
                </w:p>
              </w:tc>
            </w:tr>
            <w:tr w14:paraId="5D221B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8" w:type="dxa"/>
                  <w:gridSpan w:val="2"/>
                  <w:vMerge w:val="continue"/>
                  <w:tcBorders>
                    <w:tl2br w:val="nil"/>
                    <w:tr2bl w:val="nil"/>
                  </w:tcBorders>
                  <w:vAlign w:val="center"/>
                </w:tcPr>
                <w:p w14:paraId="40D8397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37" w:type="dxa"/>
                  <w:vMerge w:val="continue"/>
                  <w:tcBorders>
                    <w:tl2br w:val="nil"/>
                    <w:tr2bl w:val="nil"/>
                  </w:tcBorders>
                  <w:vAlign w:val="center"/>
                </w:tcPr>
                <w:p w14:paraId="6C8ED35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54" w:type="dxa"/>
                  <w:vMerge w:val="continue"/>
                  <w:tcBorders>
                    <w:tl2br w:val="nil"/>
                    <w:tr2bl w:val="nil"/>
                  </w:tcBorders>
                  <w:vAlign w:val="center"/>
                </w:tcPr>
                <w:p w14:paraId="43CBF56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80" w:type="dxa"/>
                  <w:vMerge w:val="continue"/>
                  <w:tcBorders>
                    <w:tl2br w:val="nil"/>
                    <w:tr2bl w:val="nil"/>
                  </w:tcBorders>
                  <w:vAlign w:val="center"/>
                </w:tcPr>
                <w:p w14:paraId="2D72B9D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983" w:type="dxa"/>
                  <w:vMerge w:val="continue"/>
                  <w:tcBorders>
                    <w:tl2br w:val="nil"/>
                    <w:tr2bl w:val="nil"/>
                  </w:tcBorders>
                  <w:vAlign w:val="center"/>
                </w:tcPr>
                <w:p w14:paraId="244B7CE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870" w:type="dxa"/>
                  <w:vMerge w:val="continue"/>
                  <w:tcBorders>
                    <w:tl2br w:val="nil"/>
                    <w:tr2bl w:val="nil"/>
                  </w:tcBorders>
                  <w:vAlign w:val="center"/>
                </w:tcPr>
                <w:p w14:paraId="7F71477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1223" w:type="dxa"/>
                  <w:gridSpan w:val="2"/>
                  <w:tcBorders>
                    <w:tl2br w:val="nil"/>
                    <w:tr2bl w:val="nil"/>
                  </w:tcBorders>
                  <w:vAlign w:val="center"/>
                </w:tcPr>
                <w:p w14:paraId="07607BB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有组织</w:t>
                  </w:r>
                </w:p>
              </w:tc>
              <w:tc>
                <w:tcPr>
                  <w:tcW w:w="1134" w:type="dxa"/>
                  <w:gridSpan w:val="2"/>
                  <w:tcBorders>
                    <w:tl2br w:val="nil"/>
                    <w:tr2bl w:val="nil"/>
                  </w:tcBorders>
                  <w:vAlign w:val="center"/>
                </w:tcPr>
                <w:p w14:paraId="4990089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无组织</w:t>
                  </w:r>
                </w:p>
              </w:tc>
              <w:tc>
                <w:tcPr>
                  <w:tcW w:w="1072" w:type="dxa"/>
                  <w:gridSpan w:val="2"/>
                  <w:tcBorders>
                    <w:tl2br w:val="nil"/>
                    <w:tr2bl w:val="nil"/>
                  </w:tcBorders>
                  <w:vAlign w:val="center"/>
                </w:tcPr>
                <w:p w14:paraId="21D2C2A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eastAsia="宋体" w:cs="Times New Roman"/>
                      <w:b/>
                      <w:bCs/>
                      <w:color w:val="auto"/>
                      <w:spacing w:val="-1"/>
                      <w:sz w:val="18"/>
                      <w:szCs w:val="18"/>
                      <w:highlight w:val="none"/>
                    </w:rPr>
                    <w:t>合计</w:t>
                  </w:r>
                </w:p>
              </w:tc>
              <w:tc>
                <w:tcPr>
                  <w:tcW w:w="432" w:type="dxa"/>
                  <w:vMerge w:val="continue"/>
                  <w:tcBorders>
                    <w:tl2br w:val="nil"/>
                    <w:tr2bl w:val="nil"/>
                  </w:tcBorders>
                  <w:vAlign w:val="center"/>
                </w:tcPr>
                <w:p w14:paraId="1DD184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r>
            <w:tr w14:paraId="215B16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8" w:type="dxa"/>
                  <w:gridSpan w:val="2"/>
                  <w:vMerge w:val="continue"/>
                  <w:tcBorders>
                    <w:tl2br w:val="nil"/>
                    <w:tr2bl w:val="nil"/>
                  </w:tcBorders>
                  <w:vAlign w:val="center"/>
                </w:tcPr>
                <w:p w14:paraId="0482F61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37" w:type="dxa"/>
                  <w:vMerge w:val="continue"/>
                  <w:tcBorders>
                    <w:tl2br w:val="nil"/>
                    <w:tr2bl w:val="nil"/>
                  </w:tcBorders>
                  <w:vAlign w:val="center"/>
                </w:tcPr>
                <w:p w14:paraId="63444D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54" w:type="dxa"/>
                  <w:vMerge w:val="continue"/>
                  <w:tcBorders>
                    <w:tl2br w:val="nil"/>
                    <w:tr2bl w:val="nil"/>
                  </w:tcBorders>
                  <w:vAlign w:val="center"/>
                </w:tcPr>
                <w:p w14:paraId="71DEECF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580" w:type="dxa"/>
                  <w:vMerge w:val="continue"/>
                  <w:tcBorders>
                    <w:tl2br w:val="nil"/>
                    <w:tr2bl w:val="nil"/>
                  </w:tcBorders>
                  <w:vAlign w:val="center"/>
                </w:tcPr>
                <w:p w14:paraId="51DE158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983" w:type="dxa"/>
                  <w:vMerge w:val="continue"/>
                  <w:tcBorders>
                    <w:tl2br w:val="nil"/>
                    <w:tr2bl w:val="nil"/>
                  </w:tcBorders>
                  <w:vAlign w:val="center"/>
                </w:tcPr>
                <w:p w14:paraId="3763AB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870" w:type="dxa"/>
                  <w:vMerge w:val="continue"/>
                  <w:tcBorders>
                    <w:tl2br w:val="nil"/>
                    <w:tr2bl w:val="nil"/>
                  </w:tcBorders>
                  <w:vAlign w:val="center"/>
                </w:tcPr>
                <w:p w14:paraId="3BE3AA1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c>
                <w:tcPr>
                  <w:tcW w:w="643" w:type="dxa"/>
                  <w:tcBorders>
                    <w:tl2br w:val="nil"/>
                    <w:tr2bl w:val="nil"/>
                  </w:tcBorders>
                  <w:vAlign w:val="center"/>
                </w:tcPr>
                <w:p w14:paraId="05BAC81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t/a</w:t>
                  </w:r>
                </w:p>
              </w:tc>
              <w:tc>
                <w:tcPr>
                  <w:tcW w:w="580" w:type="dxa"/>
                  <w:tcBorders>
                    <w:tl2br w:val="nil"/>
                    <w:tr2bl w:val="nil"/>
                  </w:tcBorders>
                  <w:vAlign w:val="center"/>
                </w:tcPr>
                <w:p w14:paraId="288EA4F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kg/h</w:t>
                  </w:r>
                </w:p>
              </w:tc>
              <w:tc>
                <w:tcPr>
                  <w:tcW w:w="567" w:type="dxa"/>
                  <w:tcBorders>
                    <w:tl2br w:val="nil"/>
                    <w:tr2bl w:val="nil"/>
                  </w:tcBorders>
                  <w:vAlign w:val="center"/>
                </w:tcPr>
                <w:p w14:paraId="078FD12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t/a</w:t>
                  </w:r>
                </w:p>
              </w:tc>
              <w:tc>
                <w:tcPr>
                  <w:tcW w:w="567" w:type="dxa"/>
                  <w:tcBorders>
                    <w:tl2br w:val="nil"/>
                    <w:tr2bl w:val="nil"/>
                  </w:tcBorders>
                  <w:vAlign w:val="center"/>
                </w:tcPr>
                <w:p w14:paraId="721AB7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kg/h</w:t>
                  </w:r>
                </w:p>
              </w:tc>
              <w:tc>
                <w:tcPr>
                  <w:tcW w:w="555" w:type="dxa"/>
                  <w:tcBorders>
                    <w:tl2br w:val="nil"/>
                    <w:tr2bl w:val="nil"/>
                  </w:tcBorders>
                  <w:vAlign w:val="center"/>
                </w:tcPr>
                <w:p w14:paraId="193F74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t/a</w:t>
                  </w:r>
                </w:p>
              </w:tc>
              <w:tc>
                <w:tcPr>
                  <w:tcW w:w="517" w:type="dxa"/>
                  <w:tcBorders>
                    <w:tl2br w:val="nil"/>
                    <w:tr2bl w:val="nil"/>
                  </w:tcBorders>
                  <w:vAlign w:val="center"/>
                </w:tcPr>
                <w:p w14:paraId="2BE1A2C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highlight w:val="none"/>
                    </w:rPr>
                  </w:pPr>
                  <w:r>
                    <w:rPr>
                      <w:rFonts w:hint="default" w:ascii="Times New Roman" w:hAnsi="Times New Roman" w:cs="Times New Roman"/>
                      <w:b/>
                      <w:bCs/>
                      <w:color w:val="auto"/>
                      <w:sz w:val="18"/>
                      <w:szCs w:val="18"/>
                      <w:highlight w:val="none"/>
                      <w:lang w:val="en-US" w:eastAsia="zh-CN"/>
                    </w:rPr>
                    <w:t>kg/h</w:t>
                  </w:r>
                </w:p>
              </w:tc>
              <w:tc>
                <w:tcPr>
                  <w:tcW w:w="432" w:type="dxa"/>
                  <w:vMerge w:val="continue"/>
                  <w:tcBorders>
                    <w:tl2br w:val="nil"/>
                    <w:tr2bl w:val="nil"/>
                  </w:tcBorders>
                  <w:vAlign w:val="center"/>
                </w:tcPr>
                <w:p w14:paraId="272C358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p>
              </w:tc>
            </w:tr>
            <w:tr w14:paraId="378C55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6" w:type="dxa"/>
                  <w:tcBorders>
                    <w:right w:val="single" w:color="auto" w:sz="4" w:space="0"/>
                    <w:tl2br w:val="nil"/>
                    <w:tr2bl w:val="nil"/>
                  </w:tcBorders>
                  <w:vAlign w:val="center"/>
                </w:tcPr>
                <w:p w14:paraId="2989B0C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熔模铸造</w:t>
                  </w:r>
                </w:p>
              </w:tc>
              <w:tc>
                <w:tcPr>
                  <w:tcW w:w="432" w:type="dxa"/>
                  <w:tcBorders>
                    <w:left w:val="single" w:color="auto" w:sz="4" w:space="0"/>
                    <w:tl2br w:val="nil"/>
                    <w:tr2bl w:val="nil"/>
                  </w:tcBorders>
                  <w:vAlign w:val="center"/>
                </w:tcPr>
                <w:p w14:paraId="01CE55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浇注</w:t>
                  </w:r>
                </w:p>
              </w:tc>
              <w:tc>
                <w:tcPr>
                  <w:tcW w:w="537" w:type="dxa"/>
                  <w:tcBorders>
                    <w:tl2br w:val="nil"/>
                    <w:tr2bl w:val="nil"/>
                  </w:tcBorders>
                  <w:vAlign w:val="center"/>
                </w:tcPr>
                <w:p w14:paraId="0FAEE69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精密铸件</w:t>
                  </w:r>
                </w:p>
              </w:tc>
              <w:tc>
                <w:tcPr>
                  <w:tcW w:w="554" w:type="dxa"/>
                  <w:tcBorders>
                    <w:tl2br w:val="nil"/>
                    <w:tr2bl w:val="nil"/>
                  </w:tcBorders>
                  <w:vAlign w:val="center"/>
                </w:tcPr>
                <w:p w14:paraId="79F776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3</w:t>
                  </w:r>
                  <w:r>
                    <w:rPr>
                      <w:rFonts w:hint="default" w:ascii="Times New Roman" w:hAnsi="Times New Roman" w:eastAsia="宋体" w:cs="Times New Roman"/>
                      <w:color w:val="auto"/>
                      <w:spacing w:val="-1"/>
                      <w:sz w:val="18"/>
                      <w:szCs w:val="18"/>
                      <w:highlight w:val="none"/>
                    </w:rPr>
                    <w:t>000</w:t>
                  </w:r>
                </w:p>
              </w:tc>
              <w:tc>
                <w:tcPr>
                  <w:tcW w:w="580" w:type="dxa"/>
                  <w:tcBorders>
                    <w:tl2br w:val="nil"/>
                    <w:tr2bl w:val="nil"/>
                  </w:tcBorders>
                  <w:vAlign w:val="center"/>
                </w:tcPr>
                <w:p w14:paraId="70EE36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3000</w:t>
                  </w:r>
                </w:p>
              </w:tc>
              <w:tc>
                <w:tcPr>
                  <w:tcW w:w="983" w:type="dxa"/>
                  <w:tcBorders>
                    <w:tl2br w:val="nil"/>
                    <w:tr2bl w:val="nil"/>
                  </w:tcBorders>
                  <w:vAlign w:val="center"/>
                </w:tcPr>
                <w:p w14:paraId="03ED12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b/>
                      <w:bCs/>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颗粒物</w:t>
                  </w:r>
                </w:p>
              </w:tc>
              <w:tc>
                <w:tcPr>
                  <w:tcW w:w="870" w:type="dxa"/>
                  <w:tcBorders>
                    <w:tl2br w:val="nil"/>
                    <w:tr2bl w:val="nil"/>
                  </w:tcBorders>
                  <w:vAlign w:val="center"/>
                </w:tcPr>
                <w:p w14:paraId="48DD6C1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b/>
                      <w:bCs/>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0.560</w:t>
                  </w:r>
                </w:p>
              </w:tc>
              <w:tc>
                <w:tcPr>
                  <w:tcW w:w="643" w:type="dxa"/>
                  <w:tcBorders>
                    <w:tl2br w:val="nil"/>
                    <w:tr2bl w:val="nil"/>
                  </w:tcBorders>
                  <w:vAlign w:val="center"/>
                </w:tcPr>
                <w:p w14:paraId="15E81861">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1.344</w:t>
                  </w:r>
                </w:p>
              </w:tc>
              <w:tc>
                <w:tcPr>
                  <w:tcW w:w="580" w:type="dxa"/>
                  <w:tcBorders>
                    <w:tl2br w:val="nil"/>
                    <w:tr2bl w:val="nil"/>
                  </w:tcBorders>
                  <w:vAlign w:val="center"/>
                </w:tcPr>
                <w:p w14:paraId="39E3F83E">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0.448</w:t>
                  </w:r>
                </w:p>
              </w:tc>
              <w:tc>
                <w:tcPr>
                  <w:tcW w:w="567" w:type="dxa"/>
                  <w:tcBorders>
                    <w:tl2br w:val="nil"/>
                    <w:tr2bl w:val="nil"/>
                  </w:tcBorders>
                  <w:vAlign w:val="center"/>
                </w:tcPr>
                <w:p w14:paraId="3E63E674">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0.336</w:t>
                  </w:r>
                </w:p>
              </w:tc>
              <w:tc>
                <w:tcPr>
                  <w:tcW w:w="567" w:type="dxa"/>
                  <w:tcBorders>
                    <w:tl2br w:val="nil"/>
                    <w:tr2bl w:val="nil"/>
                  </w:tcBorders>
                  <w:vAlign w:val="center"/>
                </w:tcPr>
                <w:p w14:paraId="161FE97D">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0.112</w:t>
                  </w:r>
                </w:p>
              </w:tc>
              <w:tc>
                <w:tcPr>
                  <w:tcW w:w="555" w:type="dxa"/>
                  <w:tcBorders>
                    <w:tl2br w:val="nil"/>
                    <w:tr2bl w:val="nil"/>
                  </w:tcBorders>
                  <w:vAlign w:val="center"/>
                </w:tcPr>
                <w:p w14:paraId="54BA68C6">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1.680</w:t>
                  </w:r>
                </w:p>
              </w:tc>
              <w:tc>
                <w:tcPr>
                  <w:tcW w:w="517" w:type="dxa"/>
                  <w:tcBorders>
                    <w:tl2br w:val="nil"/>
                    <w:tr2bl w:val="nil"/>
                  </w:tcBorders>
                  <w:vAlign w:val="center"/>
                </w:tcPr>
                <w:p w14:paraId="13216C84">
                  <w:pPr>
                    <w:keepNext w:val="0"/>
                    <w:keepLines w:val="0"/>
                    <w:widowControl/>
                    <w:suppressLineNumbers w:val="0"/>
                    <w:ind w:left="0" w:leftChars="0" w:right="0" w:rightChars="0"/>
                    <w:jc w:val="center"/>
                    <w:textAlignment w:val="center"/>
                    <w:rPr>
                      <w:rFonts w:hint="default" w:ascii="Times New Roman" w:hAnsi="Times New Roman" w:cs="Times New Roman"/>
                      <w:b/>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0.560</w:t>
                  </w:r>
                </w:p>
              </w:tc>
              <w:tc>
                <w:tcPr>
                  <w:tcW w:w="432" w:type="dxa"/>
                  <w:vMerge w:val="restart"/>
                  <w:tcBorders>
                    <w:tl2br w:val="nil"/>
                    <w:tr2bl w:val="nil"/>
                  </w:tcBorders>
                  <w:vAlign w:val="center"/>
                </w:tcPr>
                <w:p w14:paraId="21C5EFE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1#厂房</w:t>
                  </w:r>
                </w:p>
              </w:tc>
            </w:tr>
            <w:tr w14:paraId="44E4EE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6" w:type="dxa"/>
                  <w:tcBorders>
                    <w:tl2br w:val="nil"/>
                    <w:tr2bl w:val="nil"/>
                  </w:tcBorders>
                  <w:vAlign w:val="center"/>
                </w:tcPr>
                <w:p w14:paraId="00C7961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粘土砂铸造</w:t>
                  </w:r>
                </w:p>
              </w:tc>
              <w:tc>
                <w:tcPr>
                  <w:tcW w:w="432" w:type="dxa"/>
                  <w:tcBorders>
                    <w:tl2br w:val="nil"/>
                    <w:tr2bl w:val="nil"/>
                  </w:tcBorders>
                  <w:vAlign w:val="center"/>
                </w:tcPr>
                <w:p w14:paraId="6C0F2DE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浇注</w:t>
                  </w:r>
                </w:p>
              </w:tc>
              <w:tc>
                <w:tcPr>
                  <w:tcW w:w="537" w:type="dxa"/>
                  <w:vMerge w:val="restart"/>
                  <w:tcBorders>
                    <w:tl2br w:val="nil"/>
                    <w:tr2bl w:val="nil"/>
                  </w:tcBorders>
                  <w:vAlign w:val="center"/>
                </w:tcPr>
                <w:p w14:paraId="1BA80A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精密铸铁件</w:t>
                  </w:r>
                </w:p>
              </w:tc>
              <w:tc>
                <w:tcPr>
                  <w:tcW w:w="554" w:type="dxa"/>
                  <w:tcBorders>
                    <w:tl2br w:val="nil"/>
                    <w:tr2bl w:val="nil"/>
                  </w:tcBorders>
                  <w:vAlign w:val="center"/>
                </w:tcPr>
                <w:p w14:paraId="53E7F0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60</w:t>
                  </w:r>
                  <w:r>
                    <w:rPr>
                      <w:rFonts w:hint="default" w:ascii="Times New Roman" w:hAnsi="Times New Roman" w:eastAsia="宋体" w:cs="Times New Roman"/>
                      <w:color w:val="auto"/>
                      <w:spacing w:val="-1"/>
                      <w:sz w:val="18"/>
                      <w:szCs w:val="18"/>
                      <w:highlight w:val="none"/>
                    </w:rPr>
                    <w:t>00</w:t>
                  </w:r>
                </w:p>
              </w:tc>
              <w:tc>
                <w:tcPr>
                  <w:tcW w:w="580" w:type="dxa"/>
                  <w:tcBorders>
                    <w:tl2br w:val="nil"/>
                    <w:tr2bl w:val="nil"/>
                  </w:tcBorders>
                  <w:vAlign w:val="center"/>
                </w:tcPr>
                <w:p w14:paraId="31CCC6A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eastAsia" w:cs="Times New Roman"/>
                      <w:color w:val="auto"/>
                      <w:spacing w:val="-1"/>
                      <w:sz w:val="18"/>
                      <w:szCs w:val="18"/>
                      <w:highlight w:val="none"/>
                      <w:lang w:val="en-US" w:eastAsia="zh-CN"/>
                    </w:rPr>
                    <w:t>3</w:t>
                  </w:r>
                  <w:r>
                    <w:rPr>
                      <w:rFonts w:hint="eastAsia" w:ascii="Times New Roman" w:hAnsi="Times New Roman" w:eastAsia="宋体" w:cs="Times New Roman"/>
                      <w:color w:val="auto"/>
                      <w:spacing w:val="-1"/>
                      <w:sz w:val="18"/>
                      <w:szCs w:val="18"/>
                      <w:highlight w:val="none"/>
                      <w:lang w:val="en-US" w:eastAsia="zh-CN"/>
                    </w:rPr>
                    <w:t>0</w:t>
                  </w:r>
                  <w:r>
                    <w:rPr>
                      <w:rFonts w:hint="default" w:ascii="Times New Roman" w:hAnsi="Times New Roman" w:eastAsia="宋体" w:cs="Times New Roman"/>
                      <w:color w:val="auto"/>
                      <w:spacing w:val="-1"/>
                      <w:sz w:val="18"/>
                      <w:szCs w:val="18"/>
                      <w:highlight w:val="none"/>
                    </w:rPr>
                    <w:t>00</w:t>
                  </w:r>
                </w:p>
              </w:tc>
              <w:tc>
                <w:tcPr>
                  <w:tcW w:w="983" w:type="dxa"/>
                  <w:tcBorders>
                    <w:tl2br w:val="nil"/>
                    <w:tr2bl w:val="nil"/>
                  </w:tcBorders>
                  <w:vAlign w:val="center"/>
                </w:tcPr>
                <w:p w14:paraId="59675B4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颗粒物</w:t>
                  </w:r>
                </w:p>
              </w:tc>
              <w:tc>
                <w:tcPr>
                  <w:tcW w:w="870" w:type="dxa"/>
                  <w:tcBorders>
                    <w:tl2br w:val="nil"/>
                    <w:tr2bl w:val="nil"/>
                  </w:tcBorders>
                  <w:vAlign w:val="center"/>
                </w:tcPr>
                <w:p w14:paraId="39E819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1.97</w:t>
                  </w:r>
                </w:p>
              </w:tc>
              <w:tc>
                <w:tcPr>
                  <w:tcW w:w="643" w:type="dxa"/>
                  <w:tcBorders>
                    <w:tl2br w:val="nil"/>
                    <w:tr2bl w:val="nil"/>
                  </w:tcBorders>
                  <w:vAlign w:val="center"/>
                </w:tcPr>
                <w:p w14:paraId="7DAC8327">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9.456</w:t>
                  </w:r>
                </w:p>
              </w:tc>
              <w:tc>
                <w:tcPr>
                  <w:tcW w:w="580" w:type="dxa"/>
                  <w:tcBorders>
                    <w:tl2br w:val="nil"/>
                    <w:tr2bl w:val="nil"/>
                  </w:tcBorders>
                  <w:vAlign w:val="center"/>
                </w:tcPr>
                <w:p w14:paraId="50FA40A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3.152</w:t>
                  </w:r>
                </w:p>
              </w:tc>
              <w:tc>
                <w:tcPr>
                  <w:tcW w:w="567" w:type="dxa"/>
                  <w:tcBorders>
                    <w:tl2br w:val="nil"/>
                    <w:tr2bl w:val="nil"/>
                  </w:tcBorders>
                  <w:vAlign w:val="center"/>
                </w:tcPr>
                <w:p w14:paraId="444F941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2.364</w:t>
                  </w:r>
                </w:p>
              </w:tc>
              <w:tc>
                <w:tcPr>
                  <w:tcW w:w="567" w:type="dxa"/>
                  <w:tcBorders>
                    <w:tl2br w:val="nil"/>
                    <w:tr2bl w:val="nil"/>
                  </w:tcBorders>
                  <w:vAlign w:val="center"/>
                </w:tcPr>
                <w:p w14:paraId="5D0D6D22">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0.788</w:t>
                  </w:r>
                </w:p>
              </w:tc>
              <w:tc>
                <w:tcPr>
                  <w:tcW w:w="555" w:type="dxa"/>
                  <w:tcBorders>
                    <w:tl2br w:val="nil"/>
                    <w:tr2bl w:val="nil"/>
                  </w:tcBorders>
                  <w:vAlign w:val="center"/>
                </w:tcPr>
                <w:p w14:paraId="4129098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 xml:space="preserve">11.820 </w:t>
                  </w:r>
                </w:p>
              </w:tc>
              <w:tc>
                <w:tcPr>
                  <w:tcW w:w="517" w:type="dxa"/>
                  <w:tcBorders>
                    <w:tl2br w:val="nil"/>
                    <w:tr2bl w:val="nil"/>
                  </w:tcBorders>
                  <w:vAlign w:val="center"/>
                </w:tcPr>
                <w:p w14:paraId="3579CAD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3.940</w:t>
                  </w:r>
                </w:p>
              </w:tc>
              <w:tc>
                <w:tcPr>
                  <w:tcW w:w="432" w:type="dxa"/>
                  <w:vMerge w:val="continue"/>
                  <w:tcBorders>
                    <w:tl2br w:val="nil"/>
                    <w:tr2bl w:val="nil"/>
                  </w:tcBorders>
                  <w:vAlign w:val="center"/>
                </w:tcPr>
                <w:p w14:paraId="49B8640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6396CF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6" w:type="dxa"/>
                  <w:vMerge w:val="restart"/>
                  <w:tcBorders>
                    <w:tl2br w:val="nil"/>
                    <w:tr2bl w:val="nil"/>
                  </w:tcBorders>
                  <w:vAlign w:val="center"/>
                </w:tcPr>
                <w:p w14:paraId="6657FF2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树脂自硬砂铸造</w:t>
                  </w:r>
                </w:p>
              </w:tc>
              <w:tc>
                <w:tcPr>
                  <w:tcW w:w="432" w:type="dxa"/>
                  <w:vMerge w:val="restart"/>
                  <w:tcBorders>
                    <w:tl2br w:val="nil"/>
                    <w:tr2bl w:val="nil"/>
                  </w:tcBorders>
                  <w:vAlign w:val="center"/>
                </w:tcPr>
                <w:p w14:paraId="755390D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浇注</w:t>
                  </w:r>
                </w:p>
              </w:tc>
              <w:tc>
                <w:tcPr>
                  <w:tcW w:w="537" w:type="dxa"/>
                  <w:vMerge w:val="continue"/>
                  <w:tcBorders>
                    <w:tl2br w:val="nil"/>
                    <w:tr2bl w:val="nil"/>
                  </w:tcBorders>
                  <w:vAlign w:val="center"/>
                </w:tcPr>
                <w:p w14:paraId="77E7D80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restart"/>
                  <w:tcBorders>
                    <w:tl2br w:val="nil"/>
                    <w:tr2bl w:val="nil"/>
                  </w:tcBorders>
                  <w:vAlign w:val="center"/>
                </w:tcPr>
                <w:p w14:paraId="385A53D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6000</w:t>
                  </w:r>
                </w:p>
              </w:tc>
              <w:tc>
                <w:tcPr>
                  <w:tcW w:w="580" w:type="dxa"/>
                  <w:vMerge w:val="restart"/>
                  <w:tcBorders>
                    <w:tl2br w:val="nil"/>
                    <w:tr2bl w:val="nil"/>
                  </w:tcBorders>
                  <w:vAlign w:val="center"/>
                </w:tcPr>
                <w:p w14:paraId="2C7314D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eastAsia" w:cs="Times New Roman"/>
                      <w:color w:val="auto"/>
                      <w:spacing w:val="-1"/>
                      <w:sz w:val="18"/>
                      <w:szCs w:val="18"/>
                      <w:highlight w:val="none"/>
                      <w:lang w:val="en-US" w:eastAsia="zh-CN"/>
                    </w:rPr>
                    <w:t>30</w:t>
                  </w:r>
                  <w:r>
                    <w:rPr>
                      <w:rFonts w:hint="default" w:ascii="Times New Roman" w:hAnsi="Times New Roman" w:eastAsia="宋体" w:cs="Times New Roman"/>
                      <w:color w:val="auto"/>
                      <w:spacing w:val="-1"/>
                      <w:sz w:val="18"/>
                      <w:szCs w:val="18"/>
                      <w:highlight w:val="none"/>
                    </w:rPr>
                    <w:t>00</w:t>
                  </w:r>
                </w:p>
              </w:tc>
              <w:tc>
                <w:tcPr>
                  <w:tcW w:w="983" w:type="dxa"/>
                  <w:tcBorders>
                    <w:tl2br w:val="nil"/>
                    <w:tr2bl w:val="nil"/>
                  </w:tcBorders>
                  <w:vAlign w:val="center"/>
                </w:tcPr>
                <w:p w14:paraId="21342FC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颗粒物</w:t>
                  </w:r>
                </w:p>
              </w:tc>
              <w:tc>
                <w:tcPr>
                  <w:tcW w:w="870" w:type="dxa"/>
                  <w:tcBorders>
                    <w:tl2br w:val="nil"/>
                    <w:tr2bl w:val="nil"/>
                  </w:tcBorders>
                  <w:vAlign w:val="center"/>
                </w:tcPr>
                <w:p w14:paraId="5F2A94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1.03</w:t>
                  </w:r>
                </w:p>
              </w:tc>
              <w:tc>
                <w:tcPr>
                  <w:tcW w:w="643" w:type="dxa"/>
                  <w:tcBorders>
                    <w:tl2br w:val="nil"/>
                    <w:tr2bl w:val="nil"/>
                  </w:tcBorders>
                  <w:vAlign w:val="center"/>
                </w:tcPr>
                <w:p w14:paraId="2C53694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4.944</w:t>
                  </w:r>
                </w:p>
              </w:tc>
              <w:tc>
                <w:tcPr>
                  <w:tcW w:w="580" w:type="dxa"/>
                  <w:tcBorders>
                    <w:tl2br w:val="nil"/>
                    <w:tr2bl w:val="nil"/>
                  </w:tcBorders>
                  <w:vAlign w:val="center"/>
                </w:tcPr>
                <w:p w14:paraId="093BC39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1.648</w:t>
                  </w:r>
                </w:p>
              </w:tc>
              <w:tc>
                <w:tcPr>
                  <w:tcW w:w="567" w:type="dxa"/>
                  <w:tcBorders>
                    <w:tl2br w:val="nil"/>
                    <w:tr2bl w:val="nil"/>
                  </w:tcBorders>
                  <w:vAlign w:val="center"/>
                </w:tcPr>
                <w:p w14:paraId="525851C3">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1.236</w:t>
                  </w:r>
                </w:p>
              </w:tc>
              <w:tc>
                <w:tcPr>
                  <w:tcW w:w="567" w:type="dxa"/>
                  <w:tcBorders>
                    <w:tl2br w:val="nil"/>
                    <w:tr2bl w:val="nil"/>
                  </w:tcBorders>
                  <w:vAlign w:val="center"/>
                </w:tcPr>
                <w:p w14:paraId="45B9E9C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0.412</w:t>
                  </w:r>
                </w:p>
              </w:tc>
              <w:tc>
                <w:tcPr>
                  <w:tcW w:w="555" w:type="dxa"/>
                  <w:tcBorders>
                    <w:tl2br w:val="nil"/>
                    <w:tr2bl w:val="nil"/>
                  </w:tcBorders>
                  <w:vAlign w:val="center"/>
                </w:tcPr>
                <w:p w14:paraId="2531602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6.180 </w:t>
                  </w:r>
                </w:p>
              </w:tc>
              <w:tc>
                <w:tcPr>
                  <w:tcW w:w="517" w:type="dxa"/>
                  <w:tcBorders>
                    <w:tl2br w:val="nil"/>
                    <w:tr2bl w:val="nil"/>
                  </w:tcBorders>
                  <w:vAlign w:val="center"/>
                </w:tcPr>
                <w:p w14:paraId="345083A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2.060</w:t>
                  </w:r>
                </w:p>
              </w:tc>
              <w:tc>
                <w:tcPr>
                  <w:tcW w:w="432" w:type="dxa"/>
                  <w:vMerge w:val="continue"/>
                  <w:tcBorders>
                    <w:tl2br w:val="nil"/>
                    <w:tr2bl w:val="nil"/>
                  </w:tcBorders>
                  <w:vAlign w:val="center"/>
                </w:tcPr>
                <w:p w14:paraId="4BD6434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6F47AD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6" w:type="dxa"/>
                  <w:vMerge w:val="continue"/>
                  <w:tcBorders>
                    <w:tl2br w:val="nil"/>
                    <w:tr2bl w:val="nil"/>
                  </w:tcBorders>
                  <w:vAlign w:val="center"/>
                </w:tcPr>
                <w:p w14:paraId="11A1803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432" w:type="dxa"/>
                  <w:vMerge w:val="continue"/>
                  <w:tcBorders>
                    <w:tl2br w:val="nil"/>
                    <w:tr2bl w:val="nil"/>
                  </w:tcBorders>
                  <w:vAlign w:val="center"/>
                </w:tcPr>
                <w:p w14:paraId="0F4D70B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37" w:type="dxa"/>
                  <w:vMerge w:val="continue"/>
                  <w:tcBorders>
                    <w:tl2br w:val="nil"/>
                    <w:tr2bl w:val="nil"/>
                  </w:tcBorders>
                  <w:vAlign w:val="center"/>
                </w:tcPr>
                <w:p w14:paraId="1E49A60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continue"/>
                  <w:tcBorders>
                    <w:tl2br w:val="nil"/>
                    <w:tr2bl w:val="nil"/>
                  </w:tcBorders>
                  <w:vAlign w:val="center"/>
                </w:tcPr>
                <w:p w14:paraId="55AE0E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80" w:type="dxa"/>
                  <w:vMerge w:val="continue"/>
                  <w:tcBorders>
                    <w:tl2br w:val="nil"/>
                    <w:tr2bl w:val="nil"/>
                  </w:tcBorders>
                  <w:vAlign w:val="center"/>
                </w:tcPr>
                <w:p w14:paraId="46BE9F2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983" w:type="dxa"/>
                  <w:tcBorders>
                    <w:tl2br w:val="nil"/>
                    <w:tr2bl w:val="nil"/>
                  </w:tcBorders>
                  <w:vAlign w:val="center"/>
                </w:tcPr>
                <w:p w14:paraId="264D6BA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highlight w:val="none"/>
                    </w:rPr>
                  </w:pPr>
                  <w:r>
                    <w:rPr>
                      <w:rFonts w:hint="eastAsia" w:ascii="Times New Roman" w:hAnsi="Times New Roman" w:eastAsia="宋体" w:cs="Times New Roman"/>
                      <w:color w:val="auto"/>
                      <w:spacing w:val="-1"/>
                      <w:sz w:val="18"/>
                      <w:szCs w:val="18"/>
                      <w:highlight w:val="none"/>
                      <w:lang w:val="en-US" w:eastAsia="zh-CN"/>
                    </w:rPr>
                    <w:t>非甲烷总烃</w:t>
                  </w:r>
                </w:p>
              </w:tc>
              <w:tc>
                <w:tcPr>
                  <w:tcW w:w="870" w:type="dxa"/>
                  <w:tcBorders>
                    <w:tl2br w:val="nil"/>
                    <w:tr2bl w:val="nil"/>
                  </w:tcBorders>
                  <w:vAlign w:val="center"/>
                </w:tcPr>
                <w:p w14:paraId="09AB97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0.495</w:t>
                  </w:r>
                </w:p>
              </w:tc>
              <w:tc>
                <w:tcPr>
                  <w:tcW w:w="643" w:type="dxa"/>
                  <w:tcBorders>
                    <w:tl2br w:val="nil"/>
                    <w:tr2bl w:val="nil"/>
                  </w:tcBorders>
                  <w:vAlign w:val="center"/>
                </w:tcPr>
                <w:p w14:paraId="0AA0BA29">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2.376</w:t>
                  </w:r>
                </w:p>
              </w:tc>
              <w:tc>
                <w:tcPr>
                  <w:tcW w:w="580" w:type="dxa"/>
                  <w:tcBorders>
                    <w:tl2br w:val="nil"/>
                    <w:tr2bl w:val="nil"/>
                  </w:tcBorders>
                  <w:vAlign w:val="center"/>
                </w:tcPr>
                <w:p w14:paraId="3C0FCCC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0.792</w:t>
                  </w:r>
                </w:p>
              </w:tc>
              <w:tc>
                <w:tcPr>
                  <w:tcW w:w="567" w:type="dxa"/>
                  <w:tcBorders>
                    <w:tl2br w:val="nil"/>
                    <w:tr2bl w:val="nil"/>
                  </w:tcBorders>
                  <w:vAlign w:val="center"/>
                </w:tcPr>
                <w:p w14:paraId="606278D9">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0.594</w:t>
                  </w:r>
                </w:p>
              </w:tc>
              <w:tc>
                <w:tcPr>
                  <w:tcW w:w="567" w:type="dxa"/>
                  <w:tcBorders>
                    <w:tl2br w:val="nil"/>
                    <w:tr2bl w:val="nil"/>
                  </w:tcBorders>
                  <w:vAlign w:val="center"/>
                </w:tcPr>
                <w:p w14:paraId="067D10DE">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0.198</w:t>
                  </w:r>
                </w:p>
              </w:tc>
              <w:tc>
                <w:tcPr>
                  <w:tcW w:w="555" w:type="dxa"/>
                  <w:tcBorders>
                    <w:tl2br w:val="nil"/>
                    <w:tr2bl w:val="nil"/>
                  </w:tcBorders>
                  <w:vAlign w:val="center"/>
                </w:tcPr>
                <w:p w14:paraId="6B9DC2A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2.970 </w:t>
                  </w:r>
                </w:p>
              </w:tc>
              <w:tc>
                <w:tcPr>
                  <w:tcW w:w="517" w:type="dxa"/>
                  <w:tcBorders>
                    <w:tl2br w:val="nil"/>
                    <w:tr2bl w:val="nil"/>
                  </w:tcBorders>
                  <w:vAlign w:val="center"/>
                </w:tcPr>
                <w:p w14:paraId="3093EF1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0.990</w:t>
                  </w:r>
                </w:p>
              </w:tc>
              <w:tc>
                <w:tcPr>
                  <w:tcW w:w="432" w:type="dxa"/>
                  <w:vMerge w:val="continue"/>
                  <w:tcBorders>
                    <w:tl2br w:val="nil"/>
                    <w:tr2bl w:val="nil"/>
                  </w:tcBorders>
                  <w:vAlign w:val="center"/>
                </w:tcPr>
                <w:p w14:paraId="29B9BBF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62A7F2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6" w:type="dxa"/>
                  <w:vMerge w:val="continue"/>
                  <w:tcBorders>
                    <w:tl2br w:val="nil"/>
                    <w:tr2bl w:val="nil"/>
                  </w:tcBorders>
                  <w:vAlign w:val="center"/>
                </w:tcPr>
                <w:p w14:paraId="4C4233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432" w:type="dxa"/>
                  <w:vMerge w:val="continue"/>
                  <w:tcBorders>
                    <w:tl2br w:val="nil"/>
                    <w:tr2bl w:val="nil"/>
                  </w:tcBorders>
                  <w:vAlign w:val="center"/>
                </w:tcPr>
                <w:p w14:paraId="34E0785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37" w:type="dxa"/>
                  <w:vMerge w:val="continue"/>
                  <w:tcBorders>
                    <w:tl2br w:val="nil"/>
                    <w:tr2bl w:val="nil"/>
                  </w:tcBorders>
                  <w:vAlign w:val="center"/>
                </w:tcPr>
                <w:p w14:paraId="7822480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54" w:type="dxa"/>
                  <w:vMerge w:val="continue"/>
                  <w:tcBorders>
                    <w:tl2br w:val="nil"/>
                    <w:tr2bl w:val="nil"/>
                  </w:tcBorders>
                  <w:vAlign w:val="center"/>
                </w:tcPr>
                <w:p w14:paraId="4FA5625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580" w:type="dxa"/>
                  <w:vMerge w:val="continue"/>
                  <w:tcBorders>
                    <w:tl2br w:val="nil"/>
                    <w:tr2bl w:val="nil"/>
                  </w:tcBorders>
                  <w:vAlign w:val="center"/>
                </w:tcPr>
                <w:p w14:paraId="3E68847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c>
                <w:tcPr>
                  <w:tcW w:w="983" w:type="dxa"/>
                  <w:tcBorders>
                    <w:tl2br w:val="nil"/>
                    <w:tr2bl w:val="nil"/>
                  </w:tcBorders>
                  <w:vAlign w:val="center"/>
                </w:tcPr>
                <w:p w14:paraId="608D960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甲醛</w:t>
                  </w:r>
                </w:p>
              </w:tc>
              <w:tc>
                <w:tcPr>
                  <w:tcW w:w="870" w:type="dxa"/>
                  <w:tcBorders>
                    <w:tl2br w:val="nil"/>
                    <w:tr2bl w:val="nil"/>
                  </w:tcBorders>
                  <w:vAlign w:val="center"/>
                </w:tcPr>
                <w:p w14:paraId="43E1BEA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color w:val="auto"/>
                      <w:spacing w:val="-1"/>
                      <w:sz w:val="18"/>
                      <w:szCs w:val="18"/>
                      <w:highlight w:val="none"/>
                    </w:rPr>
                    <w:t>/注</w:t>
                  </w:r>
                </w:p>
              </w:tc>
              <w:tc>
                <w:tcPr>
                  <w:tcW w:w="643" w:type="dxa"/>
                  <w:tcBorders>
                    <w:tl2br w:val="nil"/>
                    <w:tr2bl w:val="nil"/>
                  </w:tcBorders>
                  <w:vAlign w:val="center"/>
                </w:tcPr>
                <w:p w14:paraId="49C8485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cs="Times New Roman"/>
                      <w:i w:val="0"/>
                      <w:iCs w:val="0"/>
                      <w:color w:val="auto"/>
                      <w:kern w:val="0"/>
                      <w:sz w:val="18"/>
                      <w:szCs w:val="18"/>
                      <w:highlight w:val="none"/>
                      <w:u w:val="none"/>
                      <w:lang w:val="en-US" w:eastAsia="zh-CN" w:bidi="ar"/>
                    </w:rPr>
                    <w:t>114</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80" w:type="dxa"/>
                  <w:tcBorders>
                    <w:tl2br w:val="nil"/>
                    <w:tr2bl w:val="nil"/>
                  </w:tcBorders>
                  <w:vAlign w:val="center"/>
                </w:tcPr>
                <w:p w14:paraId="6B353960">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38</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67" w:type="dxa"/>
                  <w:tcBorders>
                    <w:tl2br w:val="nil"/>
                    <w:tr2bl w:val="nil"/>
                  </w:tcBorders>
                  <w:vAlign w:val="center"/>
                </w:tcPr>
                <w:p w14:paraId="02AAB3C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28</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67" w:type="dxa"/>
                  <w:tcBorders>
                    <w:tl2br w:val="nil"/>
                    <w:tr2bl w:val="nil"/>
                  </w:tcBorders>
                  <w:vAlign w:val="center"/>
                </w:tcPr>
                <w:p w14:paraId="2C1F99D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09</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55" w:type="dxa"/>
                  <w:tcBorders>
                    <w:tl2br w:val="nil"/>
                    <w:tr2bl w:val="nil"/>
                  </w:tcBorders>
                  <w:vAlign w:val="center"/>
                </w:tcPr>
                <w:p w14:paraId="0D6A2A3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cs="Times New Roman"/>
                      <w:i w:val="0"/>
                      <w:iCs w:val="0"/>
                      <w:color w:val="auto"/>
                      <w:kern w:val="0"/>
                      <w:sz w:val="18"/>
                      <w:szCs w:val="18"/>
                      <w:highlight w:val="none"/>
                      <w:u w:val="none"/>
                      <w:lang w:val="en-US" w:eastAsia="zh-CN" w:bidi="ar"/>
                    </w:rPr>
                    <w:t>142</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517" w:type="dxa"/>
                  <w:tcBorders>
                    <w:tl2br w:val="nil"/>
                    <w:tr2bl w:val="nil"/>
                  </w:tcBorders>
                  <w:vAlign w:val="center"/>
                </w:tcPr>
                <w:p w14:paraId="3A26BD8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cs="Times New Roman"/>
                      <w:i w:val="0"/>
                      <w:iCs w:val="0"/>
                      <w:color w:val="auto"/>
                      <w:kern w:val="0"/>
                      <w:sz w:val="18"/>
                      <w:szCs w:val="18"/>
                      <w:highlight w:val="none"/>
                      <w:u w:val="none"/>
                      <w:lang w:val="en-US" w:eastAsia="zh-CN" w:bidi="ar"/>
                    </w:rPr>
                    <w:t>47</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432" w:type="dxa"/>
                  <w:vMerge w:val="continue"/>
                  <w:tcBorders>
                    <w:tl2br w:val="nil"/>
                    <w:tr2bl w:val="nil"/>
                  </w:tcBorders>
                  <w:vAlign w:val="center"/>
                </w:tcPr>
                <w:p w14:paraId="7C7CE3A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highlight w:val="none"/>
                    </w:rPr>
                  </w:pPr>
                </w:p>
              </w:tc>
            </w:tr>
            <w:tr w14:paraId="3F98E2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3" w:type="dxa"/>
                  <w:gridSpan w:val="14"/>
                  <w:tcBorders>
                    <w:tl2br w:val="nil"/>
                    <w:tr2bl w:val="nil"/>
                  </w:tcBorders>
                  <w:vAlign w:val="center"/>
                </w:tcPr>
                <w:p w14:paraId="293DDB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eastAsia="宋体" w:cs="Times New Roman"/>
                      <w:color w:val="auto"/>
                      <w:spacing w:val="-1"/>
                      <w:sz w:val="18"/>
                      <w:szCs w:val="18"/>
                      <w:highlight w:val="none"/>
                      <w:lang w:val="en-US" w:eastAsia="zh-CN"/>
                    </w:rPr>
                  </w:pPr>
                  <w:r>
                    <w:rPr>
                      <w:rFonts w:hint="eastAsia" w:ascii="Times New Roman" w:hAnsi="Times New Roman" w:eastAsia="宋体" w:cs="Times New Roman"/>
                      <w:color w:val="auto"/>
                      <w:spacing w:val="-1"/>
                      <w:sz w:val="18"/>
                      <w:szCs w:val="18"/>
                      <w:highlight w:val="none"/>
                      <w:lang w:val="en-US" w:eastAsia="zh-CN"/>
                    </w:rPr>
                    <w:t>注：酚醛树脂中甲醛成分含量</w:t>
                  </w:r>
                  <w:r>
                    <w:rPr>
                      <w:rFonts w:hint="eastAsia" w:cs="Times New Roman"/>
                      <w:color w:val="auto"/>
                      <w:spacing w:val="-1"/>
                      <w:sz w:val="18"/>
                      <w:szCs w:val="18"/>
                      <w:highlight w:val="none"/>
                      <w:lang w:val="en-US" w:eastAsia="zh-CN"/>
                    </w:rPr>
                    <w:t>以</w:t>
                  </w:r>
                  <w:r>
                    <w:rPr>
                      <w:rFonts w:hint="eastAsia" w:ascii="Times New Roman" w:hAnsi="Times New Roman" w:eastAsia="宋体" w:cs="Times New Roman"/>
                      <w:color w:val="auto"/>
                      <w:spacing w:val="-1"/>
                      <w:sz w:val="18"/>
                      <w:szCs w:val="18"/>
                      <w:highlight w:val="none"/>
                      <w:lang w:val="en-US" w:eastAsia="zh-CN"/>
                    </w:rPr>
                    <w:t>0.5%</w:t>
                  </w:r>
                  <w:r>
                    <w:rPr>
                      <w:rFonts w:hint="eastAsia" w:cs="Times New Roman"/>
                      <w:color w:val="auto"/>
                      <w:spacing w:val="-1"/>
                      <w:sz w:val="18"/>
                      <w:szCs w:val="18"/>
                      <w:highlight w:val="none"/>
                      <w:lang w:val="en-US" w:eastAsia="zh-CN"/>
                    </w:rPr>
                    <w:t>计，本次评估以其中50%甲醛在造型工序挥发，50%甲醛在浇注工序挥发</w:t>
                  </w:r>
                  <w:r>
                    <w:rPr>
                      <w:rFonts w:hint="eastAsia" w:ascii="Times New Roman" w:hAnsi="Times New Roman" w:eastAsia="宋体" w:cs="Times New Roman"/>
                      <w:color w:val="auto"/>
                      <w:spacing w:val="-1"/>
                      <w:sz w:val="18"/>
                      <w:szCs w:val="18"/>
                      <w:highlight w:val="none"/>
                      <w:lang w:val="en-US" w:eastAsia="zh-CN"/>
                    </w:rPr>
                    <w:t>。</w:t>
                  </w:r>
                </w:p>
              </w:tc>
            </w:tr>
          </w:tbl>
          <w:p w14:paraId="2523C5AE">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⑤</w:t>
            </w:r>
            <w:r>
              <w:rPr>
                <w:rFonts w:hint="eastAsia" w:ascii="Times New Roman" w:eastAsia="宋体"/>
                <w:color w:val="auto"/>
                <w:sz w:val="24"/>
                <w:szCs w:val="24"/>
                <w:highlight w:val="none"/>
                <w:lang w:eastAsia="zh-CN"/>
              </w:rPr>
              <w:t>落砂废气</w:t>
            </w:r>
          </w:p>
          <w:p w14:paraId="39783F1A">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项目设</w:t>
            </w:r>
            <w:r>
              <w:rPr>
                <w:rFonts w:hint="eastAsia"/>
                <w:color w:val="auto"/>
                <w:sz w:val="24"/>
                <w:szCs w:val="24"/>
                <w:highlight w:val="none"/>
                <w:lang w:val="en-US" w:eastAsia="zh-CN"/>
              </w:rPr>
              <w:t>2</w:t>
            </w:r>
            <w:r>
              <w:rPr>
                <w:rFonts w:hint="eastAsia" w:ascii="Times New Roman" w:eastAsia="宋体"/>
                <w:color w:val="auto"/>
                <w:sz w:val="24"/>
                <w:szCs w:val="24"/>
                <w:highlight w:val="none"/>
                <w:lang w:eastAsia="zh-CN"/>
              </w:rPr>
              <w:t>台落砂机，其工作过程中拟在滚筒内部喷入雾状水冷却除尘，同时设置固定包围式集尘设施，收集效率按100%计。参考《铸造防尘技术规程（GB8959-2007）》表C：滚筒落砂机的平均起始含尘量为4100mg/m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。本项目使用的滚筒落砂机在运行时其内部喷水降温除尘，筒内粉尘沉降系数按50%计。项目落砂机粉尘收集设施配套的风机风量约8000m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/h，项目落砂粉尘产生量为16.4kg/h·台</w:t>
            </w:r>
            <w:r>
              <w:rPr>
                <w:rFonts w:hint="eastAsia"/>
                <w:color w:val="auto"/>
                <w:sz w:val="24"/>
                <w:szCs w:val="24"/>
                <w:highlight w:val="none"/>
                <w:lang w:eastAsia="zh-CN"/>
              </w:rPr>
              <w:t>，</w:t>
            </w:r>
            <w:r>
              <w:rPr>
                <w:rFonts w:hint="eastAsia"/>
                <w:color w:val="auto"/>
                <w:sz w:val="24"/>
                <w:szCs w:val="24"/>
                <w:highlight w:val="none"/>
                <w:lang w:val="en-US" w:eastAsia="zh-CN"/>
              </w:rPr>
              <w:t>则落砂粉尘产生为32.8kg/h（98.4t/a）</w:t>
            </w:r>
            <w:r>
              <w:rPr>
                <w:rFonts w:hint="eastAsia" w:ascii="Times New Roman" w:eastAsia="宋体"/>
                <w:color w:val="auto"/>
                <w:sz w:val="24"/>
                <w:szCs w:val="24"/>
                <w:highlight w:val="none"/>
                <w:lang w:eastAsia="zh-CN"/>
              </w:rPr>
              <w:t>。</w:t>
            </w:r>
          </w:p>
          <w:p w14:paraId="68C4DE4B">
            <w:pPr>
              <w:pStyle w:val="10"/>
              <w:spacing w:line="360" w:lineRule="auto"/>
              <w:ind w:firstLine="480"/>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⑥</w:t>
            </w:r>
            <w:r>
              <w:rPr>
                <w:rFonts w:hint="eastAsia" w:ascii="Times New Roman" w:eastAsia="宋体"/>
                <w:color w:val="auto"/>
                <w:sz w:val="24"/>
                <w:szCs w:val="24"/>
                <w:highlight w:val="none"/>
                <w:lang w:eastAsia="zh-CN"/>
              </w:rPr>
              <w:t>砂再生粉尘废气</w:t>
            </w:r>
          </w:p>
          <w:p w14:paraId="43FFE641">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项目树脂自硬砂铸造和粘土砂铸造各设1套砂再生处理系统，均配备包围式集尘设施收集粉尘，收集效率按100%计。参考《排放源统计调查产排污核算方法和系数手册》，项目砂再生处理粉尘产生情况详见下表。</w:t>
            </w:r>
          </w:p>
          <w:p w14:paraId="297EEA55">
            <w:pPr>
              <w:pStyle w:val="10"/>
              <w:spacing w:line="360" w:lineRule="auto"/>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8 </w:t>
            </w:r>
            <w:r>
              <w:rPr>
                <w:rFonts w:hint="eastAsia" w:ascii="Times New Roman" w:eastAsia="宋体"/>
                <w:b/>
                <w:bCs/>
                <w:color w:val="auto"/>
                <w:sz w:val="24"/>
                <w:szCs w:val="24"/>
                <w:highlight w:val="none"/>
                <w:lang w:eastAsia="zh-CN"/>
              </w:rPr>
              <w:t xml:space="preserve"> 砂再生处理粉尘产生情况</w:t>
            </w:r>
          </w:p>
          <w:tbl>
            <w:tblPr>
              <w:tblStyle w:val="2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19"/>
              <w:gridCol w:w="555"/>
              <w:gridCol w:w="524"/>
              <w:gridCol w:w="599"/>
              <w:gridCol w:w="687"/>
              <w:gridCol w:w="804"/>
              <w:gridCol w:w="687"/>
              <w:gridCol w:w="656"/>
              <w:gridCol w:w="525"/>
              <w:gridCol w:w="516"/>
              <w:gridCol w:w="590"/>
              <w:gridCol w:w="649"/>
              <w:gridCol w:w="664"/>
            </w:tblGrid>
            <w:tr w14:paraId="161E5C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8" w:type="pct"/>
                  <w:vMerge w:val="restart"/>
                  <w:tcBorders>
                    <w:tl2br w:val="nil"/>
                    <w:tr2bl w:val="nil"/>
                  </w:tcBorders>
                  <w:vAlign w:val="center"/>
                </w:tcPr>
                <w:p w14:paraId="57E2B89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铸造工艺</w:t>
                  </w:r>
                </w:p>
              </w:tc>
              <w:tc>
                <w:tcPr>
                  <w:tcW w:w="331" w:type="pct"/>
                  <w:vMerge w:val="restart"/>
                  <w:tcBorders>
                    <w:tl2br w:val="nil"/>
                    <w:tr2bl w:val="nil"/>
                  </w:tcBorders>
                  <w:vAlign w:val="center"/>
                </w:tcPr>
                <w:p w14:paraId="0A4236E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312" w:type="pct"/>
                  <w:vMerge w:val="restart"/>
                  <w:tcBorders>
                    <w:tl2br w:val="nil"/>
                    <w:tr2bl w:val="nil"/>
                  </w:tcBorders>
                  <w:vAlign w:val="center"/>
                </w:tcPr>
                <w:p w14:paraId="2A32659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357" w:type="pct"/>
                  <w:vMerge w:val="restart"/>
                  <w:tcBorders>
                    <w:tl2br w:val="nil"/>
                    <w:tr2bl w:val="nil"/>
                  </w:tcBorders>
                  <w:vAlign w:val="center"/>
                </w:tcPr>
                <w:p w14:paraId="53FA6EB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410" w:type="pct"/>
                  <w:vMerge w:val="restart"/>
                  <w:tcBorders>
                    <w:tl2br w:val="nil"/>
                    <w:tr2bl w:val="nil"/>
                  </w:tcBorders>
                  <w:vAlign w:val="center"/>
                </w:tcPr>
                <w:p w14:paraId="6864FCF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480" w:type="pct"/>
                  <w:vMerge w:val="restart"/>
                  <w:tcBorders>
                    <w:tl2br w:val="nil"/>
                    <w:tr2bl w:val="nil"/>
                  </w:tcBorders>
                  <w:vAlign w:val="center"/>
                </w:tcPr>
                <w:p w14:paraId="01B27EE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2162" w:type="pct"/>
                  <w:gridSpan w:val="6"/>
                  <w:tcBorders>
                    <w:tl2br w:val="nil"/>
                    <w:tr2bl w:val="nil"/>
                  </w:tcBorders>
                  <w:vAlign w:val="center"/>
                </w:tcPr>
                <w:p w14:paraId="1024292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396" w:type="pct"/>
                  <w:vMerge w:val="restart"/>
                  <w:tcBorders>
                    <w:tl2br w:val="nil"/>
                    <w:tr2bl w:val="nil"/>
                  </w:tcBorders>
                  <w:vAlign w:val="center"/>
                </w:tcPr>
                <w:p w14:paraId="740D80C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429BC5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8" w:type="pct"/>
                  <w:vMerge w:val="continue"/>
                  <w:tcBorders>
                    <w:tl2br w:val="nil"/>
                    <w:tr2bl w:val="nil"/>
                  </w:tcBorders>
                  <w:vAlign w:val="center"/>
                </w:tcPr>
                <w:p w14:paraId="47D3A0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331" w:type="pct"/>
                  <w:vMerge w:val="continue"/>
                  <w:tcBorders>
                    <w:tl2br w:val="nil"/>
                    <w:tr2bl w:val="nil"/>
                  </w:tcBorders>
                  <w:vAlign w:val="center"/>
                </w:tcPr>
                <w:p w14:paraId="5665247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312" w:type="pct"/>
                  <w:vMerge w:val="continue"/>
                  <w:tcBorders>
                    <w:tl2br w:val="nil"/>
                    <w:tr2bl w:val="nil"/>
                  </w:tcBorders>
                  <w:vAlign w:val="center"/>
                </w:tcPr>
                <w:p w14:paraId="39E3471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357" w:type="pct"/>
                  <w:vMerge w:val="continue"/>
                  <w:tcBorders>
                    <w:tl2br w:val="nil"/>
                    <w:tr2bl w:val="nil"/>
                  </w:tcBorders>
                  <w:vAlign w:val="center"/>
                </w:tcPr>
                <w:p w14:paraId="403B8E0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410" w:type="pct"/>
                  <w:vMerge w:val="continue"/>
                  <w:tcBorders>
                    <w:tl2br w:val="nil"/>
                    <w:tr2bl w:val="nil"/>
                  </w:tcBorders>
                  <w:vAlign w:val="center"/>
                </w:tcPr>
                <w:p w14:paraId="3EF8C9C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480" w:type="pct"/>
                  <w:vMerge w:val="continue"/>
                  <w:tcBorders>
                    <w:tl2br w:val="nil"/>
                    <w:tr2bl w:val="nil"/>
                  </w:tcBorders>
                  <w:vAlign w:val="center"/>
                </w:tcPr>
                <w:p w14:paraId="4D0FEB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01" w:type="pct"/>
                  <w:gridSpan w:val="2"/>
                  <w:tcBorders>
                    <w:tl2br w:val="nil"/>
                    <w:tr2bl w:val="nil"/>
                  </w:tcBorders>
                  <w:vAlign w:val="center"/>
                </w:tcPr>
                <w:p w14:paraId="3DE6485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621" w:type="pct"/>
                  <w:gridSpan w:val="2"/>
                  <w:tcBorders>
                    <w:tl2br w:val="nil"/>
                    <w:tr2bl w:val="nil"/>
                  </w:tcBorders>
                  <w:vAlign w:val="center"/>
                </w:tcPr>
                <w:p w14:paraId="66E9F6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739" w:type="pct"/>
                  <w:gridSpan w:val="2"/>
                  <w:tcBorders>
                    <w:tl2br w:val="nil"/>
                    <w:tr2bl w:val="nil"/>
                  </w:tcBorders>
                  <w:vAlign w:val="center"/>
                </w:tcPr>
                <w:p w14:paraId="0F52923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396" w:type="pct"/>
                  <w:vMerge w:val="continue"/>
                  <w:tcBorders>
                    <w:tl2br w:val="nil"/>
                    <w:tr2bl w:val="nil"/>
                  </w:tcBorders>
                  <w:vAlign w:val="center"/>
                </w:tcPr>
                <w:p w14:paraId="26A89C7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7B87AD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8" w:type="pct"/>
                  <w:vMerge w:val="continue"/>
                  <w:tcBorders>
                    <w:tl2br w:val="nil"/>
                    <w:tr2bl w:val="nil"/>
                  </w:tcBorders>
                  <w:vAlign w:val="center"/>
                </w:tcPr>
                <w:p w14:paraId="6D2C6C5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331" w:type="pct"/>
                  <w:vMerge w:val="continue"/>
                  <w:tcBorders>
                    <w:tl2br w:val="nil"/>
                    <w:tr2bl w:val="nil"/>
                  </w:tcBorders>
                  <w:vAlign w:val="center"/>
                </w:tcPr>
                <w:p w14:paraId="76E38B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312" w:type="pct"/>
                  <w:vMerge w:val="continue"/>
                  <w:tcBorders>
                    <w:tl2br w:val="nil"/>
                    <w:tr2bl w:val="nil"/>
                  </w:tcBorders>
                  <w:vAlign w:val="center"/>
                </w:tcPr>
                <w:p w14:paraId="2CC23B1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357" w:type="pct"/>
                  <w:vMerge w:val="continue"/>
                  <w:tcBorders>
                    <w:tl2br w:val="nil"/>
                    <w:tr2bl w:val="nil"/>
                  </w:tcBorders>
                  <w:vAlign w:val="center"/>
                </w:tcPr>
                <w:p w14:paraId="3E8DC2C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410" w:type="pct"/>
                  <w:vMerge w:val="continue"/>
                  <w:tcBorders>
                    <w:tl2br w:val="nil"/>
                    <w:tr2bl w:val="nil"/>
                  </w:tcBorders>
                  <w:vAlign w:val="center"/>
                </w:tcPr>
                <w:p w14:paraId="5A74ED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480" w:type="pct"/>
                  <w:vMerge w:val="continue"/>
                  <w:tcBorders>
                    <w:tl2br w:val="nil"/>
                    <w:tr2bl w:val="nil"/>
                  </w:tcBorders>
                  <w:vAlign w:val="center"/>
                </w:tcPr>
                <w:p w14:paraId="225ECD6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410" w:type="pct"/>
                  <w:tcBorders>
                    <w:right w:val="single" w:color="auto" w:sz="4" w:space="0"/>
                    <w:tl2br w:val="nil"/>
                    <w:tr2bl w:val="nil"/>
                  </w:tcBorders>
                  <w:shd w:val="clear" w:color="auto" w:fill="auto"/>
                  <w:vAlign w:val="center"/>
                </w:tcPr>
                <w:p w14:paraId="79912FC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391" w:type="pct"/>
                  <w:tcBorders>
                    <w:left w:val="single" w:color="auto" w:sz="4" w:space="0"/>
                    <w:tl2br w:val="nil"/>
                    <w:tr2bl w:val="nil"/>
                  </w:tcBorders>
                  <w:shd w:val="clear" w:color="auto" w:fill="auto"/>
                  <w:vAlign w:val="center"/>
                </w:tcPr>
                <w:p w14:paraId="7D9F21B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313" w:type="pct"/>
                  <w:tcBorders>
                    <w:right w:val="single" w:color="auto" w:sz="4" w:space="0"/>
                    <w:tl2br w:val="nil"/>
                    <w:tr2bl w:val="nil"/>
                  </w:tcBorders>
                  <w:shd w:val="clear" w:color="auto" w:fill="auto"/>
                  <w:vAlign w:val="center"/>
                </w:tcPr>
                <w:p w14:paraId="1902081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308" w:type="pct"/>
                  <w:tcBorders>
                    <w:left w:val="single" w:color="auto" w:sz="4" w:space="0"/>
                    <w:tl2br w:val="nil"/>
                    <w:tr2bl w:val="nil"/>
                  </w:tcBorders>
                  <w:shd w:val="clear" w:color="auto" w:fill="auto"/>
                  <w:vAlign w:val="center"/>
                </w:tcPr>
                <w:p w14:paraId="233F774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352" w:type="pct"/>
                  <w:tcBorders>
                    <w:right w:val="single" w:color="auto" w:sz="4" w:space="0"/>
                    <w:tl2br w:val="nil"/>
                    <w:tr2bl w:val="nil"/>
                  </w:tcBorders>
                  <w:shd w:val="clear" w:color="auto" w:fill="auto"/>
                  <w:vAlign w:val="center"/>
                </w:tcPr>
                <w:p w14:paraId="7D1A2D8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387" w:type="pct"/>
                  <w:tcBorders>
                    <w:left w:val="single" w:color="auto" w:sz="4" w:space="0"/>
                    <w:tl2br w:val="nil"/>
                    <w:tr2bl w:val="nil"/>
                  </w:tcBorders>
                  <w:shd w:val="clear" w:color="auto" w:fill="auto"/>
                  <w:vAlign w:val="center"/>
                </w:tcPr>
                <w:p w14:paraId="4CB045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396" w:type="pct"/>
                  <w:vMerge w:val="continue"/>
                  <w:tcBorders>
                    <w:tl2br w:val="nil"/>
                    <w:tr2bl w:val="nil"/>
                  </w:tcBorders>
                  <w:vAlign w:val="center"/>
                </w:tcPr>
                <w:p w14:paraId="704B69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58052A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8" w:type="pct"/>
                  <w:tcBorders>
                    <w:tl2br w:val="nil"/>
                    <w:tr2bl w:val="nil"/>
                  </w:tcBorders>
                  <w:vAlign w:val="center"/>
                </w:tcPr>
                <w:p w14:paraId="3C645CF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粘土砂铸造</w:t>
                  </w:r>
                </w:p>
              </w:tc>
              <w:tc>
                <w:tcPr>
                  <w:tcW w:w="331" w:type="pct"/>
                  <w:vMerge w:val="restart"/>
                  <w:tcBorders>
                    <w:tl2br w:val="nil"/>
                    <w:tr2bl w:val="nil"/>
                  </w:tcBorders>
                  <w:vAlign w:val="center"/>
                </w:tcPr>
                <w:p w14:paraId="508A035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精密铸件</w:t>
                  </w:r>
                </w:p>
              </w:tc>
              <w:tc>
                <w:tcPr>
                  <w:tcW w:w="312" w:type="pct"/>
                  <w:tcBorders>
                    <w:tl2br w:val="nil"/>
                    <w:tr2bl w:val="nil"/>
                  </w:tcBorders>
                  <w:vAlign w:val="center"/>
                </w:tcPr>
                <w:p w14:paraId="339171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6</w:t>
                  </w:r>
                  <w:r>
                    <w:rPr>
                      <w:rFonts w:hint="default" w:ascii="Times New Roman" w:hAnsi="Times New Roman" w:eastAsia="宋体" w:cs="Times New Roman"/>
                      <w:color w:val="auto"/>
                      <w:spacing w:val="-1"/>
                      <w:sz w:val="18"/>
                      <w:szCs w:val="18"/>
                    </w:rPr>
                    <w:t>000</w:t>
                  </w:r>
                </w:p>
              </w:tc>
              <w:tc>
                <w:tcPr>
                  <w:tcW w:w="357" w:type="pct"/>
                  <w:tcBorders>
                    <w:tl2br w:val="nil"/>
                    <w:tr2bl w:val="nil"/>
                  </w:tcBorders>
                  <w:vAlign w:val="center"/>
                </w:tcPr>
                <w:p w14:paraId="783FB63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3</w:t>
                  </w:r>
                  <w:r>
                    <w:rPr>
                      <w:rFonts w:hint="eastAsia" w:ascii="Times New Roman" w:hAnsi="Times New Roman" w:eastAsia="宋体" w:cs="Times New Roman"/>
                      <w:color w:val="auto"/>
                      <w:spacing w:val="-1"/>
                      <w:sz w:val="18"/>
                      <w:szCs w:val="18"/>
                      <w:lang w:val="en-US" w:eastAsia="zh-CN"/>
                    </w:rPr>
                    <w:t>0</w:t>
                  </w:r>
                  <w:r>
                    <w:rPr>
                      <w:rFonts w:hint="default" w:ascii="Times New Roman" w:hAnsi="Times New Roman" w:eastAsia="宋体" w:cs="Times New Roman"/>
                      <w:color w:val="auto"/>
                      <w:spacing w:val="-1"/>
                      <w:sz w:val="18"/>
                      <w:szCs w:val="18"/>
                    </w:rPr>
                    <w:t>00</w:t>
                  </w:r>
                </w:p>
              </w:tc>
              <w:tc>
                <w:tcPr>
                  <w:tcW w:w="410" w:type="pct"/>
                  <w:tcBorders>
                    <w:tl2br w:val="nil"/>
                    <w:tr2bl w:val="nil"/>
                  </w:tcBorders>
                  <w:vAlign w:val="center"/>
                </w:tcPr>
                <w:p w14:paraId="6E719DA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480" w:type="pct"/>
                  <w:tcBorders>
                    <w:tl2br w:val="nil"/>
                    <w:tr2bl w:val="nil"/>
                  </w:tcBorders>
                  <w:vAlign w:val="center"/>
                </w:tcPr>
                <w:p w14:paraId="21A4B8C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17.2</w:t>
                  </w:r>
                </w:p>
              </w:tc>
              <w:tc>
                <w:tcPr>
                  <w:tcW w:w="410" w:type="pct"/>
                  <w:tcBorders>
                    <w:right w:val="single" w:color="auto" w:sz="4" w:space="0"/>
                    <w:tl2br w:val="nil"/>
                    <w:tr2bl w:val="nil"/>
                  </w:tcBorders>
                  <w:vAlign w:val="center"/>
                </w:tcPr>
                <w:p w14:paraId="2FCCCEA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103.2</w:t>
                  </w:r>
                </w:p>
              </w:tc>
              <w:tc>
                <w:tcPr>
                  <w:tcW w:w="391" w:type="pct"/>
                  <w:tcBorders>
                    <w:left w:val="single" w:color="auto" w:sz="4" w:space="0"/>
                    <w:tl2br w:val="nil"/>
                    <w:tr2bl w:val="nil"/>
                  </w:tcBorders>
                  <w:vAlign w:val="center"/>
                </w:tcPr>
                <w:p w14:paraId="5DA0DEA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34.4</w:t>
                  </w:r>
                </w:p>
              </w:tc>
              <w:tc>
                <w:tcPr>
                  <w:tcW w:w="313" w:type="pct"/>
                  <w:tcBorders>
                    <w:right w:val="single" w:color="auto" w:sz="4" w:space="0"/>
                    <w:tl2br w:val="nil"/>
                    <w:tr2bl w:val="nil"/>
                  </w:tcBorders>
                  <w:vAlign w:val="center"/>
                </w:tcPr>
                <w:p w14:paraId="1A25DFE7">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w:t>
                  </w:r>
                </w:p>
              </w:tc>
              <w:tc>
                <w:tcPr>
                  <w:tcW w:w="308" w:type="pct"/>
                  <w:tcBorders>
                    <w:left w:val="single" w:color="auto" w:sz="4" w:space="0"/>
                    <w:tl2br w:val="nil"/>
                    <w:tr2bl w:val="nil"/>
                  </w:tcBorders>
                  <w:shd w:val="clear" w:color="auto" w:fill="auto"/>
                  <w:vAlign w:val="center"/>
                </w:tcPr>
                <w:p w14:paraId="76D1C1E0">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w:t>
                  </w:r>
                </w:p>
              </w:tc>
              <w:tc>
                <w:tcPr>
                  <w:tcW w:w="352" w:type="pct"/>
                  <w:tcBorders>
                    <w:right w:val="single" w:color="auto" w:sz="4" w:space="0"/>
                    <w:tl2br w:val="nil"/>
                    <w:tr2bl w:val="nil"/>
                  </w:tcBorders>
                  <w:vAlign w:val="center"/>
                </w:tcPr>
                <w:p w14:paraId="709249C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103.2</w:t>
                  </w:r>
                </w:p>
              </w:tc>
              <w:tc>
                <w:tcPr>
                  <w:tcW w:w="387" w:type="pct"/>
                  <w:tcBorders>
                    <w:left w:val="single" w:color="auto" w:sz="4" w:space="0"/>
                    <w:tl2br w:val="nil"/>
                    <w:tr2bl w:val="nil"/>
                  </w:tcBorders>
                  <w:vAlign w:val="center"/>
                </w:tcPr>
                <w:p w14:paraId="0FB0DEB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34.4</w:t>
                  </w:r>
                </w:p>
              </w:tc>
              <w:tc>
                <w:tcPr>
                  <w:tcW w:w="396" w:type="pct"/>
                  <w:vMerge w:val="restart"/>
                  <w:tcBorders>
                    <w:tl2br w:val="nil"/>
                    <w:tr2bl w:val="nil"/>
                  </w:tcBorders>
                  <w:vAlign w:val="center"/>
                </w:tcPr>
                <w:p w14:paraId="02B92B7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1#厂房</w:t>
                  </w:r>
                </w:p>
              </w:tc>
            </w:tr>
            <w:tr w14:paraId="7A8341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8" w:type="pct"/>
                  <w:tcBorders>
                    <w:tl2br w:val="nil"/>
                    <w:tr2bl w:val="nil"/>
                  </w:tcBorders>
                  <w:vAlign w:val="center"/>
                </w:tcPr>
                <w:p w14:paraId="621092E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树脂自硬砂铸造</w:t>
                  </w:r>
                </w:p>
              </w:tc>
              <w:tc>
                <w:tcPr>
                  <w:tcW w:w="331" w:type="pct"/>
                  <w:vMerge w:val="continue"/>
                  <w:tcBorders>
                    <w:tl2br w:val="nil"/>
                    <w:tr2bl w:val="nil"/>
                  </w:tcBorders>
                  <w:vAlign w:val="center"/>
                </w:tcPr>
                <w:p w14:paraId="5A24AB0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312" w:type="pct"/>
                  <w:tcBorders>
                    <w:tl2br w:val="nil"/>
                    <w:tr2bl w:val="nil"/>
                  </w:tcBorders>
                  <w:vAlign w:val="center"/>
                </w:tcPr>
                <w:p w14:paraId="111E9CD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6000</w:t>
                  </w:r>
                </w:p>
              </w:tc>
              <w:tc>
                <w:tcPr>
                  <w:tcW w:w="357" w:type="pct"/>
                  <w:tcBorders>
                    <w:tl2br w:val="nil"/>
                    <w:tr2bl w:val="nil"/>
                  </w:tcBorders>
                  <w:vAlign w:val="center"/>
                </w:tcPr>
                <w:p w14:paraId="1ED346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30</w:t>
                  </w:r>
                  <w:r>
                    <w:rPr>
                      <w:rFonts w:hint="eastAsia" w:ascii="Times New Roman" w:hAnsi="Times New Roman" w:eastAsia="宋体" w:cs="Times New Roman"/>
                      <w:color w:val="auto"/>
                      <w:spacing w:val="-1"/>
                      <w:sz w:val="18"/>
                      <w:szCs w:val="18"/>
                      <w:lang w:val="en-US" w:eastAsia="zh-CN"/>
                    </w:rPr>
                    <w:t>0</w:t>
                  </w:r>
                  <w:r>
                    <w:rPr>
                      <w:rFonts w:hint="default" w:ascii="Times New Roman" w:hAnsi="Times New Roman" w:eastAsia="宋体" w:cs="Times New Roman"/>
                      <w:color w:val="auto"/>
                      <w:spacing w:val="-1"/>
                      <w:sz w:val="18"/>
                      <w:szCs w:val="18"/>
                    </w:rPr>
                    <w:t>0</w:t>
                  </w:r>
                </w:p>
              </w:tc>
              <w:tc>
                <w:tcPr>
                  <w:tcW w:w="410" w:type="pct"/>
                  <w:tcBorders>
                    <w:tl2br w:val="nil"/>
                    <w:tr2bl w:val="nil"/>
                  </w:tcBorders>
                  <w:vAlign w:val="center"/>
                </w:tcPr>
                <w:p w14:paraId="67ADC1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480" w:type="pct"/>
                  <w:tcBorders>
                    <w:tl2br w:val="nil"/>
                    <w:tr2bl w:val="nil"/>
                  </w:tcBorders>
                  <w:vAlign w:val="center"/>
                </w:tcPr>
                <w:p w14:paraId="020017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16.0</w:t>
                  </w:r>
                </w:p>
              </w:tc>
              <w:tc>
                <w:tcPr>
                  <w:tcW w:w="410" w:type="pct"/>
                  <w:tcBorders>
                    <w:right w:val="single" w:color="auto" w:sz="4" w:space="0"/>
                    <w:tl2br w:val="nil"/>
                    <w:tr2bl w:val="nil"/>
                  </w:tcBorders>
                  <w:vAlign w:val="center"/>
                </w:tcPr>
                <w:p w14:paraId="7723A98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96</w:t>
                  </w:r>
                </w:p>
              </w:tc>
              <w:tc>
                <w:tcPr>
                  <w:tcW w:w="391" w:type="pct"/>
                  <w:tcBorders>
                    <w:left w:val="single" w:color="auto" w:sz="4" w:space="0"/>
                    <w:tl2br w:val="nil"/>
                    <w:tr2bl w:val="nil"/>
                  </w:tcBorders>
                  <w:vAlign w:val="center"/>
                </w:tcPr>
                <w:p w14:paraId="182C6852">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32</w:t>
                  </w:r>
                  <w:r>
                    <w:rPr>
                      <w:rFonts w:hint="eastAsia" w:cs="Times New Roman"/>
                      <w:i w:val="0"/>
                      <w:iCs w:val="0"/>
                      <w:color w:val="auto"/>
                      <w:kern w:val="0"/>
                      <w:sz w:val="18"/>
                      <w:szCs w:val="18"/>
                      <w:u w:val="none"/>
                      <w:lang w:val="en-US" w:eastAsia="zh-CN" w:bidi="ar"/>
                    </w:rPr>
                    <w:t>.0</w:t>
                  </w:r>
                </w:p>
              </w:tc>
              <w:tc>
                <w:tcPr>
                  <w:tcW w:w="313" w:type="pct"/>
                  <w:tcBorders>
                    <w:right w:val="single" w:color="auto" w:sz="4" w:space="0"/>
                    <w:tl2br w:val="nil"/>
                    <w:tr2bl w:val="nil"/>
                  </w:tcBorders>
                  <w:vAlign w:val="center"/>
                </w:tcPr>
                <w:p w14:paraId="13A16F3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w:t>
                  </w:r>
                </w:p>
              </w:tc>
              <w:tc>
                <w:tcPr>
                  <w:tcW w:w="308" w:type="pct"/>
                  <w:tcBorders>
                    <w:left w:val="single" w:color="auto" w:sz="4" w:space="0"/>
                    <w:tl2br w:val="nil"/>
                    <w:tr2bl w:val="nil"/>
                  </w:tcBorders>
                  <w:shd w:val="clear" w:color="auto" w:fill="auto"/>
                  <w:vAlign w:val="center"/>
                </w:tcPr>
                <w:p w14:paraId="4F97430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w:t>
                  </w:r>
                </w:p>
              </w:tc>
              <w:tc>
                <w:tcPr>
                  <w:tcW w:w="352" w:type="pct"/>
                  <w:tcBorders>
                    <w:right w:val="single" w:color="auto" w:sz="4" w:space="0"/>
                    <w:tl2br w:val="nil"/>
                    <w:tr2bl w:val="nil"/>
                  </w:tcBorders>
                  <w:vAlign w:val="center"/>
                </w:tcPr>
                <w:p w14:paraId="3FAB0F5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96</w:t>
                  </w:r>
                  <w:r>
                    <w:rPr>
                      <w:rFonts w:hint="eastAsia" w:cs="Times New Roman"/>
                      <w:i w:val="0"/>
                      <w:iCs w:val="0"/>
                      <w:color w:val="auto"/>
                      <w:kern w:val="0"/>
                      <w:sz w:val="18"/>
                      <w:szCs w:val="18"/>
                      <w:u w:val="none"/>
                      <w:lang w:val="en-US" w:eastAsia="zh-CN" w:bidi="ar"/>
                    </w:rPr>
                    <w:t>.0</w:t>
                  </w:r>
                </w:p>
              </w:tc>
              <w:tc>
                <w:tcPr>
                  <w:tcW w:w="387" w:type="pct"/>
                  <w:tcBorders>
                    <w:left w:val="single" w:color="auto" w:sz="4" w:space="0"/>
                    <w:tl2br w:val="nil"/>
                    <w:tr2bl w:val="nil"/>
                  </w:tcBorders>
                  <w:vAlign w:val="center"/>
                </w:tcPr>
                <w:p w14:paraId="7EA3F5F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32</w:t>
                  </w:r>
                  <w:r>
                    <w:rPr>
                      <w:rFonts w:hint="eastAsia" w:cs="Times New Roman"/>
                      <w:i w:val="0"/>
                      <w:iCs w:val="0"/>
                      <w:color w:val="auto"/>
                      <w:kern w:val="0"/>
                      <w:sz w:val="18"/>
                      <w:szCs w:val="18"/>
                      <w:u w:val="none"/>
                      <w:lang w:val="en-US" w:eastAsia="zh-CN" w:bidi="ar"/>
                    </w:rPr>
                    <w:t>.0</w:t>
                  </w:r>
                </w:p>
              </w:tc>
              <w:tc>
                <w:tcPr>
                  <w:tcW w:w="396" w:type="pct"/>
                  <w:vMerge w:val="continue"/>
                  <w:tcBorders>
                    <w:tl2br w:val="nil"/>
                    <w:tr2bl w:val="nil"/>
                  </w:tcBorders>
                  <w:vAlign w:val="center"/>
                </w:tcPr>
                <w:p w14:paraId="33A1398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bl>
          <w:p w14:paraId="75118028">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⑦</w:t>
            </w:r>
            <w:r>
              <w:rPr>
                <w:rFonts w:hint="eastAsia" w:ascii="Times New Roman" w:eastAsia="宋体"/>
                <w:color w:val="auto"/>
                <w:sz w:val="24"/>
                <w:szCs w:val="24"/>
                <w:highlight w:val="none"/>
                <w:lang w:eastAsia="zh-CN"/>
              </w:rPr>
              <w:t>清理打磨</w:t>
            </w:r>
            <w:r>
              <w:rPr>
                <w:rFonts w:hint="eastAsia"/>
                <w:color w:val="auto"/>
                <w:sz w:val="24"/>
                <w:szCs w:val="24"/>
                <w:highlight w:val="none"/>
                <w:lang w:eastAsia="zh-CN"/>
              </w:rPr>
              <w:t>、</w:t>
            </w:r>
            <w:r>
              <w:rPr>
                <w:rFonts w:hint="eastAsia"/>
                <w:color w:val="auto"/>
                <w:sz w:val="24"/>
                <w:szCs w:val="24"/>
                <w:highlight w:val="none"/>
                <w:lang w:val="en-US" w:eastAsia="zh-CN"/>
              </w:rPr>
              <w:t>二次抛丸</w:t>
            </w:r>
            <w:r>
              <w:rPr>
                <w:rFonts w:hint="eastAsia" w:ascii="Times New Roman" w:eastAsia="宋体"/>
                <w:color w:val="auto"/>
                <w:sz w:val="24"/>
                <w:szCs w:val="24"/>
                <w:highlight w:val="none"/>
                <w:lang w:eastAsia="zh-CN"/>
              </w:rPr>
              <w:t>粉尘</w:t>
            </w:r>
          </w:p>
          <w:p w14:paraId="185C94B5">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项目各铸造工艺生产的铸件</w:t>
            </w:r>
            <w:r>
              <w:rPr>
                <w:rFonts w:hint="eastAsia"/>
                <w:color w:val="auto"/>
                <w:sz w:val="24"/>
                <w:szCs w:val="24"/>
                <w:highlight w:val="none"/>
                <w:lang w:val="en-US" w:eastAsia="zh-CN"/>
              </w:rPr>
              <w:t>落砂清理后</w:t>
            </w:r>
            <w:r>
              <w:rPr>
                <w:rFonts w:hint="eastAsia" w:ascii="Times New Roman" w:eastAsia="宋体"/>
                <w:color w:val="auto"/>
                <w:sz w:val="24"/>
                <w:szCs w:val="24"/>
                <w:highlight w:val="none"/>
                <w:lang w:eastAsia="zh-CN"/>
              </w:rPr>
              <w:t>需</w:t>
            </w:r>
            <w:r>
              <w:rPr>
                <w:rFonts w:hint="eastAsia"/>
                <w:color w:val="auto"/>
                <w:sz w:val="24"/>
                <w:szCs w:val="24"/>
                <w:highlight w:val="none"/>
                <w:lang w:val="en-US" w:eastAsia="zh-CN"/>
              </w:rPr>
              <w:t>利用抛丸机进行</w:t>
            </w:r>
            <w:r>
              <w:rPr>
                <w:rFonts w:hint="eastAsia" w:ascii="Times New Roman" w:eastAsia="宋体"/>
                <w:color w:val="auto"/>
                <w:sz w:val="24"/>
                <w:szCs w:val="24"/>
                <w:highlight w:val="none"/>
                <w:lang w:eastAsia="zh-CN"/>
              </w:rPr>
              <w:t>清理打磨，</w:t>
            </w:r>
            <w:r>
              <w:rPr>
                <w:rFonts w:hint="eastAsia"/>
                <w:color w:val="auto"/>
                <w:sz w:val="24"/>
                <w:szCs w:val="24"/>
                <w:highlight w:val="none"/>
                <w:lang w:val="en-US" w:eastAsia="zh-CN"/>
              </w:rPr>
              <w:t>去除表面毛刺（粗抛），熔模铸件在退火工序后、粘土砂和树脂砂铸件在机加工后进行二次抛丸（精抛），进一步去除铸件表面杂质。</w:t>
            </w:r>
            <w:r>
              <w:rPr>
                <w:rFonts w:hint="eastAsia" w:ascii="Times New Roman" w:eastAsia="宋体"/>
                <w:color w:val="auto"/>
                <w:sz w:val="24"/>
                <w:szCs w:val="24"/>
                <w:highlight w:val="none"/>
                <w:lang w:eastAsia="zh-CN"/>
              </w:rPr>
              <w:t>抛丸机为密闭设施。项目</w:t>
            </w:r>
            <w:r>
              <w:rPr>
                <w:rFonts w:hint="eastAsia"/>
                <w:color w:val="auto"/>
                <w:sz w:val="24"/>
                <w:szCs w:val="24"/>
                <w:highlight w:val="none"/>
                <w:lang w:val="en-US" w:eastAsia="zh-CN"/>
              </w:rPr>
              <w:t>抛丸机</w:t>
            </w:r>
            <w:r>
              <w:rPr>
                <w:rFonts w:hint="eastAsia" w:ascii="Times New Roman" w:eastAsia="宋体"/>
                <w:color w:val="auto"/>
                <w:sz w:val="24"/>
                <w:szCs w:val="24"/>
                <w:highlight w:val="none"/>
                <w:lang w:eastAsia="zh-CN"/>
              </w:rPr>
              <w:t>设备运行时间为7200h/a，参考《排放源统计调查产排污核算方法和系数手册》，项目清理打磨粉尘产生情况见下表。</w:t>
            </w:r>
          </w:p>
          <w:p w14:paraId="73B5124E">
            <w:pPr>
              <w:pStyle w:val="10"/>
              <w:spacing w:line="360" w:lineRule="auto"/>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9 </w:t>
            </w:r>
            <w:r>
              <w:rPr>
                <w:rFonts w:hint="eastAsia" w:ascii="Times New Roman" w:eastAsia="宋体"/>
                <w:b/>
                <w:bCs/>
                <w:color w:val="auto"/>
                <w:sz w:val="24"/>
                <w:szCs w:val="24"/>
                <w:highlight w:val="none"/>
                <w:lang w:eastAsia="zh-CN"/>
              </w:rPr>
              <w:t xml:space="preserve"> 清理打磨</w:t>
            </w:r>
            <w:r>
              <w:rPr>
                <w:rFonts w:hint="eastAsia"/>
                <w:b/>
                <w:bCs/>
                <w:color w:val="auto"/>
                <w:sz w:val="24"/>
                <w:szCs w:val="24"/>
                <w:highlight w:val="none"/>
                <w:lang w:eastAsia="zh-CN"/>
              </w:rPr>
              <w:t>、</w:t>
            </w:r>
            <w:r>
              <w:rPr>
                <w:rFonts w:hint="eastAsia"/>
                <w:b/>
                <w:bCs/>
                <w:color w:val="auto"/>
                <w:sz w:val="24"/>
                <w:szCs w:val="24"/>
                <w:highlight w:val="none"/>
                <w:lang w:val="en-US" w:eastAsia="zh-CN"/>
              </w:rPr>
              <w:t>抛丸</w:t>
            </w:r>
            <w:r>
              <w:rPr>
                <w:rFonts w:hint="eastAsia" w:ascii="Times New Roman" w:eastAsia="宋体"/>
                <w:b/>
                <w:bCs/>
                <w:color w:val="auto"/>
                <w:sz w:val="24"/>
                <w:szCs w:val="24"/>
                <w:highlight w:val="none"/>
                <w:lang w:eastAsia="zh-CN"/>
              </w:rPr>
              <w:t>粉尘废气产生情况一览表</w:t>
            </w:r>
          </w:p>
          <w:tbl>
            <w:tblPr>
              <w:tblStyle w:val="29"/>
              <w:tblW w:w="83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9"/>
              <w:gridCol w:w="908"/>
              <w:gridCol w:w="441"/>
              <w:gridCol w:w="567"/>
              <w:gridCol w:w="551"/>
              <w:gridCol w:w="728"/>
              <w:gridCol w:w="718"/>
              <w:gridCol w:w="557"/>
              <w:gridCol w:w="600"/>
              <w:gridCol w:w="525"/>
              <w:gridCol w:w="493"/>
              <w:gridCol w:w="536"/>
              <w:gridCol w:w="589"/>
              <w:gridCol w:w="514"/>
            </w:tblGrid>
            <w:tr w14:paraId="6DBAB7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7" w:type="dxa"/>
                  <w:gridSpan w:val="2"/>
                  <w:vMerge w:val="restart"/>
                  <w:tcBorders>
                    <w:tl2br w:val="nil"/>
                    <w:tr2bl w:val="nil"/>
                  </w:tcBorders>
                  <w:vAlign w:val="center"/>
                </w:tcPr>
                <w:p w14:paraId="42AC2F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铸造工艺</w:t>
                  </w:r>
                </w:p>
              </w:tc>
              <w:tc>
                <w:tcPr>
                  <w:tcW w:w="441" w:type="dxa"/>
                  <w:vMerge w:val="restart"/>
                  <w:tcBorders>
                    <w:tl2br w:val="nil"/>
                    <w:tr2bl w:val="nil"/>
                  </w:tcBorders>
                  <w:vAlign w:val="center"/>
                </w:tcPr>
                <w:p w14:paraId="0ADA896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567" w:type="dxa"/>
                  <w:vMerge w:val="restart"/>
                  <w:tcBorders>
                    <w:tl2br w:val="nil"/>
                    <w:tr2bl w:val="nil"/>
                  </w:tcBorders>
                  <w:vAlign w:val="center"/>
                </w:tcPr>
                <w:p w14:paraId="7B525C8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551" w:type="dxa"/>
                  <w:vMerge w:val="restart"/>
                  <w:tcBorders>
                    <w:tl2br w:val="nil"/>
                    <w:tr2bl w:val="nil"/>
                  </w:tcBorders>
                  <w:vAlign w:val="center"/>
                </w:tcPr>
                <w:p w14:paraId="73F7DA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w:t>
                  </w:r>
                </w:p>
                <w:p w14:paraId="466F0D6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(h/a)</w:t>
                  </w:r>
                </w:p>
              </w:tc>
              <w:tc>
                <w:tcPr>
                  <w:tcW w:w="728" w:type="dxa"/>
                  <w:vMerge w:val="restart"/>
                  <w:tcBorders>
                    <w:tl2br w:val="nil"/>
                    <w:tr2bl w:val="nil"/>
                  </w:tcBorders>
                  <w:vAlign w:val="center"/>
                </w:tcPr>
                <w:p w14:paraId="7292B2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718" w:type="dxa"/>
                  <w:vMerge w:val="restart"/>
                  <w:tcBorders>
                    <w:tl2br w:val="nil"/>
                    <w:tr2bl w:val="nil"/>
                  </w:tcBorders>
                  <w:vAlign w:val="center"/>
                </w:tcPr>
                <w:p w14:paraId="3F4E01A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w:t>
                  </w:r>
                </w:p>
                <w:p w14:paraId="0616DE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(kg/t·产品)</w:t>
                  </w:r>
                </w:p>
              </w:tc>
              <w:tc>
                <w:tcPr>
                  <w:tcW w:w="3300" w:type="dxa"/>
                  <w:gridSpan w:val="6"/>
                  <w:tcBorders>
                    <w:tl2br w:val="nil"/>
                    <w:tr2bl w:val="nil"/>
                  </w:tcBorders>
                  <w:vAlign w:val="center"/>
                </w:tcPr>
                <w:p w14:paraId="524F828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514" w:type="dxa"/>
                  <w:vMerge w:val="restart"/>
                  <w:tcBorders>
                    <w:tl2br w:val="nil"/>
                    <w:tr2bl w:val="nil"/>
                  </w:tcBorders>
                  <w:vAlign w:val="center"/>
                </w:tcPr>
                <w:p w14:paraId="16D0C7F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08BC6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7" w:type="dxa"/>
                  <w:gridSpan w:val="2"/>
                  <w:vMerge w:val="continue"/>
                  <w:tcBorders>
                    <w:tl2br w:val="nil"/>
                    <w:tr2bl w:val="nil"/>
                  </w:tcBorders>
                  <w:vAlign w:val="center"/>
                </w:tcPr>
                <w:p w14:paraId="4C52B3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441" w:type="dxa"/>
                  <w:vMerge w:val="continue"/>
                  <w:tcBorders>
                    <w:tl2br w:val="nil"/>
                    <w:tr2bl w:val="nil"/>
                  </w:tcBorders>
                  <w:vAlign w:val="center"/>
                </w:tcPr>
                <w:p w14:paraId="29C094E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67" w:type="dxa"/>
                  <w:vMerge w:val="continue"/>
                  <w:tcBorders>
                    <w:tl2br w:val="nil"/>
                    <w:tr2bl w:val="nil"/>
                  </w:tcBorders>
                  <w:vAlign w:val="center"/>
                </w:tcPr>
                <w:p w14:paraId="0D60718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1" w:type="dxa"/>
                  <w:vMerge w:val="continue"/>
                  <w:tcBorders>
                    <w:tl2br w:val="nil"/>
                    <w:tr2bl w:val="nil"/>
                  </w:tcBorders>
                  <w:vAlign w:val="center"/>
                </w:tcPr>
                <w:p w14:paraId="2027BE6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7C97838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0943014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57" w:type="dxa"/>
                  <w:gridSpan w:val="2"/>
                  <w:tcBorders>
                    <w:tl2br w:val="nil"/>
                    <w:tr2bl w:val="nil"/>
                  </w:tcBorders>
                  <w:vAlign w:val="center"/>
                </w:tcPr>
                <w:p w14:paraId="6FD4B9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018" w:type="dxa"/>
                  <w:gridSpan w:val="2"/>
                  <w:tcBorders>
                    <w:tl2br w:val="nil"/>
                    <w:tr2bl w:val="nil"/>
                  </w:tcBorders>
                  <w:vAlign w:val="center"/>
                </w:tcPr>
                <w:p w14:paraId="6550E2D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125" w:type="dxa"/>
                  <w:gridSpan w:val="2"/>
                  <w:tcBorders>
                    <w:tl2br w:val="nil"/>
                    <w:tr2bl w:val="nil"/>
                  </w:tcBorders>
                  <w:vAlign w:val="center"/>
                </w:tcPr>
                <w:p w14:paraId="3AABB0D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514" w:type="dxa"/>
                  <w:vMerge w:val="continue"/>
                  <w:tcBorders>
                    <w:tl2br w:val="nil"/>
                    <w:tr2bl w:val="nil"/>
                  </w:tcBorders>
                  <w:vAlign w:val="center"/>
                </w:tcPr>
                <w:p w14:paraId="682A33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2028CF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7" w:type="dxa"/>
                  <w:gridSpan w:val="2"/>
                  <w:vMerge w:val="continue"/>
                  <w:tcBorders>
                    <w:tl2br w:val="nil"/>
                    <w:tr2bl w:val="nil"/>
                  </w:tcBorders>
                  <w:vAlign w:val="center"/>
                </w:tcPr>
                <w:p w14:paraId="58DE7EA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441" w:type="dxa"/>
                  <w:vMerge w:val="continue"/>
                  <w:tcBorders>
                    <w:tl2br w:val="nil"/>
                    <w:tr2bl w:val="nil"/>
                  </w:tcBorders>
                  <w:vAlign w:val="center"/>
                </w:tcPr>
                <w:p w14:paraId="7B0A8B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67" w:type="dxa"/>
                  <w:vMerge w:val="continue"/>
                  <w:tcBorders>
                    <w:tl2br w:val="nil"/>
                    <w:tr2bl w:val="nil"/>
                  </w:tcBorders>
                  <w:vAlign w:val="center"/>
                </w:tcPr>
                <w:p w14:paraId="4A05B74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1" w:type="dxa"/>
                  <w:vMerge w:val="continue"/>
                  <w:tcBorders>
                    <w:tl2br w:val="nil"/>
                    <w:tr2bl w:val="nil"/>
                  </w:tcBorders>
                  <w:vAlign w:val="center"/>
                </w:tcPr>
                <w:p w14:paraId="09F0C39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556D4F7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3674C50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7" w:type="dxa"/>
                  <w:tcBorders>
                    <w:right w:val="single" w:color="auto" w:sz="4" w:space="0"/>
                    <w:tl2br w:val="nil"/>
                    <w:tr2bl w:val="nil"/>
                  </w:tcBorders>
                  <w:shd w:val="clear" w:color="auto" w:fill="auto"/>
                  <w:vAlign w:val="center"/>
                </w:tcPr>
                <w:p w14:paraId="5D81C3C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00" w:type="dxa"/>
                  <w:tcBorders>
                    <w:left w:val="single" w:color="auto" w:sz="4" w:space="0"/>
                    <w:tl2br w:val="nil"/>
                    <w:tr2bl w:val="nil"/>
                  </w:tcBorders>
                  <w:shd w:val="clear" w:color="auto" w:fill="auto"/>
                  <w:vAlign w:val="center"/>
                </w:tcPr>
                <w:p w14:paraId="38D90F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5" w:type="dxa"/>
                  <w:tcBorders>
                    <w:right w:val="single" w:color="auto" w:sz="4" w:space="0"/>
                    <w:tl2br w:val="nil"/>
                    <w:tr2bl w:val="nil"/>
                  </w:tcBorders>
                  <w:shd w:val="clear" w:color="auto" w:fill="auto"/>
                  <w:vAlign w:val="center"/>
                </w:tcPr>
                <w:p w14:paraId="23FDABD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493" w:type="dxa"/>
                  <w:tcBorders>
                    <w:left w:val="single" w:color="auto" w:sz="4" w:space="0"/>
                    <w:tl2br w:val="nil"/>
                    <w:tr2bl w:val="nil"/>
                  </w:tcBorders>
                  <w:shd w:val="clear" w:color="auto" w:fill="auto"/>
                  <w:vAlign w:val="center"/>
                </w:tcPr>
                <w:p w14:paraId="79EED80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36" w:type="dxa"/>
                  <w:tcBorders>
                    <w:right w:val="single" w:color="auto" w:sz="4" w:space="0"/>
                    <w:tl2br w:val="nil"/>
                    <w:tr2bl w:val="nil"/>
                  </w:tcBorders>
                  <w:shd w:val="clear" w:color="auto" w:fill="auto"/>
                  <w:vAlign w:val="center"/>
                </w:tcPr>
                <w:p w14:paraId="357CB3C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589" w:type="dxa"/>
                  <w:tcBorders>
                    <w:left w:val="single" w:color="auto" w:sz="4" w:space="0"/>
                    <w:tl2br w:val="nil"/>
                    <w:tr2bl w:val="nil"/>
                  </w:tcBorders>
                  <w:shd w:val="clear" w:color="auto" w:fill="auto"/>
                  <w:vAlign w:val="center"/>
                </w:tcPr>
                <w:p w14:paraId="2DEC9B9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14" w:type="dxa"/>
                  <w:vMerge w:val="continue"/>
                  <w:tcBorders>
                    <w:tl2br w:val="nil"/>
                    <w:tr2bl w:val="nil"/>
                  </w:tcBorders>
                  <w:vAlign w:val="center"/>
                </w:tcPr>
                <w:p w14:paraId="18BBAF4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68A4A1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9" w:type="dxa"/>
                  <w:vMerge w:val="restart"/>
                  <w:tcBorders>
                    <w:right w:val="single" w:color="auto" w:sz="4" w:space="0"/>
                    <w:tl2br w:val="nil"/>
                    <w:tr2bl w:val="nil"/>
                  </w:tcBorders>
                  <w:vAlign w:val="center"/>
                </w:tcPr>
                <w:p w14:paraId="6C6C56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熔模铸造</w:t>
                  </w:r>
                </w:p>
              </w:tc>
              <w:tc>
                <w:tcPr>
                  <w:tcW w:w="908" w:type="dxa"/>
                  <w:tcBorders>
                    <w:left w:val="single" w:color="auto" w:sz="4" w:space="0"/>
                    <w:tl2br w:val="nil"/>
                    <w:tr2bl w:val="nil"/>
                  </w:tcBorders>
                  <w:vAlign w:val="center"/>
                </w:tcPr>
                <w:p w14:paraId="080870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清理打磨</w:t>
                  </w:r>
                </w:p>
              </w:tc>
              <w:tc>
                <w:tcPr>
                  <w:tcW w:w="441" w:type="dxa"/>
                  <w:vMerge w:val="restart"/>
                  <w:tcBorders>
                    <w:tl2br w:val="nil"/>
                    <w:tr2bl w:val="nil"/>
                  </w:tcBorders>
                  <w:vAlign w:val="center"/>
                </w:tcPr>
                <w:p w14:paraId="42E3CCA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精密铸件</w:t>
                  </w:r>
                </w:p>
              </w:tc>
              <w:tc>
                <w:tcPr>
                  <w:tcW w:w="567" w:type="dxa"/>
                  <w:tcBorders>
                    <w:tl2br w:val="nil"/>
                    <w:tr2bl w:val="nil"/>
                  </w:tcBorders>
                  <w:vAlign w:val="center"/>
                </w:tcPr>
                <w:p w14:paraId="77427E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000</w:t>
                  </w:r>
                </w:p>
              </w:tc>
              <w:tc>
                <w:tcPr>
                  <w:tcW w:w="551" w:type="dxa"/>
                  <w:tcBorders>
                    <w:tl2br w:val="nil"/>
                    <w:tr2bl w:val="nil"/>
                  </w:tcBorders>
                  <w:vAlign w:val="center"/>
                </w:tcPr>
                <w:p w14:paraId="3C2B91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7200</w:t>
                  </w:r>
                </w:p>
              </w:tc>
              <w:tc>
                <w:tcPr>
                  <w:tcW w:w="728" w:type="dxa"/>
                  <w:tcBorders>
                    <w:tl2br w:val="nil"/>
                    <w:tr2bl w:val="nil"/>
                  </w:tcBorders>
                  <w:vAlign w:val="center"/>
                </w:tcPr>
                <w:p w14:paraId="5348852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vAlign w:val="center"/>
                </w:tcPr>
                <w:p w14:paraId="35FA389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2.19</w:t>
                  </w:r>
                </w:p>
              </w:tc>
              <w:tc>
                <w:tcPr>
                  <w:tcW w:w="557" w:type="dxa"/>
                  <w:tcBorders>
                    <w:right w:val="single" w:color="auto" w:sz="4" w:space="0"/>
                    <w:tl2br w:val="nil"/>
                    <w:tr2bl w:val="nil"/>
                  </w:tcBorders>
                  <w:vAlign w:val="center"/>
                </w:tcPr>
                <w:p w14:paraId="61267D15">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6.570 </w:t>
                  </w:r>
                </w:p>
              </w:tc>
              <w:tc>
                <w:tcPr>
                  <w:tcW w:w="600" w:type="dxa"/>
                  <w:tcBorders>
                    <w:left w:val="single" w:color="auto" w:sz="4" w:space="0"/>
                    <w:tl2br w:val="nil"/>
                    <w:tr2bl w:val="nil"/>
                  </w:tcBorders>
                  <w:vAlign w:val="center"/>
                </w:tcPr>
                <w:p w14:paraId="0D2E9B06">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0.913 </w:t>
                  </w:r>
                </w:p>
              </w:tc>
              <w:tc>
                <w:tcPr>
                  <w:tcW w:w="525" w:type="dxa"/>
                  <w:tcBorders>
                    <w:right w:val="single" w:color="auto" w:sz="4" w:space="0"/>
                    <w:tl2br w:val="nil"/>
                    <w:tr2bl w:val="nil"/>
                  </w:tcBorders>
                  <w:vAlign w:val="center"/>
                </w:tcPr>
                <w:p w14:paraId="7BACBBB2">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493" w:type="dxa"/>
                  <w:tcBorders>
                    <w:left w:val="single" w:color="auto" w:sz="4" w:space="0"/>
                    <w:tl2br w:val="nil"/>
                    <w:tr2bl w:val="nil"/>
                  </w:tcBorders>
                  <w:vAlign w:val="center"/>
                </w:tcPr>
                <w:p w14:paraId="4F9ED0F9">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36" w:type="dxa"/>
                  <w:tcBorders>
                    <w:right w:val="single" w:color="auto" w:sz="4" w:space="0"/>
                    <w:tl2br w:val="nil"/>
                    <w:tr2bl w:val="nil"/>
                  </w:tcBorders>
                  <w:vAlign w:val="center"/>
                </w:tcPr>
                <w:p w14:paraId="5386F140">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6.570 </w:t>
                  </w:r>
                </w:p>
              </w:tc>
              <w:tc>
                <w:tcPr>
                  <w:tcW w:w="589" w:type="dxa"/>
                  <w:tcBorders>
                    <w:left w:val="single" w:color="auto" w:sz="4" w:space="0"/>
                    <w:tl2br w:val="nil"/>
                    <w:tr2bl w:val="nil"/>
                  </w:tcBorders>
                  <w:vAlign w:val="center"/>
                </w:tcPr>
                <w:p w14:paraId="15D68D1A">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0.913 </w:t>
                  </w:r>
                </w:p>
              </w:tc>
              <w:tc>
                <w:tcPr>
                  <w:tcW w:w="514" w:type="dxa"/>
                  <w:vMerge w:val="restart"/>
                  <w:tcBorders>
                    <w:tl2br w:val="nil"/>
                    <w:tr2bl w:val="nil"/>
                  </w:tcBorders>
                  <w:vAlign w:val="center"/>
                </w:tcPr>
                <w:p w14:paraId="388EE9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1#厂房</w:t>
                  </w:r>
                </w:p>
              </w:tc>
            </w:tr>
            <w:tr w14:paraId="48A2D4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9" w:type="dxa"/>
                  <w:vMerge w:val="continue"/>
                  <w:tcBorders>
                    <w:right w:val="single" w:color="auto" w:sz="4" w:space="0"/>
                    <w:tl2br w:val="nil"/>
                    <w:tr2bl w:val="nil"/>
                  </w:tcBorders>
                  <w:vAlign w:val="center"/>
                </w:tcPr>
                <w:p w14:paraId="6BF30D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908" w:type="dxa"/>
                  <w:tcBorders>
                    <w:left w:val="single" w:color="auto" w:sz="4" w:space="0"/>
                    <w:tl2br w:val="nil"/>
                    <w:tr2bl w:val="nil"/>
                  </w:tcBorders>
                  <w:vAlign w:val="center"/>
                </w:tcPr>
                <w:p w14:paraId="16BA7D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二次</w:t>
                  </w:r>
                  <w:r>
                    <w:rPr>
                      <w:rFonts w:hint="eastAsia" w:ascii="Times New Roman" w:hAnsi="Times New Roman" w:eastAsia="宋体" w:cs="Times New Roman"/>
                      <w:color w:val="auto"/>
                      <w:spacing w:val="-1"/>
                      <w:sz w:val="18"/>
                      <w:szCs w:val="18"/>
                      <w:lang w:val="en-US" w:eastAsia="zh-CN"/>
                    </w:rPr>
                    <w:t>抛丸</w:t>
                  </w:r>
                </w:p>
              </w:tc>
              <w:tc>
                <w:tcPr>
                  <w:tcW w:w="441" w:type="dxa"/>
                  <w:vMerge w:val="continue"/>
                  <w:tcBorders>
                    <w:tl2br w:val="nil"/>
                    <w:tr2bl w:val="nil"/>
                  </w:tcBorders>
                  <w:vAlign w:val="center"/>
                </w:tcPr>
                <w:p w14:paraId="21F046D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67" w:type="dxa"/>
                  <w:tcBorders>
                    <w:tl2br w:val="nil"/>
                    <w:tr2bl w:val="nil"/>
                  </w:tcBorders>
                  <w:shd w:val="clear" w:color="auto" w:fill="auto"/>
                  <w:vAlign w:val="center"/>
                </w:tcPr>
                <w:p w14:paraId="27CEB35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bidi="ar-SA"/>
                    </w:rPr>
                  </w:pPr>
                  <w:r>
                    <w:rPr>
                      <w:rFonts w:hint="eastAsia" w:ascii="Times New Roman" w:hAnsi="Times New Roman" w:eastAsia="宋体"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000</w:t>
                  </w:r>
                </w:p>
              </w:tc>
              <w:tc>
                <w:tcPr>
                  <w:tcW w:w="551" w:type="dxa"/>
                  <w:tcBorders>
                    <w:tl2br w:val="nil"/>
                    <w:tr2bl w:val="nil"/>
                  </w:tcBorders>
                  <w:shd w:val="clear" w:color="auto" w:fill="auto"/>
                  <w:vAlign w:val="center"/>
                </w:tcPr>
                <w:p w14:paraId="6A7FC5F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eastAsia="宋体" w:cs="Times New Roman"/>
                      <w:color w:val="auto"/>
                      <w:spacing w:val="-1"/>
                      <w:sz w:val="18"/>
                      <w:szCs w:val="18"/>
                    </w:rPr>
                    <w:t>7200</w:t>
                  </w:r>
                </w:p>
              </w:tc>
              <w:tc>
                <w:tcPr>
                  <w:tcW w:w="728" w:type="dxa"/>
                  <w:tcBorders>
                    <w:tl2br w:val="nil"/>
                    <w:tr2bl w:val="nil"/>
                  </w:tcBorders>
                  <w:shd w:val="clear" w:color="auto" w:fill="auto"/>
                  <w:vAlign w:val="center"/>
                </w:tcPr>
                <w:p w14:paraId="152A8E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shd w:val="clear" w:color="auto" w:fill="auto"/>
                  <w:vAlign w:val="center"/>
                </w:tcPr>
                <w:p w14:paraId="21A4A5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eastAsia="宋体" w:cs="Times New Roman"/>
                      <w:color w:val="auto"/>
                      <w:spacing w:val="-1"/>
                      <w:sz w:val="18"/>
                      <w:szCs w:val="18"/>
                    </w:rPr>
                    <w:t>2.19</w:t>
                  </w:r>
                </w:p>
              </w:tc>
              <w:tc>
                <w:tcPr>
                  <w:tcW w:w="557" w:type="dxa"/>
                  <w:tcBorders>
                    <w:right w:val="single" w:color="auto" w:sz="4" w:space="0"/>
                    <w:tl2br w:val="nil"/>
                    <w:tr2bl w:val="nil"/>
                  </w:tcBorders>
                  <w:shd w:val="clear" w:color="auto" w:fill="auto"/>
                  <w:vAlign w:val="center"/>
                </w:tcPr>
                <w:p w14:paraId="3B2E5253">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6.570 </w:t>
                  </w:r>
                </w:p>
              </w:tc>
              <w:tc>
                <w:tcPr>
                  <w:tcW w:w="600" w:type="dxa"/>
                  <w:tcBorders>
                    <w:left w:val="single" w:color="auto" w:sz="4" w:space="0"/>
                    <w:tl2br w:val="nil"/>
                    <w:tr2bl w:val="nil"/>
                  </w:tcBorders>
                  <w:vAlign w:val="center"/>
                </w:tcPr>
                <w:p w14:paraId="50AE569E">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0.913 </w:t>
                  </w:r>
                </w:p>
              </w:tc>
              <w:tc>
                <w:tcPr>
                  <w:tcW w:w="525" w:type="dxa"/>
                  <w:tcBorders>
                    <w:right w:val="single" w:color="auto" w:sz="4" w:space="0"/>
                    <w:tl2br w:val="nil"/>
                    <w:tr2bl w:val="nil"/>
                  </w:tcBorders>
                  <w:vAlign w:val="center"/>
                </w:tcPr>
                <w:p w14:paraId="10E5AC94">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493" w:type="dxa"/>
                  <w:tcBorders>
                    <w:left w:val="single" w:color="auto" w:sz="4" w:space="0"/>
                    <w:tl2br w:val="nil"/>
                    <w:tr2bl w:val="nil"/>
                  </w:tcBorders>
                  <w:vAlign w:val="center"/>
                </w:tcPr>
                <w:p w14:paraId="119E2160">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36" w:type="dxa"/>
                  <w:tcBorders>
                    <w:right w:val="single" w:color="auto" w:sz="4" w:space="0"/>
                    <w:tl2br w:val="nil"/>
                    <w:tr2bl w:val="nil"/>
                  </w:tcBorders>
                  <w:vAlign w:val="center"/>
                </w:tcPr>
                <w:p w14:paraId="1E7AF45A">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6.570 </w:t>
                  </w:r>
                </w:p>
              </w:tc>
              <w:tc>
                <w:tcPr>
                  <w:tcW w:w="589" w:type="dxa"/>
                  <w:tcBorders>
                    <w:left w:val="single" w:color="auto" w:sz="4" w:space="0"/>
                    <w:tl2br w:val="nil"/>
                    <w:tr2bl w:val="nil"/>
                  </w:tcBorders>
                  <w:vAlign w:val="center"/>
                </w:tcPr>
                <w:p w14:paraId="17D239AC">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0.913 </w:t>
                  </w:r>
                </w:p>
              </w:tc>
              <w:tc>
                <w:tcPr>
                  <w:tcW w:w="514" w:type="dxa"/>
                  <w:vMerge w:val="continue"/>
                  <w:tcBorders>
                    <w:tl2br w:val="nil"/>
                    <w:tr2bl w:val="nil"/>
                  </w:tcBorders>
                  <w:vAlign w:val="center"/>
                </w:tcPr>
                <w:p w14:paraId="1D0EE9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69104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9" w:type="dxa"/>
                  <w:vMerge w:val="restart"/>
                  <w:tcBorders>
                    <w:right w:val="single" w:color="auto" w:sz="4" w:space="0"/>
                    <w:tl2br w:val="nil"/>
                    <w:tr2bl w:val="nil"/>
                  </w:tcBorders>
                  <w:vAlign w:val="center"/>
                </w:tcPr>
                <w:p w14:paraId="5F5D4FC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粘土砂铸造</w:t>
                  </w:r>
                </w:p>
              </w:tc>
              <w:tc>
                <w:tcPr>
                  <w:tcW w:w="908" w:type="dxa"/>
                  <w:tcBorders>
                    <w:left w:val="single" w:color="auto" w:sz="4" w:space="0"/>
                    <w:tl2br w:val="nil"/>
                    <w:tr2bl w:val="nil"/>
                  </w:tcBorders>
                  <w:vAlign w:val="center"/>
                </w:tcPr>
                <w:p w14:paraId="7668557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清理打磨</w:t>
                  </w:r>
                </w:p>
              </w:tc>
              <w:tc>
                <w:tcPr>
                  <w:tcW w:w="441" w:type="dxa"/>
                  <w:vMerge w:val="continue"/>
                  <w:tcBorders>
                    <w:tl2br w:val="nil"/>
                    <w:tr2bl w:val="nil"/>
                  </w:tcBorders>
                  <w:vAlign w:val="center"/>
                </w:tcPr>
                <w:p w14:paraId="2D60F02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67" w:type="dxa"/>
                  <w:tcBorders>
                    <w:tl2br w:val="nil"/>
                    <w:tr2bl w:val="nil"/>
                  </w:tcBorders>
                  <w:vAlign w:val="center"/>
                </w:tcPr>
                <w:p w14:paraId="79755D0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6</w:t>
                  </w:r>
                  <w:r>
                    <w:rPr>
                      <w:rFonts w:hint="default" w:ascii="Times New Roman" w:hAnsi="Times New Roman" w:eastAsia="宋体" w:cs="Times New Roman"/>
                      <w:color w:val="auto"/>
                      <w:spacing w:val="-1"/>
                      <w:sz w:val="18"/>
                      <w:szCs w:val="18"/>
                    </w:rPr>
                    <w:t>000</w:t>
                  </w:r>
                </w:p>
              </w:tc>
              <w:tc>
                <w:tcPr>
                  <w:tcW w:w="551" w:type="dxa"/>
                  <w:tcBorders>
                    <w:tl2br w:val="nil"/>
                    <w:tr2bl w:val="nil"/>
                  </w:tcBorders>
                  <w:vAlign w:val="center"/>
                </w:tcPr>
                <w:p w14:paraId="602BD2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7200</w:t>
                  </w:r>
                </w:p>
              </w:tc>
              <w:tc>
                <w:tcPr>
                  <w:tcW w:w="728" w:type="dxa"/>
                  <w:tcBorders>
                    <w:tl2br w:val="nil"/>
                    <w:tr2bl w:val="nil"/>
                  </w:tcBorders>
                  <w:vAlign w:val="center"/>
                </w:tcPr>
                <w:p w14:paraId="72B713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vAlign w:val="center"/>
                </w:tcPr>
                <w:p w14:paraId="6C9F9D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2.19</w:t>
                  </w:r>
                </w:p>
              </w:tc>
              <w:tc>
                <w:tcPr>
                  <w:tcW w:w="557" w:type="dxa"/>
                  <w:tcBorders>
                    <w:right w:val="single" w:color="auto" w:sz="4" w:space="0"/>
                    <w:tl2br w:val="nil"/>
                    <w:tr2bl w:val="nil"/>
                  </w:tcBorders>
                  <w:vAlign w:val="center"/>
                </w:tcPr>
                <w:p w14:paraId="14B1A7E1">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600" w:type="dxa"/>
                  <w:tcBorders>
                    <w:left w:val="single" w:color="auto" w:sz="4" w:space="0"/>
                    <w:tl2br w:val="nil"/>
                    <w:tr2bl w:val="nil"/>
                  </w:tcBorders>
                  <w:vAlign w:val="center"/>
                </w:tcPr>
                <w:p w14:paraId="475C80DD">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25" w:type="dxa"/>
                  <w:tcBorders>
                    <w:right w:val="single" w:color="auto" w:sz="4" w:space="0"/>
                    <w:tl2br w:val="nil"/>
                    <w:tr2bl w:val="nil"/>
                  </w:tcBorders>
                  <w:vAlign w:val="center"/>
                </w:tcPr>
                <w:p w14:paraId="7F81C258">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493" w:type="dxa"/>
                  <w:tcBorders>
                    <w:left w:val="single" w:color="auto" w:sz="4" w:space="0"/>
                    <w:tl2br w:val="nil"/>
                    <w:tr2bl w:val="nil"/>
                  </w:tcBorders>
                  <w:vAlign w:val="center"/>
                </w:tcPr>
                <w:p w14:paraId="160012C0">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36" w:type="dxa"/>
                  <w:tcBorders>
                    <w:right w:val="single" w:color="auto" w:sz="4" w:space="0"/>
                    <w:tl2br w:val="nil"/>
                    <w:tr2bl w:val="nil"/>
                  </w:tcBorders>
                  <w:vAlign w:val="center"/>
                </w:tcPr>
                <w:p w14:paraId="7A7C0DDF">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589" w:type="dxa"/>
                  <w:tcBorders>
                    <w:left w:val="single" w:color="auto" w:sz="4" w:space="0"/>
                    <w:tl2br w:val="nil"/>
                    <w:tr2bl w:val="nil"/>
                  </w:tcBorders>
                  <w:vAlign w:val="center"/>
                </w:tcPr>
                <w:p w14:paraId="7AC89BD6">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14" w:type="dxa"/>
                  <w:vMerge w:val="continue"/>
                  <w:tcBorders>
                    <w:tl2br w:val="nil"/>
                    <w:tr2bl w:val="nil"/>
                  </w:tcBorders>
                  <w:vAlign w:val="center"/>
                </w:tcPr>
                <w:p w14:paraId="2A33805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397AC2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9" w:type="dxa"/>
                  <w:vMerge w:val="continue"/>
                  <w:tcBorders>
                    <w:right w:val="single" w:color="auto" w:sz="4" w:space="0"/>
                    <w:tl2br w:val="nil"/>
                    <w:tr2bl w:val="nil"/>
                  </w:tcBorders>
                  <w:vAlign w:val="center"/>
                </w:tcPr>
                <w:p w14:paraId="5A01E9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908" w:type="dxa"/>
                  <w:tcBorders>
                    <w:left w:val="single" w:color="auto" w:sz="4" w:space="0"/>
                    <w:tl2br w:val="nil"/>
                    <w:tr2bl w:val="nil"/>
                  </w:tcBorders>
                  <w:vAlign w:val="center"/>
                </w:tcPr>
                <w:p w14:paraId="1E764BE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二次</w:t>
                  </w:r>
                  <w:r>
                    <w:rPr>
                      <w:rFonts w:hint="eastAsia" w:ascii="Times New Roman" w:hAnsi="Times New Roman" w:eastAsia="宋体" w:cs="Times New Roman"/>
                      <w:color w:val="auto"/>
                      <w:spacing w:val="-1"/>
                      <w:sz w:val="18"/>
                      <w:szCs w:val="18"/>
                      <w:lang w:val="en-US" w:eastAsia="zh-CN"/>
                    </w:rPr>
                    <w:t>抛丸</w:t>
                  </w:r>
                </w:p>
              </w:tc>
              <w:tc>
                <w:tcPr>
                  <w:tcW w:w="441" w:type="dxa"/>
                  <w:vMerge w:val="continue"/>
                  <w:tcBorders>
                    <w:tl2br w:val="nil"/>
                    <w:tr2bl w:val="nil"/>
                  </w:tcBorders>
                  <w:vAlign w:val="center"/>
                </w:tcPr>
                <w:p w14:paraId="7CD6F1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67" w:type="dxa"/>
                  <w:tcBorders>
                    <w:tl2br w:val="nil"/>
                    <w:tr2bl w:val="nil"/>
                  </w:tcBorders>
                  <w:vAlign w:val="center"/>
                </w:tcPr>
                <w:p w14:paraId="13B18FD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6</w:t>
                  </w:r>
                  <w:r>
                    <w:rPr>
                      <w:rFonts w:hint="default" w:ascii="Times New Roman" w:hAnsi="Times New Roman" w:eastAsia="宋体" w:cs="Times New Roman"/>
                      <w:color w:val="auto"/>
                      <w:spacing w:val="-1"/>
                      <w:sz w:val="18"/>
                      <w:szCs w:val="18"/>
                    </w:rPr>
                    <w:t>000</w:t>
                  </w:r>
                </w:p>
              </w:tc>
              <w:tc>
                <w:tcPr>
                  <w:tcW w:w="551" w:type="dxa"/>
                  <w:tcBorders>
                    <w:tl2br w:val="nil"/>
                    <w:tr2bl w:val="nil"/>
                  </w:tcBorders>
                  <w:vAlign w:val="center"/>
                </w:tcPr>
                <w:p w14:paraId="51DA7D4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7200</w:t>
                  </w:r>
                </w:p>
              </w:tc>
              <w:tc>
                <w:tcPr>
                  <w:tcW w:w="728" w:type="dxa"/>
                  <w:tcBorders>
                    <w:tl2br w:val="nil"/>
                    <w:tr2bl w:val="nil"/>
                  </w:tcBorders>
                  <w:vAlign w:val="center"/>
                </w:tcPr>
                <w:p w14:paraId="5F1B304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shd w:val="clear" w:color="auto" w:fill="auto"/>
                  <w:vAlign w:val="center"/>
                </w:tcPr>
                <w:p w14:paraId="69A874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color w:val="auto"/>
                      <w:spacing w:val="-1"/>
                      <w:sz w:val="18"/>
                      <w:szCs w:val="18"/>
                    </w:rPr>
                    <w:t>2.19</w:t>
                  </w:r>
                </w:p>
              </w:tc>
              <w:tc>
                <w:tcPr>
                  <w:tcW w:w="557" w:type="dxa"/>
                  <w:tcBorders>
                    <w:right w:val="single" w:color="auto" w:sz="4" w:space="0"/>
                    <w:tl2br w:val="nil"/>
                    <w:tr2bl w:val="nil"/>
                  </w:tcBorders>
                  <w:shd w:val="clear" w:color="auto" w:fill="auto"/>
                  <w:vAlign w:val="center"/>
                </w:tcPr>
                <w:p w14:paraId="7133AA6C">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600" w:type="dxa"/>
                  <w:tcBorders>
                    <w:left w:val="single" w:color="auto" w:sz="4" w:space="0"/>
                    <w:tl2br w:val="nil"/>
                    <w:tr2bl w:val="nil"/>
                  </w:tcBorders>
                  <w:shd w:val="clear" w:color="auto" w:fill="auto"/>
                  <w:vAlign w:val="center"/>
                </w:tcPr>
                <w:p w14:paraId="028D3C7C">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25" w:type="dxa"/>
                  <w:tcBorders>
                    <w:right w:val="single" w:color="auto" w:sz="4" w:space="0"/>
                    <w:tl2br w:val="nil"/>
                    <w:tr2bl w:val="nil"/>
                  </w:tcBorders>
                  <w:shd w:val="clear" w:color="auto" w:fill="auto"/>
                  <w:vAlign w:val="center"/>
                </w:tcPr>
                <w:p w14:paraId="261D41EB">
                  <w:pPr>
                    <w:jc w:val="center"/>
                    <w:rPr>
                      <w:rFonts w:hint="eastAsia"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0</w:t>
                  </w:r>
                </w:p>
              </w:tc>
              <w:tc>
                <w:tcPr>
                  <w:tcW w:w="493" w:type="dxa"/>
                  <w:tcBorders>
                    <w:left w:val="single" w:color="auto" w:sz="4" w:space="0"/>
                    <w:tl2br w:val="nil"/>
                    <w:tr2bl w:val="nil"/>
                  </w:tcBorders>
                  <w:shd w:val="clear" w:color="auto" w:fill="auto"/>
                  <w:vAlign w:val="center"/>
                </w:tcPr>
                <w:p w14:paraId="03D24717">
                  <w:pPr>
                    <w:jc w:val="center"/>
                    <w:rPr>
                      <w:rFonts w:hint="eastAsia"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0</w:t>
                  </w:r>
                </w:p>
              </w:tc>
              <w:tc>
                <w:tcPr>
                  <w:tcW w:w="536" w:type="dxa"/>
                  <w:tcBorders>
                    <w:right w:val="single" w:color="auto" w:sz="4" w:space="0"/>
                    <w:tl2br w:val="nil"/>
                    <w:tr2bl w:val="nil"/>
                  </w:tcBorders>
                  <w:shd w:val="clear" w:color="auto" w:fill="auto"/>
                  <w:vAlign w:val="center"/>
                </w:tcPr>
                <w:p w14:paraId="4A733B8C">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589" w:type="dxa"/>
                  <w:tcBorders>
                    <w:left w:val="single" w:color="auto" w:sz="4" w:space="0"/>
                    <w:tl2br w:val="nil"/>
                    <w:tr2bl w:val="nil"/>
                  </w:tcBorders>
                  <w:shd w:val="clear" w:color="auto" w:fill="auto"/>
                  <w:vAlign w:val="center"/>
                </w:tcPr>
                <w:p w14:paraId="47133D69">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14" w:type="dxa"/>
                  <w:vMerge w:val="continue"/>
                  <w:tcBorders>
                    <w:tl2br w:val="nil"/>
                    <w:tr2bl w:val="nil"/>
                  </w:tcBorders>
                  <w:vAlign w:val="center"/>
                </w:tcPr>
                <w:p w14:paraId="4F44917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53A83F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9" w:type="dxa"/>
                  <w:vMerge w:val="restart"/>
                  <w:tcBorders>
                    <w:right w:val="single" w:color="auto" w:sz="4" w:space="0"/>
                    <w:tl2br w:val="nil"/>
                    <w:tr2bl w:val="nil"/>
                  </w:tcBorders>
                  <w:vAlign w:val="center"/>
                </w:tcPr>
                <w:p w14:paraId="5D56DF2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树脂自硬砂铸造</w:t>
                  </w:r>
                </w:p>
              </w:tc>
              <w:tc>
                <w:tcPr>
                  <w:tcW w:w="908" w:type="dxa"/>
                  <w:tcBorders>
                    <w:left w:val="single" w:color="auto" w:sz="4" w:space="0"/>
                    <w:tl2br w:val="nil"/>
                    <w:tr2bl w:val="nil"/>
                  </w:tcBorders>
                  <w:vAlign w:val="center"/>
                </w:tcPr>
                <w:p w14:paraId="35B58DF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清理打磨</w:t>
                  </w:r>
                </w:p>
              </w:tc>
              <w:tc>
                <w:tcPr>
                  <w:tcW w:w="441" w:type="dxa"/>
                  <w:vMerge w:val="continue"/>
                  <w:tcBorders>
                    <w:tl2br w:val="nil"/>
                    <w:tr2bl w:val="nil"/>
                  </w:tcBorders>
                  <w:vAlign w:val="center"/>
                </w:tcPr>
                <w:p w14:paraId="5A3127D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67" w:type="dxa"/>
                  <w:tcBorders>
                    <w:tl2br w:val="nil"/>
                    <w:tr2bl w:val="nil"/>
                  </w:tcBorders>
                  <w:vAlign w:val="center"/>
                </w:tcPr>
                <w:p w14:paraId="34252C6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6000</w:t>
                  </w:r>
                </w:p>
              </w:tc>
              <w:tc>
                <w:tcPr>
                  <w:tcW w:w="551" w:type="dxa"/>
                  <w:tcBorders>
                    <w:tl2br w:val="nil"/>
                    <w:tr2bl w:val="nil"/>
                  </w:tcBorders>
                  <w:vAlign w:val="center"/>
                </w:tcPr>
                <w:p w14:paraId="26532A6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7200</w:t>
                  </w:r>
                </w:p>
              </w:tc>
              <w:tc>
                <w:tcPr>
                  <w:tcW w:w="728" w:type="dxa"/>
                  <w:tcBorders>
                    <w:tl2br w:val="nil"/>
                    <w:tr2bl w:val="nil"/>
                  </w:tcBorders>
                  <w:vAlign w:val="center"/>
                </w:tcPr>
                <w:p w14:paraId="7C27B6C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vAlign w:val="center"/>
                </w:tcPr>
                <w:p w14:paraId="2C9EF26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2.19</w:t>
                  </w:r>
                </w:p>
              </w:tc>
              <w:tc>
                <w:tcPr>
                  <w:tcW w:w="557" w:type="dxa"/>
                  <w:tcBorders>
                    <w:right w:val="single" w:color="auto" w:sz="4" w:space="0"/>
                    <w:tl2br w:val="nil"/>
                    <w:tr2bl w:val="nil"/>
                  </w:tcBorders>
                  <w:vAlign w:val="center"/>
                </w:tcPr>
                <w:p w14:paraId="113C85A2">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600" w:type="dxa"/>
                  <w:tcBorders>
                    <w:left w:val="single" w:color="auto" w:sz="4" w:space="0"/>
                    <w:tl2br w:val="nil"/>
                    <w:tr2bl w:val="nil"/>
                  </w:tcBorders>
                  <w:vAlign w:val="center"/>
                </w:tcPr>
                <w:p w14:paraId="2E483FB1">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25" w:type="dxa"/>
                  <w:tcBorders>
                    <w:right w:val="single" w:color="auto" w:sz="4" w:space="0"/>
                    <w:tl2br w:val="nil"/>
                    <w:tr2bl w:val="nil"/>
                  </w:tcBorders>
                  <w:vAlign w:val="center"/>
                </w:tcPr>
                <w:p w14:paraId="39622339">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493" w:type="dxa"/>
                  <w:tcBorders>
                    <w:left w:val="single" w:color="auto" w:sz="4" w:space="0"/>
                    <w:tl2br w:val="nil"/>
                    <w:tr2bl w:val="nil"/>
                  </w:tcBorders>
                  <w:vAlign w:val="center"/>
                </w:tcPr>
                <w:p w14:paraId="2F95867A">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36" w:type="dxa"/>
                  <w:tcBorders>
                    <w:right w:val="single" w:color="auto" w:sz="4" w:space="0"/>
                    <w:tl2br w:val="nil"/>
                    <w:tr2bl w:val="nil"/>
                  </w:tcBorders>
                  <w:vAlign w:val="center"/>
                </w:tcPr>
                <w:p w14:paraId="66E28F31">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589" w:type="dxa"/>
                  <w:tcBorders>
                    <w:left w:val="single" w:color="auto" w:sz="4" w:space="0"/>
                    <w:tl2br w:val="nil"/>
                    <w:tr2bl w:val="nil"/>
                  </w:tcBorders>
                  <w:vAlign w:val="center"/>
                </w:tcPr>
                <w:p w14:paraId="42227450">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14" w:type="dxa"/>
                  <w:vMerge w:val="continue"/>
                  <w:tcBorders>
                    <w:tl2br w:val="nil"/>
                    <w:tr2bl w:val="nil"/>
                  </w:tcBorders>
                  <w:vAlign w:val="center"/>
                </w:tcPr>
                <w:p w14:paraId="364BFE5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449CA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9" w:type="dxa"/>
                  <w:vMerge w:val="continue"/>
                  <w:tcBorders>
                    <w:right w:val="single" w:color="auto" w:sz="4" w:space="0"/>
                    <w:tl2br w:val="nil"/>
                    <w:tr2bl w:val="nil"/>
                  </w:tcBorders>
                  <w:vAlign w:val="center"/>
                </w:tcPr>
                <w:p w14:paraId="0E9A35D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908" w:type="dxa"/>
                  <w:tcBorders>
                    <w:left w:val="single" w:color="auto" w:sz="4" w:space="0"/>
                    <w:tl2br w:val="nil"/>
                    <w:tr2bl w:val="nil"/>
                  </w:tcBorders>
                  <w:vAlign w:val="center"/>
                </w:tcPr>
                <w:p w14:paraId="697C889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二次</w:t>
                  </w:r>
                  <w:r>
                    <w:rPr>
                      <w:rFonts w:hint="eastAsia" w:ascii="Times New Roman" w:hAnsi="Times New Roman" w:eastAsia="宋体" w:cs="Times New Roman"/>
                      <w:color w:val="auto"/>
                      <w:spacing w:val="-1"/>
                      <w:sz w:val="18"/>
                      <w:szCs w:val="18"/>
                      <w:lang w:val="en-US" w:eastAsia="zh-CN"/>
                    </w:rPr>
                    <w:t>抛丸</w:t>
                  </w:r>
                </w:p>
              </w:tc>
              <w:tc>
                <w:tcPr>
                  <w:tcW w:w="441" w:type="dxa"/>
                  <w:vMerge w:val="continue"/>
                  <w:tcBorders>
                    <w:tl2br w:val="nil"/>
                    <w:tr2bl w:val="nil"/>
                  </w:tcBorders>
                  <w:vAlign w:val="center"/>
                </w:tcPr>
                <w:p w14:paraId="074CBD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67" w:type="dxa"/>
                  <w:tcBorders>
                    <w:tl2br w:val="nil"/>
                    <w:tr2bl w:val="nil"/>
                  </w:tcBorders>
                  <w:vAlign w:val="center"/>
                </w:tcPr>
                <w:p w14:paraId="0B14320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6</w:t>
                  </w:r>
                  <w:r>
                    <w:rPr>
                      <w:rFonts w:hint="default" w:ascii="Times New Roman" w:hAnsi="Times New Roman" w:eastAsia="宋体" w:cs="Times New Roman"/>
                      <w:color w:val="auto"/>
                      <w:spacing w:val="-1"/>
                      <w:sz w:val="18"/>
                      <w:szCs w:val="18"/>
                    </w:rPr>
                    <w:t>000</w:t>
                  </w:r>
                </w:p>
              </w:tc>
              <w:tc>
                <w:tcPr>
                  <w:tcW w:w="551" w:type="dxa"/>
                  <w:tcBorders>
                    <w:tl2br w:val="nil"/>
                    <w:tr2bl w:val="nil"/>
                  </w:tcBorders>
                  <w:vAlign w:val="center"/>
                </w:tcPr>
                <w:p w14:paraId="7DEAB0F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7200</w:t>
                  </w:r>
                </w:p>
              </w:tc>
              <w:tc>
                <w:tcPr>
                  <w:tcW w:w="728" w:type="dxa"/>
                  <w:tcBorders>
                    <w:tl2br w:val="nil"/>
                    <w:tr2bl w:val="nil"/>
                  </w:tcBorders>
                  <w:vAlign w:val="center"/>
                </w:tcPr>
                <w:p w14:paraId="3FFE8B1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shd w:val="clear" w:color="auto" w:fill="auto"/>
                  <w:vAlign w:val="center"/>
                </w:tcPr>
                <w:p w14:paraId="703EBF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color w:val="auto"/>
                      <w:spacing w:val="-1"/>
                      <w:sz w:val="18"/>
                      <w:szCs w:val="18"/>
                    </w:rPr>
                    <w:t>2.19</w:t>
                  </w:r>
                </w:p>
              </w:tc>
              <w:tc>
                <w:tcPr>
                  <w:tcW w:w="557" w:type="dxa"/>
                  <w:tcBorders>
                    <w:right w:val="single" w:color="auto" w:sz="4" w:space="0"/>
                    <w:tl2br w:val="nil"/>
                    <w:tr2bl w:val="nil"/>
                  </w:tcBorders>
                  <w:shd w:val="clear" w:color="auto" w:fill="auto"/>
                  <w:vAlign w:val="center"/>
                </w:tcPr>
                <w:p w14:paraId="43AFBE0F">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600" w:type="dxa"/>
                  <w:tcBorders>
                    <w:left w:val="single" w:color="auto" w:sz="4" w:space="0"/>
                    <w:tl2br w:val="nil"/>
                    <w:tr2bl w:val="nil"/>
                  </w:tcBorders>
                  <w:shd w:val="clear" w:color="auto" w:fill="auto"/>
                  <w:vAlign w:val="center"/>
                </w:tcPr>
                <w:p w14:paraId="45E48E99">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25" w:type="dxa"/>
                  <w:tcBorders>
                    <w:right w:val="single" w:color="auto" w:sz="4" w:space="0"/>
                    <w:tl2br w:val="nil"/>
                    <w:tr2bl w:val="nil"/>
                  </w:tcBorders>
                  <w:shd w:val="clear" w:color="auto" w:fill="auto"/>
                  <w:vAlign w:val="center"/>
                </w:tcPr>
                <w:p w14:paraId="72EBD0EB">
                  <w:pPr>
                    <w:jc w:val="center"/>
                    <w:rPr>
                      <w:rFonts w:hint="eastAsia"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0</w:t>
                  </w:r>
                </w:p>
              </w:tc>
              <w:tc>
                <w:tcPr>
                  <w:tcW w:w="493" w:type="dxa"/>
                  <w:tcBorders>
                    <w:left w:val="single" w:color="auto" w:sz="4" w:space="0"/>
                    <w:tl2br w:val="nil"/>
                    <w:tr2bl w:val="nil"/>
                  </w:tcBorders>
                  <w:shd w:val="clear" w:color="auto" w:fill="auto"/>
                  <w:vAlign w:val="center"/>
                </w:tcPr>
                <w:p w14:paraId="79F8C41C">
                  <w:pPr>
                    <w:jc w:val="center"/>
                    <w:rPr>
                      <w:rFonts w:hint="eastAsia"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0</w:t>
                  </w:r>
                </w:p>
              </w:tc>
              <w:tc>
                <w:tcPr>
                  <w:tcW w:w="536" w:type="dxa"/>
                  <w:tcBorders>
                    <w:right w:val="single" w:color="auto" w:sz="4" w:space="0"/>
                    <w:tl2br w:val="nil"/>
                    <w:tr2bl w:val="nil"/>
                  </w:tcBorders>
                  <w:shd w:val="clear" w:color="auto" w:fill="auto"/>
                  <w:vAlign w:val="center"/>
                </w:tcPr>
                <w:p w14:paraId="2E6EF9AC">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13.140 </w:t>
                  </w:r>
                </w:p>
              </w:tc>
              <w:tc>
                <w:tcPr>
                  <w:tcW w:w="589" w:type="dxa"/>
                  <w:tcBorders>
                    <w:left w:val="single" w:color="auto" w:sz="4" w:space="0"/>
                    <w:tl2br w:val="nil"/>
                    <w:tr2bl w:val="nil"/>
                  </w:tcBorders>
                  <w:shd w:val="clear" w:color="auto" w:fill="auto"/>
                  <w:vAlign w:val="center"/>
                </w:tcPr>
                <w:p w14:paraId="311B3A1D">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1.825 </w:t>
                  </w:r>
                </w:p>
              </w:tc>
              <w:tc>
                <w:tcPr>
                  <w:tcW w:w="514" w:type="dxa"/>
                  <w:vMerge w:val="continue"/>
                  <w:tcBorders>
                    <w:tl2br w:val="nil"/>
                    <w:tr2bl w:val="nil"/>
                  </w:tcBorders>
                  <w:vAlign w:val="center"/>
                </w:tcPr>
                <w:p w14:paraId="6C3F052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5CCB5D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76" w:type="dxa"/>
                  <w:gridSpan w:val="14"/>
                  <w:tcBorders>
                    <w:tl2br w:val="nil"/>
                    <w:tr2bl w:val="nil"/>
                  </w:tcBorders>
                  <w:vAlign w:val="center"/>
                </w:tcPr>
                <w:p w14:paraId="604EBA4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注：熔模铸造工件在退火处理后再次</w:t>
                  </w:r>
                  <w:r>
                    <w:rPr>
                      <w:rFonts w:hint="eastAsia" w:cs="Times New Roman"/>
                      <w:color w:val="auto"/>
                      <w:spacing w:val="-1"/>
                      <w:sz w:val="18"/>
                      <w:szCs w:val="18"/>
                      <w:lang w:val="en-US" w:eastAsia="zh-CN"/>
                    </w:rPr>
                    <w:t>进行二次</w:t>
                  </w:r>
                  <w:r>
                    <w:rPr>
                      <w:rFonts w:hint="eastAsia" w:ascii="Times New Roman" w:hAnsi="Times New Roman" w:eastAsia="宋体" w:cs="Times New Roman"/>
                      <w:color w:val="auto"/>
                      <w:spacing w:val="-1"/>
                      <w:sz w:val="18"/>
                      <w:szCs w:val="18"/>
                      <w:lang w:val="en-US" w:eastAsia="zh-CN"/>
                    </w:rPr>
                    <w:t>抛丸加工</w:t>
                  </w:r>
                  <w:r>
                    <w:rPr>
                      <w:rFonts w:hint="eastAsia" w:cs="Times New Roman"/>
                      <w:color w:val="auto"/>
                      <w:spacing w:val="-1"/>
                      <w:sz w:val="18"/>
                      <w:szCs w:val="18"/>
                      <w:lang w:val="en-US" w:eastAsia="zh-CN"/>
                    </w:rPr>
                    <w:t>，粘土砂、树脂砂铸件机加工后进行二次抛丸</w:t>
                  </w:r>
                  <w:r>
                    <w:rPr>
                      <w:rFonts w:hint="eastAsia" w:ascii="Times New Roman" w:hAnsi="Times New Roman" w:eastAsia="宋体" w:cs="Times New Roman"/>
                      <w:color w:val="auto"/>
                      <w:spacing w:val="-1"/>
                      <w:sz w:val="18"/>
                      <w:szCs w:val="18"/>
                      <w:lang w:val="en-US" w:eastAsia="zh-CN"/>
                    </w:rPr>
                    <w:t>。</w:t>
                  </w:r>
                </w:p>
              </w:tc>
            </w:tr>
          </w:tbl>
          <w:p w14:paraId="5766FE0E">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⑧</w:t>
            </w:r>
            <w:r>
              <w:rPr>
                <w:rFonts w:hint="eastAsia" w:ascii="Times New Roman" w:eastAsia="宋体"/>
                <w:color w:val="auto"/>
                <w:sz w:val="24"/>
                <w:szCs w:val="24"/>
                <w:highlight w:val="none"/>
                <w:lang w:eastAsia="zh-CN"/>
              </w:rPr>
              <w:t>喷粉废气</w:t>
            </w:r>
          </w:p>
          <w:p w14:paraId="3B13FCCB">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喷粉废气包括喷粉房内的喷粉粉尘和烘箱固化废气，均为100%密闭收集。项目烘箱以天然气为燃料，根据建设单位介绍：本项目烘箱额定用气量为</w:t>
            </w:r>
            <w:r>
              <w:rPr>
                <w:rFonts w:hint="eastAsia"/>
                <w:color w:val="auto"/>
                <w:sz w:val="24"/>
                <w:szCs w:val="24"/>
                <w:highlight w:val="none"/>
                <w:lang w:val="en-US" w:eastAsia="zh-CN"/>
              </w:rPr>
              <w:t>125</w:t>
            </w:r>
            <w:r>
              <w:rPr>
                <w:rFonts w:hint="eastAsia" w:ascii="Times New Roman" w:eastAsia="宋体"/>
                <w:color w:val="auto"/>
                <w:sz w:val="24"/>
                <w:szCs w:val="24"/>
                <w:highlight w:val="none"/>
                <w:lang w:eastAsia="zh-CN"/>
              </w:rPr>
              <w:t>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/h，年工作时间7200h，则本项目烘箱天然气年用量约为</w:t>
            </w:r>
            <w:r>
              <w:rPr>
                <w:rFonts w:hint="eastAsia"/>
                <w:color w:val="auto"/>
                <w:sz w:val="24"/>
                <w:szCs w:val="24"/>
                <w:highlight w:val="none"/>
                <w:lang w:val="en-US" w:eastAsia="zh-CN"/>
              </w:rPr>
              <w:t>90</w:t>
            </w:r>
            <w:r>
              <w:rPr>
                <w:rFonts w:hint="eastAsia" w:ascii="Times New Roman" w:eastAsia="宋体"/>
                <w:color w:val="auto"/>
                <w:sz w:val="24"/>
                <w:szCs w:val="24"/>
                <w:highlight w:val="none"/>
                <w:lang w:eastAsia="zh-CN"/>
              </w:rPr>
              <w:t>万m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/a，参考《排放源统计调查产排污核算方法和系数手册》喷塑和工业炉窑的相关产污系数，项目喷粉废气污染物产生情况详见下表。</w:t>
            </w:r>
          </w:p>
          <w:p w14:paraId="41FF3E8F">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10 </w:t>
            </w:r>
            <w:r>
              <w:rPr>
                <w:rFonts w:hint="eastAsia" w:ascii="Times New Roman" w:eastAsia="宋体"/>
                <w:b/>
                <w:bCs/>
                <w:color w:val="auto"/>
                <w:sz w:val="24"/>
                <w:szCs w:val="24"/>
                <w:highlight w:val="none"/>
                <w:lang w:eastAsia="zh-CN"/>
              </w:rPr>
              <w:t xml:space="preserve"> 喷粉废气产生情况一览表</w:t>
            </w:r>
          </w:p>
          <w:tbl>
            <w:tblPr>
              <w:tblStyle w:val="29"/>
              <w:tblW w:w="851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5"/>
              <w:gridCol w:w="892"/>
              <w:gridCol w:w="596"/>
              <w:gridCol w:w="918"/>
              <w:gridCol w:w="1396"/>
              <w:gridCol w:w="672"/>
              <w:gridCol w:w="621"/>
              <w:gridCol w:w="430"/>
              <w:gridCol w:w="543"/>
              <w:gridCol w:w="626"/>
              <w:gridCol w:w="621"/>
              <w:gridCol w:w="554"/>
            </w:tblGrid>
            <w:tr w14:paraId="3E283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restart"/>
                  <w:tcBorders>
                    <w:tl2br w:val="nil"/>
                    <w:tr2bl w:val="nil"/>
                  </w:tcBorders>
                  <w:vAlign w:val="center"/>
                </w:tcPr>
                <w:p w14:paraId="59AC3E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工艺</w:t>
                  </w:r>
                </w:p>
              </w:tc>
              <w:tc>
                <w:tcPr>
                  <w:tcW w:w="892" w:type="dxa"/>
                  <w:vMerge w:val="restart"/>
                  <w:tcBorders>
                    <w:tl2br w:val="nil"/>
                    <w:tr2bl w:val="nil"/>
                  </w:tcBorders>
                  <w:vAlign w:val="center"/>
                </w:tcPr>
                <w:p w14:paraId="248B44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原料用量</w:t>
                  </w:r>
                </w:p>
                <w:p w14:paraId="67A9A74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（t/a）</w:t>
                  </w:r>
                </w:p>
              </w:tc>
              <w:tc>
                <w:tcPr>
                  <w:tcW w:w="596" w:type="dxa"/>
                  <w:vMerge w:val="restart"/>
                  <w:tcBorders>
                    <w:tl2br w:val="nil"/>
                    <w:tr2bl w:val="nil"/>
                  </w:tcBorders>
                  <w:vAlign w:val="center"/>
                </w:tcPr>
                <w:p w14:paraId="6A03F94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918" w:type="dxa"/>
                  <w:vMerge w:val="restart"/>
                  <w:tcBorders>
                    <w:tl2br w:val="nil"/>
                    <w:tr2bl w:val="nil"/>
                  </w:tcBorders>
                  <w:vAlign w:val="center"/>
                </w:tcPr>
                <w:p w14:paraId="263900A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1396" w:type="dxa"/>
                  <w:vMerge w:val="restart"/>
                  <w:tcBorders>
                    <w:tl2br w:val="nil"/>
                    <w:tr2bl w:val="nil"/>
                  </w:tcBorders>
                  <w:vAlign w:val="center"/>
                </w:tcPr>
                <w:p w14:paraId="3AD0633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w:t>
                  </w:r>
                </w:p>
                <w:p w14:paraId="65C1BEF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(kg/t·原料)</w:t>
                  </w:r>
                </w:p>
              </w:tc>
              <w:tc>
                <w:tcPr>
                  <w:tcW w:w="3513" w:type="dxa"/>
                  <w:gridSpan w:val="6"/>
                  <w:tcBorders>
                    <w:tl2br w:val="nil"/>
                    <w:tr2bl w:val="nil"/>
                  </w:tcBorders>
                  <w:vAlign w:val="center"/>
                </w:tcPr>
                <w:p w14:paraId="6E6266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554" w:type="dxa"/>
                  <w:vMerge w:val="restart"/>
                  <w:tcBorders>
                    <w:tl2br w:val="nil"/>
                    <w:tr2bl w:val="nil"/>
                  </w:tcBorders>
                  <w:vAlign w:val="center"/>
                </w:tcPr>
                <w:p w14:paraId="26B7796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7A1BF6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657A7F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2" w:type="dxa"/>
                  <w:vMerge w:val="continue"/>
                  <w:tcBorders>
                    <w:tl2br w:val="nil"/>
                    <w:tr2bl w:val="nil"/>
                  </w:tcBorders>
                  <w:vAlign w:val="center"/>
                </w:tcPr>
                <w:p w14:paraId="1566A8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96" w:type="dxa"/>
                  <w:vMerge w:val="continue"/>
                  <w:tcBorders>
                    <w:tl2br w:val="nil"/>
                    <w:tr2bl w:val="nil"/>
                  </w:tcBorders>
                  <w:vAlign w:val="center"/>
                </w:tcPr>
                <w:p w14:paraId="65AE393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18" w:type="dxa"/>
                  <w:vMerge w:val="continue"/>
                  <w:tcBorders>
                    <w:tl2br w:val="nil"/>
                    <w:tr2bl w:val="nil"/>
                  </w:tcBorders>
                  <w:vAlign w:val="center"/>
                </w:tcPr>
                <w:p w14:paraId="1286F89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396" w:type="dxa"/>
                  <w:vMerge w:val="continue"/>
                  <w:tcBorders>
                    <w:tl2br w:val="nil"/>
                    <w:tr2bl w:val="nil"/>
                  </w:tcBorders>
                  <w:vAlign w:val="center"/>
                </w:tcPr>
                <w:p w14:paraId="76EC6D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293" w:type="dxa"/>
                  <w:gridSpan w:val="2"/>
                  <w:tcBorders>
                    <w:tl2br w:val="nil"/>
                    <w:tr2bl w:val="nil"/>
                  </w:tcBorders>
                  <w:vAlign w:val="center"/>
                </w:tcPr>
                <w:p w14:paraId="7491E36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973" w:type="dxa"/>
                  <w:gridSpan w:val="2"/>
                  <w:tcBorders>
                    <w:tl2br w:val="nil"/>
                    <w:tr2bl w:val="nil"/>
                  </w:tcBorders>
                  <w:vAlign w:val="center"/>
                </w:tcPr>
                <w:p w14:paraId="207C133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247" w:type="dxa"/>
                  <w:gridSpan w:val="2"/>
                  <w:tcBorders>
                    <w:tl2br w:val="nil"/>
                    <w:tr2bl w:val="nil"/>
                  </w:tcBorders>
                  <w:vAlign w:val="center"/>
                </w:tcPr>
                <w:p w14:paraId="7086BE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554" w:type="dxa"/>
                  <w:vMerge w:val="continue"/>
                  <w:tcBorders>
                    <w:tl2br w:val="nil"/>
                    <w:tr2bl w:val="nil"/>
                  </w:tcBorders>
                  <w:vAlign w:val="center"/>
                </w:tcPr>
                <w:p w14:paraId="66B0AA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4AD047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52FFA47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92" w:type="dxa"/>
                  <w:vMerge w:val="continue"/>
                  <w:tcBorders>
                    <w:tl2br w:val="nil"/>
                    <w:tr2bl w:val="nil"/>
                  </w:tcBorders>
                  <w:vAlign w:val="center"/>
                </w:tcPr>
                <w:p w14:paraId="52DEC13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96" w:type="dxa"/>
                  <w:vMerge w:val="continue"/>
                  <w:tcBorders>
                    <w:tl2br w:val="nil"/>
                    <w:tr2bl w:val="nil"/>
                  </w:tcBorders>
                  <w:vAlign w:val="center"/>
                </w:tcPr>
                <w:p w14:paraId="615B60C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918" w:type="dxa"/>
                  <w:vMerge w:val="continue"/>
                  <w:tcBorders>
                    <w:tl2br w:val="nil"/>
                    <w:tr2bl w:val="nil"/>
                  </w:tcBorders>
                  <w:vAlign w:val="center"/>
                </w:tcPr>
                <w:p w14:paraId="2FC58B8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1396" w:type="dxa"/>
                  <w:vMerge w:val="continue"/>
                  <w:tcBorders>
                    <w:tl2br w:val="nil"/>
                    <w:tr2bl w:val="nil"/>
                  </w:tcBorders>
                  <w:vAlign w:val="center"/>
                </w:tcPr>
                <w:p w14:paraId="7323CA8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72" w:type="dxa"/>
                  <w:tcBorders>
                    <w:right w:val="single" w:color="auto" w:sz="4" w:space="0"/>
                    <w:tl2br w:val="nil"/>
                    <w:tr2bl w:val="nil"/>
                  </w:tcBorders>
                  <w:vAlign w:val="center"/>
                </w:tcPr>
                <w:p w14:paraId="5996881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t/a</w:t>
                  </w:r>
                </w:p>
              </w:tc>
              <w:tc>
                <w:tcPr>
                  <w:tcW w:w="621" w:type="dxa"/>
                  <w:tcBorders>
                    <w:left w:val="single" w:color="auto" w:sz="4" w:space="0"/>
                    <w:tl2br w:val="nil"/>
                    <w:tr2bl w:val="nil"/>
                  </w:tcBorders>
                  <w:vAlign w:val="center"/>
                </w:tcPr>
                <w:p w14:paraId="4E523D0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kg/h</w:t>
                  </w:r>
                </w:p>
              </w:tc>
              <w:tc>
                <w:tcPr>
                  <w:tcW w:w="430" w:type="dxa"/>
                  <w:tcBorders>
                    <w:right w:val="single" w:color="auto" w:sz="4" w:space="0"/>
                    <w:tl2br w:val="nil"/>
                    <w:tr2bl w:val="nil"/>
                  </w:tcBorders>
                  <w:vAlign w:val="center"/>
                </w:tcPr>
                <w:p w14:paraId="34547AF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t/a</w:t>
                  </w:r>
                </w:p>
              </w:tc>
              <w:tc>
                <w:tcPr>
                  <w:tcW w:w="543" w:type="dxa"/>
                  <w:tcBorders>
                    <w:left w:val="single" w:color="auto" w:sz="4" w:space="0"/>
                    <w:tl2br w:val="nil"/>
                    <w:tr2bl w:val="nil"/>
                  </w:tcBorders>
                  <w:vAlign w:val="center"/>
                </w:tcPr>
                <w:p w14:paraId="2227738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kg/h</w:t>
                  </w:r>
                </w:p>
              </w:tc>
              <w:tc>
                <w:tcPr>
                  <w:tcW w:w="626" w:type="dxa"/>
                  <w:tcBorders>
                    <w:right w:val="single" w:color="auto" w:sz="4" w:space="0"/>
                    <w:tl2br w:val="nil"/>
                    <w:tr2bl w:val="nil"/>
                  </w:tcBorders>
                  <w:vAlign w:val="center"/>
                </w:tcPr>
                <w:p w14:paraId="643DD61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t/a</w:t>
                  </w:r>
                </w:p>
              </w:tc>
              <w:tc>
                <w:tcPr>
                  <w:tcW w:w="621" w:type="dxa"/>
                  <w:tcBorders>
                    <w:left w:val="single" w:color="auto" w:sz="4" w:space="0"/>
                    <w:tl2br w:val="nil"/>
                    <w:tr2bl w:val="nil"/>
                  </w:tcBorders>
                  <w:vAlign w:val="center"/>
                </w:tcPr>
                <w:p w14:paraId="1BAB15D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kg/h</w:t>
                  </w:r>
                </w:p>
              </w:tc>
              <w:tc>
                <w:tcPr>
                  <w:tcW w:w="554" w:type="dxa"/>
                  <w:vMerge w:val="continue"/>
                  <w:tcBorders>
                    <w:tl2br w:val="nil"/>
                    <w:tr2bl w:val="nil"/>
                  </w:tcBorders>
                  <w:vAlign w:val="center"/>
                </w:tcPr>
                <w:p w14:paraId="777A14C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2D716F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tcBorders>
                    <w:tl2br w:val="nil"/>
                    <w:tr2bl w:val="nil"/>
                  </w:tcBorders>
                  <w:vAlign w:val="center"/>
                </w:tcPr>
                <w:p w14:paraId="3C196FA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喷粉</w:t>
                  </w:r>
                </w:p>
              </w:tc>
              <w:tc>
                <w:tcPr>
                  <w:tcW w:w="892" w:type="dxa"/>
                  <w:tcBorders>
                    <w:tl2br w:val="nil"/>
                    <w:tr2bl w:val="nil"/>
                  </w:tcBorders>
                  <w:vAlign w:val="center"/>
                </w:tcPr>
                <w:p w14:paraId="610D276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rPr>
                    <w:t>塑粉</w:t>
                  </w:r>
                  <w:r>
                    <w:rPr>
                      <w:rFonts w:hint="eastAsia" w:cs="Times New Roman"/>
                      <w:color w:val="auto"/>
                      <w:spacing w:val="-1"/>
                      <w:sz w:val="18"/>
                      <w:szCs w:val="18"/>
                      <w:lang w:val="en-US" w:eastAsia="zh-CN"/>
                    </w:rPr>
                    <w:t>270.8</w:t>
                  </w:r>
                </w:p>
              </w:tc>
              <w:tc>
                <w:tcPr>
                  <w:tcW w:w="596" w:type="dxa"/>
                  <w:tcBorders>
                    <w:tl2br w:val="nil"/>
                    <w:tr2bl w:val="nil"/>
                  </w:tcBorders>
                  <w:vAlign w:val="center"/>
                </w:tcPr>
                <w:p w14:paraId="16E82D4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7200</w:t>
                  </w:r>
                </w:p>
              </w:tc>
              <w:tc>
                <w:tcPr>
                  <w:tcW w:w="918" w:type="dxa"/>
                  <w:tcBorders>
                    <w:tl2br w:val="nil"/>
                    <w:tr2bl w:val="nil"/>
                  </w:tcBorders>
                  <w:vAlign w:val="center"/>
                </w:tcPr>
                <w:p w14:paraId="1DE557D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1396" w:type="dxa"/>
                  <w:tcBorders>
                    <w:tl2br w:val="nil"/>
                    <w:tr2bl w:val="nil"/>
                  </w:tcBorders>
                  <w:vAlign w:val="center"/>
                </w:tcPr>
                <w:p w14:paraId="7EB8A6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300</w:t>
                  </w:r>
                </w:p>
              </w:tc>
              <w:tc>
                <w:tcPr>
                  <w:tcW w:w="672" w:type="dxa"/>
                  <w:tcBorders>
                    <w:right w:val="single" w:color="auto" w:sz="4" w:space="0"/>
                    <w:tl2br w:val="nil"/>
                    <w:tr2bl w:val="nil"/>
                  </w:tcBorders>
                  <w:vAlign w:val="center"/>
                </w:tcPr>
                <w:p w14:paraId="153E82B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81.240 </w:t>
                  </w:r>
                </w:p>
              </w:tc>
              <w:tc>
                <w:tcPr>
                  <w:tcW w:w="621" w:type="dxa"/>
                  <w:tcBorders>
                    <w:left w:val="single" w:color="auto" w:sz="4" w:space="0"/>
                    <w:tl2br w:val="nil"/>
                    <w:tr2bl w:val="nil"/>
                  </w:tcBorders>
                  <w:vAlign w:val="center"/>
                </w:tcPr>
                <w:p w14:paraId="34F8126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11.283 </w:t>
                  </w:r>
                </w:p>
              </w:tc>
              <w:tc>
                <w:tcPr>
                  <w:tcW w:w="430" w:type="dxa"/>
                  <w:tcBorders>
                    <w:right w:val="single" w:color="auto" w:sz="4" w:space="0"/>
                    <w:tl2br w:val="nil"/>
                    <w:tr2bl w:val="nil"/>
                  </w:tcBorders>
                  <w:vAlign w:val="center"/>
                </w:tcPr>
                <w:p w14:paraId="194C1C35">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43" w:type="dxa"/>
                  <w:tcBorders>
                    <w:left w:val="single" w:color="auto" w:sz="4" w:space="0"/>
                    <w:tl2br w:val="nil"/>
                    <w:tr2bl w:val="nil"/>
                  </w:tcBorders>
                  <w:vAlign w:val="center"/>
                </w:tcPr>
                <w:p w14:paraId="5EC0A0E5">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26" w:type="dxa"/>
                  <w:tcBorders>
                    <w:right w:val="single" w:color="auto" w:sz="4" w:space="0"/>
                    <w:tl2br w:val="nil"/>
                    <w:tr2bl w:val="nil"/>
                  </w:tcBorders>
                  <w:vAlign w:val="center"/>
                </w:tcPr>
                <w:p w14:paraId="662B43E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81.240 </w:t>
                  </w:r>
                </w:p>
              </w:tc>
              <w:tc>
                <w:tcPr>
                  <w:tcW w:w="621" w:type="dxa"/>
                  <w:tcBorders>
                    <w:left w:val="single" w:color="auto" w:sz="4" w:space="0"/>
                    <w:tl2br w:val="nil"/>
                    <w:tr2bl w:val="nil"/>
                  </w:tcBorders>
                  <w:vAlign w:val="center"/>
                </w:tcPr>
                <w:p w14:paraId="6AC5BD29">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11.283 </w:t>
                  </w:r>
                </w:p>
              </w:tc>
              <w:tc>
                <w:tcPr>
                  <w:tcW w:w="554" w:type="dxa"/>
                  <w:vMerge w:val="restart"/>
                  <w:tcBorders>
                    <w:tl2br w:val="nil"/>
                    <w:tr2bl w:val="nil"/>
                  </w:tcBorders>
                  <w:vAlign w:val="center"/>
                </w:tcPr>
                <w:p w14:paraId="382B68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1#厂房</w:t>
                  </w:r>
                </w:p>
              </w:tc>
            </w:tr>
            <w:tr w14:paraId="1A056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restart"/>
                  <w:tcBorders>
                    <w:tl2br w:val="nil"/>
                    <w:tr2bl w:val="nil"/>
                  </w:tcBorders>
                  <w:vAlign w:val="center"/>
                </w:tcPr>
                <w:p w14:paraId="7D2EC9E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固化</w:t>
                  </w:r>
                </w:p>
              </w:tc>
              <w:tc>
                <w:tcPr>
                  <w:tcW w:w="892" w:type="dxa"/>
                  <w:tcBorders>
                    <w:tl2br w:val="nil"/>
                    <w:tr2bl w:val="nil"/>
                  </w:tcBorders>
                  <w:vAlign w:val="center"/>
                </w:tcPr>
                <w:p w14:paraId="5ED1DA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default" w:ascii="Times New Roman" w:hAnsi="Times New Roman" w:eastAsia="宋体" w:cs="Times New Roman"/>
                      <w:color w:val="auto"/>
                      <w:spacing w:val="-1"/>
                      <w:sz w:val="18"/>
                      <w:szCs w:val="18"/>
                    </w:rPr>
                    <w:t>塑粉</w:t>
                  </w:r>
                  <w:r>
                    <w:rPr>
                      <w:rFonts w:hint="eastAsia" w:cs="Times New Roman"/>
                      <w:color w:val="auto"/>
                      <w:spacing w:val="-1"/>
                      <w:sz w:val="18"/>
                      <w:szCs w:val="18"/>
                      <w:lang w:val="en-US" w:eastAsia="zh-CN"/>
                    </w:rPr>
                    <w:t>270.8</w:t>
                  </w:r>
                </w:p>
              </w:tc>
              <w:tc>
                <w:tcPr>
                  <w:tcW w:w="596" w:type="dxa"/>
                  <w:vMerge w:val="restart"/>
                  <w:tcBorders>
                    <w:tl2br w:val="nil"/>
                    <w:tr2bl w:val="nil"/>
                  </w:tcBorders>
                  <w:vAlign w:val="center"/>
                </w:tcPr>
                <w:p w14:paraId="79DEC1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7200</w:t>
                  </w:r>
                </w:p>
              </w:tc>
              <w:tc>
                <w:tcPr>
                  <w:tcW w:w="918" w:type="dxa"/>
                  <w:tcBorders>
                    <w:tl2br w:val="nil"/>
                    <w:tr2bl w:val="nil"/>
                  </w:tcBorders>
                  <w:vAlign w:val="center"/>
                </w:tcPr>
                <w:p w14:paraId="087A752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eastAsia="zh-CN"/>
                    </w:rPr>
                  </w:pPr>
                  <w:r>
                    <w:rPr>
                      <w:rFonts w:hint="eastAsia" w:ascii="Times New Roman" w:hAnsi="Times New Roman" w:eastAsia="宋体" w:cs="Times New Roman"/>
                      <w:color w:val="auto"/>
                      <w:spacing w:val="-1"/>
                      <w:sz w:val="18"/>
                      <w:szCs w:val="18"/>
                      <w:lang w:val="en-US" w:eastAsia="zh-CN"/>
                    </w:rPr>
                    <w:t>非甲烷总烃</w:t>
                  </w:r>
                </w:p>
              </w:tc>
              <w:tc>
                <w:tcPr>
                  <w:tcW w:w="1396" w:type="dxa"/>
                  <w:tcBorders>
                    <w:tl2br w:val="nil"/>
                    <w:tr2bl w:val="nil"/>
                  </w:tcBorders>
                  <w:vAlign w:val="center"/>
                </w:tcPr>
                <w:p w14:paraId="595BD69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1.2</w:t>
                  </w:r>
                </w:p>
              </w:tc>
              <w:tc>
                <w:tcPr>
                  <w:tcW w:w="672" w:type="dxa"/>
                  <w:tcBorders>
                    <w:right w:val="single" w:color="auto" w:sz="4" w:space="0"/>
                    <w:tl2br w:val="nil"/>
                    <w:tr2bl w:val="nil"/>
                  </w:tcBorders>
                  <w:vAlign w:val="center"/>
                </w:tcPr>
                <w:p w14:paraId="6F020B90">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0.32</w:t>
                  </w:r>
                  <w:r>
                    <w:rPr>
                      <w:rFonts w:hint="eastAsia"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21" w:type="dxa"/>
                  <w:tcBorders>
                    <w:left w:val="single" w:color="auto" w:sz="4" w:space="0"/>
                    <w:tl2br w:val="nil"/>
                    <w:tr2bl w:val="nil"/>
                  </w:tcBorders>
                  <w:vAlign w:val="center"/>
                </w:tcPr>
                <w:p w14:paraId="484BFA7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0.045 </w:t>
                  </w:r>
                </w:p>
              </w:tc>
              <w:tc>
                <w:tcPr>
                  <w:tcW w:w="430" w:type="dxa"/>
                  <w:tcBorders>
                    <w:right w:val="single" w:color="auto" w:sz="4" w:space="0"/>
                    <w:tl2br w:val="nil"/>
                    <w:tr2bl w:val="nil"/>
                  </w:tcBorders>
                  <w:vAlign w:val="center"/>
                </w:tcPr>
                <w:p w14:paraId="47E136C2">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43" w:type="dxa"/>
                  <w:tcBorders>
                    <w:left w:val="single" w:color="auto" w:sz="4" w:space="0"/>
                    <w:tl2br w:val="nil"/>
                    <w:tr2bl w:val="nil"/>
                  </w:tcBorders>
                  <w:vAlign w:val="center"/>
                </w:tcPr>
                <w:p w14:paraId="5B834AF6">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26" w:type="dxa"/>
                  <w:tcBorders>
                    <w:right w:val="single" w:color="auto" w:sz="4" w:space="0"/>
                    <w:tl2br w:val="nil"/>
                    <w:tr2bl w:val="nil"/>
                  </w:tcBorders>
                  <w:vAlign w:val="center"/>
                </w:tcPr>
                <w:p w14:paraId="20F30EF0">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0.32</w:t>
                  </w:r>
                  <w:r>
                    <w:rPr>
                      <w:rFonts w:hint="eastAsia"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21" w:type="dxa"/>
                  <w:tcBorders>
                    <w:left w:val="single" w:color="auto" w:sz="4" w:space="0"/>
                    <w:tl2br w:val="nil"/>
                    <w:tr2bl w:val="nil"/>
                  </w:tcBorders>
                  <w:vAlign w:val="center"/>
                </w:tcPr>
                <w:p w14:paraId="0E89EDA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0.045 </w:t>
                  </w:r>
                </w:p>
              </w:tc>
              <w:tc>
                <w:tcPr>
                  <w:tcW w:w="554" w:type="dxa"/>
                  <w:vMerge w:val="continue"/>
                  <w:tcBorders>
                    <w:tl2br w:val="nil"/>
                    <w:tr2bl w:val="nil"/>
                  </w:tcBorders>
                  <w:vAlign w:val="center"/>
                </w:tcPr>
                <w:p w14:paraId="46CCAA9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394D92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10B4404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92" w:type="dxa"/>
                  <w:vMerge w:val="restart"/>
                  <w:tcBorders>
                    <w:tl2br w:val="nil"/>
                    <w:tr2bl w:val="nil"/>
                  </w:tcBorders>
                  <w:vAlign w:val="center"/>
                </w:tcPr>
                <w:p w14:paraId="7F1BC2D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天然气</w:t>
                  </w:r>
                </w:p>
                <w:p w14:paraId="51E3A7D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9</w:t>
                  </w:r>
                  <w:r>
                    <w:rPr>
                      <w:rFonts w:hint="eastAsia" w:ascii="Times New Roman" w:hAnsi="Times New Roman" w:eastAsia="宋体" w:cs="Times New Roman"/>
                      <w:color w:val="auto"/>
                      <w:spacing w:val="-1"/>
                      <w:sz w:val="18"/>
                      <w:szCs w:val="18"/>
                      <w:lang w:val="en-US" w:eastAsia="zh-CN"/>
                    </w:rPr>
                    <w:t>0</w:t>
                  </w:r>
                  <w:r>
                    <w:rPr>
                      <w:rFonts w:hint="default" w:ascii="Times New Roman" w:hAnsi="Times New Roman" w:eastAsia="宋体" w:cs="Times New Roman"/>
                      <w:color w:val="auto"/>
                      <w:spacing w:val="-1"/>
                      <w:sz w:val="18"/>
                      <w:szCs w:val="18"/>
                    </w:rPr>
                    <w:t>万m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/a</w:t>
                  </w:r>
                </w:p>
              </w:tc>
              <w:tc>
                <w:tcPr>
                  <w:tcW w:w="596" w:type="dxa"/>
                  <w:vMerge w:val="continue"/>
                  <w:tcBorders>
                    <w:tl2br w:val="nil"/>
                    <w:tr2bl w:val="nil"/>
                  </w:tcBorders>
                  <w:vAlign w:val="center"/>
                </w:tcPr>
                <w:p w14:paraId="77B8413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918" w:type="dxa"/>
                  <w:tcBorders>
                    <w:tl2br w:val="nil"/>
                    <w:tr2bl w:val="nil"/>
                  </w:tcBorders>
                  <w:vAlign w:val="center"/>
                </w:tcPr>
                <w:p w14:paraId="0921388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1396" w:type="dxa"/>
                  <w:tcBorders>
                    <w:tl2br w:val="nil"/>
                    <w:tr2bl w:val="nil"/>
                  </w:tcBorders>
                  <w:vAlign w:val="center"/>
                </w:tcPr>
                <w:p w14:paraId="6CD1E03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0.000286</w:t>
                  </w:r>
                </w:p>
                <w:p w14:paraId="28EAC00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(kg/m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·原料)</w:t>
                  </w:r>
                </w:p>
              </w:tc>
              <w:tc>
                <w:tcPr>
                  <w:tcW w:w="672" w:type="dxa"/>
                  <w:tcBorders>
                    <w:right w:val="single" w:color="auto" w:sz="4" w:space="0"/>
                    <w:tl2br w:val="nil"/>
                    <w:tr2bl w:val="nil"/>
                  </w:tcBorders>
                  <w:vAlign w:val="center"/>
                </w:tcPr>
                <w:p w14:paraId="1ADBE0D3">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0.257 </w:t>
                  </w:r>
                </w:p>
              </w:tc>
              <w:tc>
                <w:tcPr>
                  <w:tcW w:w="621" w:type="dxa"/>
                  <w:tcBorders>
                    <w:left w:val="single" w:color="auto" w:sz="4" w:space="0"/>
                    <w:tl2br w:val="nil"/>
                    <w:tr2bl w:val="nil"/>
                  </w:tcBorders>
                  <w:vAlign w:val="center"/>
                </w:tcPr>
                <w:p w14:paraId="6370EEA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0.036 </w:t>
                  </w:r>
                </w:p>
              </w:tc>
              <w:tc>
                <w:tcPr>
                  <w:tcW w:w="430" w:type="dxa"/>
                  <w:tcBorders>
                    <w:right w:val="single" w:color="auto" w:sz="4" w:space="0"/>
                    <w:tl2br w:val="nil"/>
                    <w:tr2bl w:val="nil"/>
                  </w:tcBorders>
                  <w:vAlign w:val="center"/>
                </w:tcPr>
                <w:p w14:paraId="6D98B141">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43" w:type="dxa"/>
                  <w:tcBorders>
                    <w:left w:val="single" w:color="auto" w:sz="4" w:space="0"/>
                    <w:tl2br w:val="nil"/>
                    <w:tr2bl w:val="nil"/>
                  </w:tcBorders>
                  <w:vAlign w:val="center"/>
                </w:tcPr>
                <w:p w14:paraId="20D2AAA0">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26" w:type="dxa"/>
                  <w:tcBorders>
                    <w:right w:val="single" w:color="auto" w:sz="4" w:space="0"/>
                    <w:tl2br w:val="nil"/>
                    <w:tr2bl w:val="nil"/>
                  </w:tcBorders>
                  <w:vAlign w:val="center"/>
                </w:tcPr>
                <w:p w14:paraId="3A13BCC6">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0.257 </w:t>
                  </w:r>
                </w:p>
              </w:tc>
              <w:tc>
                <w:tcPr>
                  <w:tcW w:w="621" w:type="dxa"/>
                  <w:tcBorders>
                    <w:left w:val="single" w:color="auto" w:sz="4" w:space="0"/>
                    <w:tl2br w:val="nil"/>
                    <w:tr2bl w:val="nil"/>
                  </w:tcBorders>
                  <w:vAlign w:val="center"/>
                </w:tcPr>
                <w:p w14:paraId="3F326AC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0.036 </w:t>
                  </w:r>
                </w:p>
              </w:tc>
              <w:tc>
                <w:tcPr>
                  <w:tcW w:w="554" w:type="dxa"/>
                  <w:vMerge w:val="continue"/>
                  <w:tcBorders>
                    <w:tl2br w:val="nil"/>
                    <w:tr2bl w:val="nil"/>
                  </w:tcBorders>
                  <w:vAlign w:val="center"/>
                </w:tcPr>
                <w:p w14:paraId="73C2596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14DEC3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1AA2094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92" w:type="dxa"/>
                  <w:vMerge w:val="continue"/>
                  <w:tcBorders>
                    <w:tl2br w:val="nil"/>
                    <w:tr2bl w:val="nil"/>
                  </w:tcBorders>
                  <w:vAlign w:val="center"/>
                </w:tcPr>
                <w:p w14:paraId="0B9D76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96" w:type="dxa"/>
                  <w:vMerge w:val="continue"/>
                  <w:tcBorders>
                    <w:tl2br w:val="nil"/>
                    <w:tr2bl w:val="nil"/>
                  </w:tcBorders>
                  <w:vAlign w:val="center"/>
                </w:tcPr>
                <w:p w14:paraId="474D165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918" w:type="dxa"/>
                  <w:tcBorders>
                    <w:tl2br w:val="nil"/>
                    <w:tr2bl w:val="nil"/>
                  </w:tcBorders>
                  <w:vAlign w:val="center"/>
                </w:tcPr>
                <w:p w14:paraId="3C4A490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SO</w:t>
                  </w:r>
                  <w:r>
                    <w:rPr>
                      <w:rFonts w:hint="default" w:ascii="Times New Roman" w:hAnsi="Times New Roman" w:eastAsia="宋体" w:cs="Times New Roman"/>
                      <w:color w:val="auto"/>
                      <w:spacing w:val="-1"/>
                      <w:sz w:val="18"/>
                      <w:szCs w:val="18"/>
                      <w:vertAlign w:val="subscript"/>
                    </w:rPr>
                    <w:t>2</w:t>
                  </w:r>
                </w:p>
              </w:tc>
              <w:tc>
                <w:tcPr>
                  <w:tcW w:w="1396" w:type="dxa"/>
                  <w:tcBorders>
                    <w:tl2br w:val="nil"/>
                    <w:tr2bl w:val="nil"/>
                  </w:tcBorders>
                  <w:vAlign w:val="center"/>
                </w:tcPr>
                <w:p w14:paraId="31C55FC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0.000002S</w:t>
                  </w:r>
                  <w:r>
                    <w:rPr>
                      <w:rFonts w:hint="default" w:ascii="Times New Roman" w:hAnsi="Times New Roman" w:eastAsia="宋体" w:cs="Times New Roman"/>
                      <w:color w:val="auto"/>
                      <w:spacing w:val="-1"/>
                      <w:sz w:val="18"/>
                      <w:szCs w:val="18"/>
                      <w:vertAlign w:val="superscript"/>
                    </w:rPr>
                    <w:t>注</w:t>
                  </w:r>
                  <w:r>
                    <w:rPr>
                      <w:rFonts w:hint="default" w:ascii="Times New Roman" w:hAnsi="Times New Roman" w:eastAsia="宋体" w:cs="Times New Roman"/>
                      <w:color w:val="auto"/>
                      <w:spacing w:val="-1"/>
                      <w:sz w:val="18"/>
                      <w:szCs w:val="18"/>
                    </w:rPr>
                    <w:t>(kg/m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·原料)</w:t>
                  </w:r>
                </w:p>
              </w:tc>
              <w:tc>
                <w:tcPr>
                  <w:tcW w:w="672" w:type="dxa"/>
                  <w:tcBorders>
                    <w:right w:val="single" w:color="auto" w:sz="4" w:space="0"/>
                    <w:tl2br w:val="nil"/>
                    <w:tr2bl w:val="nil"/>
                  </w:tcBorders>
                  <w:vAlign w:val="center"/>
                </w:tcPr>
                <w:p w14:paraId="3D581D8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0.180 </w:t>
                  </w:r>
                </w:p>
              </w:tc>
              <w:tc>
                <w:tcPr>
                  <w:tcW w:w="621" w:type="dxa"/>
                  <w:tcBorders>
                    <w:left w:val="single" w:color="auto" w:sz="4" w:space="0"/>
                    <w:tl2br w:val="nil"/>
                    <w:tr2bl w:val="nil"/>
                  </w:tcBorders>
                  <w:vAlign w:val="center"/>
                </w:tcPr>
                <w:p w14:paraId="03E5F67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0.025 </w:t>
                  </w:r>
                </w:p>
              </w:tc>
              <w:tc>
                <w:tcPr>
                  <w:tcW w:w="430" w:type="dxa"/>
                  <w:tcBorders>
                    <w:right w:val="single" w:color="auto" w:sz="4" w:space="0"/>
                    <w:tl2br w:val="nil"/>
                    <w:tr2bl w:val="nil"/>
                  </w:tcBorders>
                  <w:vAlign w:val="center"/>
                </w:tcPr>
                <w:p w14:paraId="11F39ED2">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43" w:type="dxa"/>
                  <w:tcBorders>
                    <w:left w:val="single" w:color="auto" w:sz="4" w:space="0"/>
                    <w:tl2br w:val="nil"/>
                    <w:tr2bl w:val="nil"/>
                  </w:tcBorders>
                  <w:vAlign w:val="center"/>
                </w:tcPr>
                <w:p w14:paraId="45A0FEE4">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26" w:type="dxa"/>
                  <w:tcBorders>
                    <w:right w:val="single" w:color="auto" w:sz="4" w:space="0"/>
                    <w:tl2br w:val="nil"/>
                    <w:tr2bl w:val="nil"/>
                  </w:tcBorders>
                  <w:vAlign w:val="center"/>
                </w:tcPr>
                <w:p w14:paraId="7C480B6E">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0.180 </w:t>
                  </w:r>
                </w:p>
              </w:tc>
              <w:tc>
                <w:tcPr>
                  <w:tcW w:w="621" w:type="dxa"/>
                  <w:tcBorders>
                    <w:left w:val="single" w:color="auto" w:sz="4" w:space="0"/>
                    <w:tl2br w:val="nil"/>
                    <w:tr2bl w:val="nil"/>
                  </w:tcBorders>
                  <w:vAlign w:val="center"/>
                </w:tcPr>
                <w:p w14:paraId="2DC7CFB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0.025 </w:t>
                  </w:r>
                </w:p>
              </w:tc>
              <w:tc>
                <w:tcPr>
                  <w:tcW w:w="554" w:type="dxa"/>
                  <w:vMerge w:val="continue"/>
                  <w:tcBorders>
                    <w:tl2br w:val="nil"/>
                    <w:tr2bl w:val="nil"/>
                  </w:tcBorders>
                  <w:vAlign w:val="center"/>
                </w:tcPr>
                <w:p w14:paraId="67C835E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13FCBC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6E9D65D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92" w:type="dxa"/>
                  <w:vMerge w:val="continue"/>
                  <w:tcBorders>
                    <w:tl2br w:val="nil"/>
                    <w:tr2bl w:val="nil"/>
                  </w:tcBorders>
                  <w:vAlign w:val="center"/>
                </w:tcPr>
                <w:p w14:paraId="1B36007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96" w:type="dxa"/>
                  <w:vMerge w:val="continue"/>
                  <w:tcBorders>
                    <w:tl2br w:val="nil"/>
                    <w:tr2bl w:val="nil"/>
                  </w:tcBorders>
                  <w:vAlign w:val="center"/>
                </w:tcPr>
                <w:p w14:paraId="4FB190A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918" w:type="dxa"/>
                  <w:tcBorders>
                    <w:tl2br w:val="nil"/>
                    <w:tr2bl w:val="nil"/>
                  </w:tcBorders>
                  <w:vAlign w:val="center"/>
                </w:tcPr>
                <w:p w14:paraId="6FB788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NOx</w:t>
                  </w:r>
                </w:p>
              </w:tc>
              <w:tc>
                <w:tcPr>
                  <w:tcW w:w="1396" w:type="dxa"/>
                  <w:tcBorders>
                    <w:tl2br w:val="nil"/>
                    <w:tr2bl w:val="nil"/>
                  </w:tcBorders>
                  <w:vAlign w:val="center"/>
                </w:tcPr>
                <w:p w14:paraId="07FD75A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0.00187</w:t>
                  </w:r>
                </w:p>
                <w:p w14:paraId="24BA00A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(kg/m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·原料)</w:t>
                  </w:r>
                </w:p>
              </w:tc>
              <w:tc>
                <w:tcPr>
                  <w:tcW w:w="672" w:type="dxa"/>
                  <w:tcBorders>
                    <w:right w:val="single" w:color="auto" w:sz="4" w:space="0"/>
                    <w:tl2br w:val="nil"/>
                    <w:tr2bl w:val="nil"/>
                  </w:tcBorders>
                  <w:vAlign w:val="center"/>
                </w:tcPr>
                <w:p w14:paraId="2E902560">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1.683 </w:t>
                  </w:r>
                </w:p>
              </w:tc>
              <w:tc>
                <w:tcPr>
                  <w:tcW w:w="621" w:type="dxa"/>
                  <w:tcBorders>
                    <w:left w:val="single" w:color="auto" w:sz="4" w:space="0"/>
                    <w:tl2br w:val="nil"/>
                    <w:tr2bl w:val="nil"/>
                  </w:tcBorders>
                  <w:vAlign w:val="center"/>
                </w:tcPr>
                <w:p w14:paraId="7281DA5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0.234 </w:t>
                  </w:r>
                </w:p>
              </w:tc>
              <w:tc>
                <w:tcPr>
                  <w:tcW w:w="430" w:type="dxa"/>
                  <w:tcBorders>
                    <w:right w:val="single" w:color="auto" w:sz="4" w:space="0"/>
                    <w:tl2br w:val="nil"/>
                    <w:tr2bl w:val="nil"/>
                  </w:tcBorders>
                  <w:vAlign w:val="center"/>
                </w:tcPr>
                <w:p w14:paraId="575E6848">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43" w:type="dxa"/>
                  <w:tcBorders>
                    <w:left w:val="single" w:color="auto" w:sz="4" w:space="0"/>
                    <w:tl2br w:val="nil"/>
                    <w:tr2bl w:val="nil"/>
                  </w:tcBorders>
                  <w:vAlign w:val="center"/>
                </w:tcPr>
                <w:p w14:paraId="2809DA3F">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26" w:type="dxa"/>
                  <w:tcBorders>
                    <w:right w:val="single" w:color="auto" w:sz="4" w:space="0"/>
                    <w:tl2br w:val="nil"/>
                    <w:tr2bl w:val="nil"/>
                  </w:tcBorders>
                  <w:vAlign w:val="center"/>
                </w:tcPr>
                <w:p w14:paraId="627C1A57">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1.683 </w:t>
                  </w:r>
                </w:p>
              </w:tc>
              <w:tc>
                <w:tcPr>
                  <w:tcW w:w="621" w:type="dxa"/>
                  <w:tcBorders>
                    <w:left w:val="single" w:color="auto" w:sz="4" w:space="0"/>
                    <w:tl2br w:val="nil"/>
                    <w:tr2bl w:val="nil"/>
                  </w:tcBorders>
                  <w:vAlign w:val="center"/>
                </w:tcPr>
                <w:p w14:paraId="0631E30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0.234 </w:t>
                  </w:r>
                </w:p>
              </w:tc>
              <w:tc>
                <w:tcPr>
                  <w:tcW w:w="554" w:type="dxa"/>
                  <w:vMerge w:val="continue"/>
                  <w:tcBorders>
                    <w:tl2br w:val="nil"/>
                    <w:tr2bl w:val="nil"/>
                  </w:tcBorders>
                  <w:vAlign w:val="center"/>
                </w:tcPr>
                <w:p w14:paraId="1EA52A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274C92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14" w:type="dxa"/>
                  <w:gridSpan w:val="12"/>
                  <w:tcBorders>
                    <w:tl2br w:val="nil"/>
                    <w:tr2bl w:val="nil"/>
                  </w:tcBorders>
                  <w:vAlign w:val="center"/>
                </w:tcPr>
                <w:p w14:paraId="5ED9E3A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left"/>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color w:val="auto"/>
                      <w:spacing w:val="-1"/>
                      <w:sz w:val="18"/>
                      <w:szCs w:val="18"/>
                      <w:lang w:val="en-US" w:eastAsia="zh-CN"/>
                    </w:rPr>
                    <w:t>注：</w:t>
                  </w:r>
                  <w:r>
                    <w:rPr>
                      <w:rFonts w:hint="default" w:ascii="Times New Roman" w:hAnsi="Times New Roman" w:eastAsia="宋体" w:cs="Times New Roman"/>
                      <w:color w:val="auto"/>
                      <w:spacing w:val="-1"/>
                      <w:sz w:val="18"/>
                      <w:szCs w:val="18"/>
                      <w:lang w:val="en-US" w:eastAsia="zh-CN"/>
                    </w:rPr>
                    <w:t>S为天然气收到基硫分，本项目</w:t>
                  </w:r>
                  <w:r>
                    <w:rPr>
                      <w:rFonts w:hint="default" w:ascii="Times New Roman" w:hAnsi="Times New Roman" w:cs="Times New Roman"/>
                      <w:color w:val="auto"/>
                      <w:spacing w:val="-1"/>
                      <w:sz w:val="18"/>
                      <w:szCs w:val="18"/>
                      <w:lang w:val="en-US" w:eastAsia="zh-CN"/>
                    </w:rPr>
                    <w:t>固化工序</w:t>
                  </w:r>
                  <w:r>
                    <w:rPr>
                      <w:rFonts w:hint="default" w:ascii="Times New Roman" w:hAnsi="Times New Roman" w:eastAsia="宋体" w:cs="Times New Roman"/>
                      <w:color w:val="auto"/>
                      <w:spacing w:val="-1"/>
                      <w:sz w:val="18"/>
                      <w:szCs w:val="18"/>
                      <w:lang w:val="en-US" w:eastAsia="zh-CN"/>
                    </w:rPr>
                    <w:t>以天然气为燃料，根据《天然气》（GB17820-2018），S取值100mg/m³。</w:t>
                  </w:r>
                </w:p>
              </w:tc>
            </w:tr>
          </w:tbl>
          <w:p w14:paraId="1D128487">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⑨退火</w:t>
            </w:r>
            <w:r>
              <w:rPr>
                <w:rFonts w:hint="eastAsia" w:ascii="Times New Roman" w:eastAsia="宋体"/>
                <w:color w:val="auto"/>
                <w:sz w:val="24"/>
                <w:szCs w:val="24"/>
                <w:highlight w:val="none"/>
                <w:lang w:eastAsia="zh-CN"/>
              </w:rPr>
              <w:t>废气</w:t>
            </w:r>
          </w:p>
          <w:p w14:paraId="4F55CA1F">
            <w:pPr>
              <w:pStyle w:val="10"/>
              <w:spacing w:line="360" w:lineRule="auto"/>
              <w:ind w:firstLine="480"/>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本项目熔模铸造生产线配备1台退火炉，以天然气为燃料，</w:t>
            </w:r>
            <w:r>
              <w:rPr>
                <w:rFonts w:hint="eastAsia" w:ascii="Times New Roman" w:eastAsia="宋体"/>
                <w:color w:val="auto"/>
                <w:sz w:val="24"/>
                <w:szCs w:val="24"/>
                <w:highlight w:val="none"/>
                <w:lang w:eastAsia="zh-CN"/>
              </w:rPr>
              <w:t>根据建设单位介绍：本项目</w:t>
            </w:r>
            <w:r>
              <w:rPr>
                <w:rFonts w:hint="eastAsia"/>
                <w:color w:val="auto"/>
                <w:sz w:val="24"/>
                <w:szCs w:val="24"/>
                <w:highlight w:val="none"/>
                <w:lang w:val="en-US" w:eastAsia="zh-CN"/>
              </w:rPr>
              <w:t>退火炉</w:t>
            </w:r>
            <w:r>
              <w:rPr>
                <w:rFonts w:hint="eastAsia" w:ascii="Times New Roman" w:eastAsia="宋体"/>
                <w:color w:val="auto"/>
                <w:sz w:val="24"/>
                <w:szCs w:val="24"/>
                <w:highlight w:val="none"/>
                <w:lang w:eastAsia="zh-CN"/>
              </w:rPr>
              <w:t>额定用气量为</w:t>
            </w:r>
            <w:r>
              <w:rPr>
                <w:rFonts w:hint="eastAsia"/>
                <w:color w:val="auto"/>
                <w:sz w:val="24"/>
                <w:szCs w:val="24"/>
                <w:highlight w:val="none"/>
                <w:lang w:val="en-US" w:eastAsia="zh-CN"/>
              </w:rPr>
              <w:t>30</w:t>
            </w:r>
            <w:r>
              <w:rPr>
                <w:rFonts w:hint="eastAsia" w:ascii="Times New Roman" w:eastAsia="宋体"/>
                <w:color w:val="auto"/>
                <w:sz w:val="24"/>
                <w:szCs w:val="24"/>
                <w:highlight w:val="none"/>
                <w:lang w:eastAsia="zh-CN"/>
              </w:rPr>
              <w:t>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/h，年工作时间7200h，则本项目</w:t>
            </w:r>
            <w:r>
              <w:rPr>
                <w:rFonts w:hint="eastAsia"/>
                <w:color w:val="auto"/>
                <w:sz w:val="24"/>
                <w:szCs w:val="24"/>
                <w:highlight w:val="none"/>
                <w:lang w:val="en-US" w:eastAsia="zh-CN"/>
              </w:rPr>
              <w:t>退火炉</w:t>
            </w:r>
            <w:r>
              <w:rPr>
                <w:rFonts w:hint="eastAsia" w:ascii="Times New Roman" w:eastAsia="宋体"/>
                <w:color w:val="auto"/>
                <w:sz w:val="24"/>
                <w:szCs w:val="24"/>
                <w:highlight w:val="none"/>
                <w:lang w:eastAsia="zh-CN"/>
              </w:rPr>
              <w:t>天然气年用量约为</w:t>
            </w:r>
            <w:r>
              <w:rPr>
                <w:rFonts w:hint="eastAsia"/>
                <w:color w:val="auto"/>
                <w:sz w:val="24"/>
                <w:szCs w:val="24"/>
                <w:highlight w:val="none"/>
                <w:lang w:val="en-US" w:eastAsia="zh-CN"/>
              </w:rPr>
              <w:t>20</w:t>
            </w:r>
            <w:r>
              <w:rPr>
                <w:rFonts w:hint="eastAsia" w:ascii="Times New Roman" w:eastAsia="宋体"/>
                <w:color w:val="auto"/>
                <w:sz w:val="24"/>
                <w:szCs w:val="24"/>
                <w:highlight w:val="none"/>
                <w:lang w:eastAsia="zh-CN"/>
              </w:rPr>
              <w:t>万m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/a，参考《排放源统计调查产排污核算方法和系数手册》</w:t>
            </w:r>
            <w:r>
              <w:rPr>
                <w:rFonts w:hint="eastAsia"/>
                <w:color w:val="auto"/>
                <w:sz w:val="24"/>
                <w:szCs w:val="24"/>
                <w:highlight w:val="none"/>
                <w:lang w:val="en-US" w:eastAsia="zh-CN"/>
              </w:rPr>
              <w:t>热处理</w:t>
            </w:r>
            <w:r>
              <w:rPr>
                <w:rFonts w:hint="eastAsia" w:ascii="Times New Roman" w:eastAsia="宋体"/>
                <w:color w:val="auto"/>
                <w:sz w:val="24"/>
                <w:szCs w:val="24"/>
                <w:highlight w:val="none"/>
                <w:lang w:eastAsia="zh-CN"/>
              </w:rPr>
              <w:t>的相关产污系数，项目</w:t>
            </w:r>
            <w:r>
              <w:rPr>
                <w:rFonts w:hint="eastAsia"/>
                <w:color w:val="auto"/>
                <w:sz w:val="24"/>
                <w:szCs w:val="24"/>
                <w:highlight w:val="none"/>
                <w:lang w:val="en-US" w:eastAsia="zh-CN"/>
              </w:rPr>
              <w:t>退火</w:t>
            </w:r>
            <w:r>
              <w:rPr>
                <w:rFonts w:hint="eastAsia" w:ascii="Times New Roman" w:eastAsia="宋体"/>
                <w:color w:val="auto"/>
                <w:sz w:val="24"/>
                <w:szCs w:val="24"/>
                <w:highlight w:val="none"/>
                <w:lang w:eastAsia="zh-CN"/>
              </w:rPr>
              <w:t>废气污染物产生情况详见下表。</w:t>
            </w:r>
          </w:p>
          <w:p w14:paraId="00A72ADE">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11 </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退火</w:t>
            </w:r>
            <w:r>
              <w:rPr>
                <w:rFonts w:hint="eastAsia" w:ascii="Times New Roman" w:eastAsia="宋体"/>
                <w:b/>
                <w:bCs/>
                <w:color w:val="auto"/>
                <w:sz w:val="24"/>
                <w:szCs w:val="24"/>
                <w:highlight w:val="none"/>
                <w:lang w:eastAsia="zh-CN"/>
              </w:rPr>
              <w:t>废气产生情况一览表</w:t>
            </w:r>
          </w:p>
          <w:tbl>
            <w:tblPr>
              <w:tblStyle w:val="29"/>
              <w:tblW w:w="851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5"/>
              <w:gridCol w:w="692"/>
              <w:gridCol w:w="787"/>
              <w:gridCol w:w="663"/>
              <w:gridCol w:w="2100"/>
              <w:gridCol w:w="500"/>
              <w:gridCol w:w="550"/>
              <w:gridCol w:w="400"/>
              <w:gridCol w:w="525"/>
              <w:gridCol w:w="587"/>
              <w:gridCol w:w="511"/>
              <w:gridCol w:w="554"/>
            </w:tblGrid>
            <w:tr w14:paraId="780A7F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restart"/>
                  <w:tcBorders>
                    <w:tl2br w:val="nil"/>
                    <w:tr2bl w:val="nil"/>
                  </w:tcBorders>
                  <w:vAlign w:val="center"/>
                </w:tcPr>
                <w:p w14:paraId="374BF29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工艺</w:t>
                  </w:r>
                </w:p>
              </w:tc>
              <w:tc>
                <w:tcPr>
                  <w:tcW w:w="692" w:type="dxa"/>
                  <w:vMerge w:val="restart"/>
                  <w:tcBorders>
                    <w:tl2br w:val="nil"/>
                    <w:tr2bl w:val="nil"/>
                  </w:tcBorders>
                  <w:vAlign w:val="center"/>
                </w:tcPr>
                <w:p w14:paraId="7E0C36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原料用量</w:t>
                  </w:r>
                </w:p>
              </w:tc>
              <w:tc>
                <w:tcPr>
                  <w:tcW w:w="787" w:type="dxa"/>
                  <w:vMerge w:val="restart"/>
                  <w:tcBorders>
                    <w:tl2br w:val="nil"/>
                    <w:tr2bl w:val="nil"/>
                  </w:tcBorders>
                  <w:vAlign w:val="center"/>
                </w:tcPr>
                <w:p w14:paraId="74350E7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663" w:type="dxa"/>
                  <w:vMerge w:val="restart"/>
                  <w:tcBorders>
                    <w:tl2br w:val="nil"/>
                    <w:tr2bl w:val="nil"/>
                  </w:tcBorders>
                  <w:vAlign w:val="center"/>
                </w:tcPr>
                <w:p w14:paraId="6E1AA03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2100" w:type="dxa"/>
                  <w:vMerge w:val="restart"/>
                  <w:tcBorders>
                    <w:tl2br w:val="nil"/>
                    <w:tr2bl w:val="nil"/>
                  </w:tcBorders>
                  <w:vAlign w:val="center"/>
                </w:tcPr>
                <w:p w14:paraId="30FCB72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w:t>
                  </w:r>
                </w:p>
                <w:p w14:paraId="213BF2E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(kg/t·原料)</w:t>
                  </w:r>
                </w:p>
              </w:tc>
              <w:tc>
                <w:tcPr>
                  <w:tcW w:w="3073" w:type="dxa"/>
                  <w:gridSpan w:val="6"/>
                  <w:tcBorders>
                    <w:tl2br w:val="nil"/>
                    <w:tr2bl w:val="nil"/>
                  </w:tcBorders>
                  <w:vAlign w:val="center"/>
                </w:tcPr>
                <w:p w14:paraId="40D9F81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554" w:type="dxa"/>
                  <w:vMerge w:val="restart"/>
                  <w:tcBorders>
                    <w:tl2br w:val="nil"/>
                    <w:tr2bl w:val="nil"/>
                  </w:tcBorders>
                  <w:vAlign w:val="center"/>
                </w:tcPr>
                <w:p w14:paraId="264F896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56D1BF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4EFF83A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92" w:type="dxa"/>
                  <w:vMerge w:val="continue"/>
                  <w:tcBorders>
                    <w:tl2br w:val="nil"/>
                    <w:tr2bl w:val="nil"/>
                  </w:tcBorders>
                  <w:vAlign w:val="center"/>
                </w:tcPr>
                <w:p w14:paraId="617A0FC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87" w:type="dxa"/>
                  <w:vMerge w:val="continue"/>
                  <w:tcBorders>
                    <w:tl2br w:val="nil"/>
                    <w:tr2bl w:val="nil"/>
                  </w:tcBorders>
                  <w:vAlign w:val="center"/>
                </w:tcPr>
                <w:p w14:paraId="643742C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3" w:type="dxa"/>
                  <w:vMerge w:val="continue"/>
                  <w:tcBorders>
                    <w:tl2br w:val="nil"/>
                    <w:tr2bl w:val="nil"/>
                  </w:tcBorders>
                  <w:vAlign w:val="center"/>
                </w:tcPr>
                <w:p w14:paraId="0922D43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2100" w:type="dxa"/>
                  <w:vMerge w:val="continue"/>
                  <w:tcBorders>
                    <w:tl2br w:val="nil"/>
                    <w:tr2bl w:val="nil"/>
                  </w:tcBorders>
                  <w:vAlign w:val="center"/>
                </w:tcPr>
                <w:p w14:paraId="645A178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050" w:type="dxa"/>
                  <w:gridSpan w:val="2"/>
                  <w:tcBorders>
                    <w:tl2br w:val="nil"/>
                    <w:tr2bl w:val="nil"/>
                  </w:tcBorders>
                  <w:vAlign w:val="center"/>
                </w:tcPr>
                <w:p w14:paraId="7617FAF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925" w:type="dxa"/>
                  <w:gridSpan w:val="2"/>
                  <w:tcBorders>
                    <w:tl2br w:val="nil"/>
                    <w:tr2bl w:val="nil"/>
                  </w:tcBorders>
                  <w:vAlign w:val="center"/>
                </w:tcPr>
                <w:p w14:paraId="2E00CA8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098" w:type="dxa"/>
                  <w:gridSpan w:val="2"/>
                  <w:tcBorders>
                    <w:tl2br w:val="nil"/>
                    <w:tr2bl w:val="nil"/>
                  </w:tcBorders>
                  <w:vAlign w:val="center"/>
                </w:tcPr>
                <w:p w14:paraId="6A6DB6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554" w:type="dxa"/>
                  <w:vMerge w:val="continue"/>
                  <w:tcBorders>
                    <w:tl2br w:val="nil"/>
                    <w:tr2bl w:val="nil"/>
                  </w:tcBorders>
                  <w:vAlign w:val="center"/>
                </w:tcPr>
                <w:p w14:paraId="2FF48BD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0C7D98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7EE3CAA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92" w:type="dxa"/>
                  <w:vMerge w:val="continue"/>
                  <w:tcBorders>
                    <w:tl2br w:val="nil"/>
                    <w:tr2bl w:val="nil"/>
                  </w:tcBorders>
                  <w:vAlign w:val="center"/>
                </w:tcPr>
                <w:p w14:paraId="355688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87" w:type="dxa"/>
                  <w:vMerge w:val="continue"/>
                  <w:tcBorders>
                    <w:tl2br w:val="nil"/>
                    <w:tr2bl w:val="nil"/>
                  </w:tcBorders>
                  <w:vAlign w:val="center"/>
                </w:tcPr>
                <w:p w14:paraId="6B1D407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63" w:type="dxa"/>
                  <w:vMerge w:val="continue"/>
                  <w:tcBorders>
                    <w:tl2br w:val="nil"/>
                    <w:tr2bl w:val="nil"/>
                  </w:tcBorders>
                  <w:vAlign w:val="center"/>
                </w:tcPr>
                <w:p w14:paraId="7457B0E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2100" w:type="dxa"/>
                  <w:vMerge w:val="continue"/>
                  <w:tcBorders>
                    <w:tl2br w:val="nil"/>
                    <w:tr2bl w:val="nil"/>
                  </w:tcBorders>
                  <w:vAlign w:val="center"/>
                </w:tcPr>
                <w:p w14:paraId="3F36C80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00" w:type="dxa"/>
                  <w:tcBorders>
                    <w:right w:val="single" w:color="auto" w:sz="4" w:space="0"/>
                    <w:tl2br w:val="nil"/>
                    <w:tr2bl w:val="nil"/>
                  </w:tcBorders>
                  <w:vAlign w:val="center"/>
                </w:tcPr>
                <w:p w14:paraId="5B492E7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t/a</w:t>
                  </w:r>
                </w:p>
              </w:tc>
              <w:tc>
                <w:tcPr>
                  <w:tcW w:w="550" w:type="dxa"/>
                  <w:tcBorders>
                    <w:left w:val="single" w:color="auto" w:sz="4" w:space="0"/>
                    <w:tl2br w:val="nil"/>
                    <w:tr2bl w:val="nil"/>
                  </w:tcBorders>
                  <w:vAlign w:val="center"/>
                </w:tcPr>
                <w:p w14:paraId="403CFED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kg/h</w:t>
                  </w:r>
                </w:p>
              </w:tc>
              <w:tc>
                <w:tcPr>
                  <w:tcW w:w="400" w:type="dxa"/>
                  <w:tcBorders>
                    <w:right w:val="single" w:color="auto" w:sz="4" w:space="0"/>
                    <w:tl2br w:val="nil"/>
                    <w:tr2bl w:val="nil"/>
                  </w:tcBorders>
                  <w:vAlign w:val="center"/>
                </w:tcPr>
                <w:p w14:paraId="6A9D6F9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t/a</w:t>
                  </w:r>
                </w:p>
              </w:tc>
              <w:tc>
                <w:tcPr>
                  <w:tcW w:w="525" w:type="dxa"/>
                  <w:tcBorders>
                    <w:left w:val="single" w:color="auto" w:sz="4" w:space="0"/>
                    <w:tl2br w:val="nil"/>
                    <w:tr2bl w:val="nil"/>
                  </w:tcBorders>
                  <w:vAlign w:val="center"/>
                </w:tcPr>
                <w:p w14:paraId="1F9286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kg/h</w:t>
                  </w:r>
                </w:p>
              </w:tc>
              <w:tc>
                <w:tcPr>
                  <w:tcW w:w="587" w:type="dxa"/>
                  <w:tcBorders>
                    <w:right w:val="single" w:color="auto" w:sz="4" w:space="0"/>
                    <w:tl2br w:val="nil"/>
                    <w:tr2bl w:val="nil"/>
                  </w:tcBorders>
                  <w:vAlign w:val="center"/>
                </w:tcPr>
                <w:p w14:paraId="53776F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t/a</w:t>
                  </w:r>
                </w:p>
              </w:tc>
              <w:tc>
                <w:tcPr>
                  <w:tcW w:w="511" w:type="dxa"/>
                  <w:tcBorders>
                    <w:left w:val="single" w:color="auto" w:sz="4" w:space="0"/>
                    <w:tl2br w:val="nil"/>
                    <w:tr2bl w:val="nil"/>
                  </w:tcBorders>
                  <w:vAlign w:val="center"/>
                </w:tcPr>
                <w:p w14:paraId="3E9A20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b/>
                      <w:bCs/>
                      <w:color w:val="auto"/>
                      <w:sz w:val="18"/>
                      <w:szCs w:val="18"/>
                      <w:lang w:val="en-US" w:eastAsia="zh-CN"/>
                    </w:rPr>
                    <w:t>kg/h</w:t>
                  </w:r>
                </w:p>
              </w:tc>
              <w:tc>
                <w:tcPr>
                  <w:tcW w:w="554" w:type="dxa"/>
                  <w:vMerge w:val="continue"/>
                  <w:tcBorders>
                    <w:tl2br w:val="nil"/>
                    <w:tr2bl w:val="nil"/>
                  </w:tcBorders>
                  <w:vAlign w:val="center"/>
                </w:tcPr>
                <w:p w14:paraId="4FB7D3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07649D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restart"/>
                  <w:tcBorders>
                    <w:tl2br w:val="nil"/>
                    <w:tr2bl w:val="nil"/>
                  </w:tcBorders>
                  <w:vAlign w:val="center"/>
                </w:tcPr>
                <w:p w14:paraId="727B445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eastAsia="zh-CN"/>
                    </w:rPr>
                  </w:pPr>
                  <w:r>
                    <w:rPr>
                      <w:rFonts w:hint="eastAsia" w:cs="Times New Roman"/>
                      <w:color w:val="auto"/>
                      <w:spacing w:val="-1"/>
                      <w:sz w:val="18"/>
                      <w:szCs w:val="18"/>
                      <w:lang w:val="en-US" w:eastAsia="zh-CN"/>
                    </w:rPr>
                    <w:t>退火</w:t>
                  </w:r>
                </w:p>
              </w:tc>
              <w:tc>
                <w:tcPr>
                  <w:tcW w:w="692" w:type="dxa"/>
                  <w:vMerge w:val="restart"/>
                  <w:tcBorders>
                    <w:tl2br w:val="nil"/>
                    <w:tr2bl w:val="nil"/>
                  </w:tcBorders>
                  <w:vAlign w:val="center"/>
                </w:tcPr>
                <w:p w14:paraId="63D2094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天然气</w:t>
                  </w:r>
                </w:p>
                <w:p w14:paraId="587A032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1</w:t>
                  </w:r>
                  <w:r>
                    <w:rPr>
                      <w:rFonts w:hint="eastAsia" w:ascii="Times New Roman" w:hAnsi="Times New Roman" w:eastAsia="宋体" w:cs="Times New Roman"/>
                      <w:color w:val="auto"/>
                      <w:spacing w:val="-1"/>
                      <w:sz w:val="18"/>
                      <w:szCs w:val="18"/>
                      <w:lang w:val="en-US" w:eastAsia="zh-CN"/>
                    </w:rPr>
                    <w:t>0</w:t>
                  </w:r>
                  <w:r>
                    <w:rPr>
                      <w:rFonts w:hint="default" w:ascii="Times New Roman" w:hAnsi="Times New Roman" w:eastAsia="宋体" w:cs="Times New Roman"/>
                      <w:color w:val="auto"/>
                      <w:spacing w:val="-1"/>
                      <w:sz w:val="18"/>
                      <w:szCs w:val="18"/>
                    </w:rPr>
                    <w:t>万m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/a</w:t>
                  </w:r>
                </w:p>
              </w:tc>
              <w:tc>
                <w:tcPr>
                  <w:tcW w:w="787" w:type="dxa"/>
                  <w:vMerge w:val="restart"/>
                  <w:tcBorders>
                    <w:tl2br w:val="nil"/>
                    <w:tr2bl w:val="nil"/>
                  </w:tcBorders>
                  <w:vAlign w:val="center"/>
                </w:tcPr>
                <w:p w14:paraId="22C30A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3000</w:t>
                  </w:r>
                </w:p>
              </w:tc>
              <w:tc>
                <w:tcPr>
                  <w:tcW w:w="663" w:type="dxa"/>
                  <w:tcBorders>
                    <w:tl2br w:val="nil"/>
                    <w:tr2bl w:val="nil"/>
                  </w:tcBorders>
                  <w:shd w:val="clear" w:color="auto" w:fill="auto"/>
                  <w:vAlign w:val="center"/>
                </w:tcPr>
                <w:p w14:paraId="7B4BE0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b/>
                      <w:bCs/>
                      <w:color w:val="auto"/>
                      <w:spacing w:val="-1"/>
                      <w:kern w:val="2"/>
                      <w:sz w:val="18"/>
                      <w:szCs w:val="18"/>
                      <w:lang w:val="en-US" w:eastAsia="zh-CN" w:bidi="ar-SA"/>
                    </w:rPr>
                  </w:pPr>
                  <w:r>
                    <w:rPr>
                      <w:rFonts w:hint="eastAsia" w:cs="Times New Roman"/>
                      <w:b w:val="0"/>
                      <w:bCs w:val="0"/>
                      <w:color w:val="auto"/>
                      <w:spacing w:val="-1"/>
                      <w:sz w:val="18"/>
                      <w:szCs w:val="18"/>
                      <w:lang w:val="en-US" w:eastAsia="zh-CN"/>
                    </w:rPr>
                    <w:t>废气量</w:t>
                  </w:r>
                </w:p>
              </w:tc>
              <w:tc>
                <w:tcPr>
                  <w:tcW w:w="2100" w:type="dxa"/>
                  <w:tcBorders>
                    <w:tl2br w:val="nil"/>
                    <w:tr2bl w:val="nil"/>
                  </w:tcBorders>
                  <w:shd w:val="clear" w:color="auto" w:fill="auto"/>
                  <w:vAlign w:val="center"/>
                </w:tcPr>
                <w:p w14:paraId="77D0CDB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b/>
                      <w:bCs/>
                      <w:color w:val="auto"/>
                      <w:spacing w:val="-1"/>
                      <w:kern w:val="2"/>
                      <w:sz w:val="18"/>
                      <w:szCs w:val="18"/>
                      <w:lang w:val="en-US" w:eastAsia="zh-CN" w:bidi="ar-SA"/>
                    </w:rPr>
                  </w:pPr>
                  <w:r>
                    <w:rPr>
                      <w:rFonts w:hint="eastAsia" w:cs="Times New Roman"/>
                      <w:b w:val="0"/>
                      <w:bCs w:val="0"/>
                      <w:color w:val="auto"/>
                      <w:spacing w:val="-1"/>
                      <w:sz w:val="18"/>
                      <w:szCs w:val="18"/>
                      <w:lang w:val="en-US" w:eastAsia="zh-CN"/>
                    </w:rPr>
                    <w:t>13.6标立方米/立方米-原料</w:t>
                  </w:r>
                </w:p>
              </w:tc>
              <w:tc>
                <w:tcPr>
                  <w:tcW w:w="3627" w:type="dxa"/>
                  <w:gridSpan w:val="7"/>
                  <w:tcBorders>
                    <w:tl2br w:val="nil"/>
                    <w:tr2bl w:val="nil"/>
                  </w:tcBorders>
                  <w:vAlign w:val="center"/>
                </w:tcPr>
                <w:p w14:paraId="0D78A6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453.3m³/h</w:t>
                  </w:r>
                </w:p>
              </w:tc>
            </w:tr>
            <w:tr w14:paraId="4808B6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4B98AC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eastAsia="zh-CN"/>
                    </w:rPr>
                  </w:pPr>
                </w:p>
              </w:tc>
              <w:tc>
                <w:tcPr>
                  <w:tcW w:w="692" w:type="dxa"/>
                  <w:vMerge w:val="continue"/>
                  <w:tcBorders>
                    <w:tl2br w:val="nil"/>
                    <w:tr2bl w:val="nil"/>
                  </w:tcBorders>
                  <w:vAlign w:val="center"/>
                </w:tcPr>
                <w:p w14:paraId="792C7D3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87" w:type="dxa"/>
                  <w:vMerge w:val="continue"/>
                  <w:tcBorders>
                    <w:tl2br w:val="nil"/>
                    <w:tr2bl w:val="nil"/>
                  </w:tcBorders>
                  <w:vAlign w:val="center"/>
                </w:tcPr>
                <w:p w14:paraId="42F382D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p>
              </w:tc>
              <w:tc>
                <w:tcPr>
                  <w:tcW w:w="663" w:type="dxa"/>
                  <w:tcBorders>
                    <w:tl2br w:val="nil"/>
                    <w:tr2bl w:val="nil"/>
                  </w:tcBorders>
                  <w:vAlign w:val="center"/>
                </w:tcPr>
                <w:p w14:paraId="2CD3188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2100" w:type="dxa"/>
                  <w:tcBorders>
                    <w:tl2br w:val="nil"/>
                    <w:tr2bl w:val="nil"/>
                  </w:tcBorders>
                  <w:vAlign w:val="center"/>
                </w:tcPr>
                <w:p w14:paraId="4350462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0.000286(kg/m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·原料)</w:t>
                  </w:r>
                </w:p>
              </w:tc>
              <w:tc>
                <w:tcPr>
                  <w:tcW w:w="500" w:type="dxa"/>
                  <w:tcBorders>
                    <w:right w:val="single" w:color="auto" w:sz="4" w:space="0"/>
                    <w:tl2br w:val="nil"/>
                    <w:tr2bl w:val="nil"/>
                  </w:tcBorders>
                  <w:vAlign w:val="center"/>
                </w:tcPr>
                <w:p w14:paraId="6FF03D4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0.029</w:t>
                  </w:r>
                </w:p>
              </w:tc>
              <w:tc>
                <w:tcPr>
                  <w:tcW w:w="550" w:type="dxa"/>
                  <w:tcBorders>
                    <w:left w:val="single" w:color="auto" w:sz="4" w:space="0"/>
                    <w:tl2br w:val="nil"/>
                    <w:tr2bl w:val="nil"/>
                  </w:tcBorders>
                  <w:vAlign w:val="center"/>
                </w:tcPr>
                <w:p w14:paraId="65D0B9CB">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0.004</w:t>
                  </w:r>
                </w:p>
              </w:tc>
              <w:tc>
                <w:tcPr>
                  <w:tcW w:w="400" w:type="dxa"/>
                  <w:tcBorders>
                    <w:right w:val="single" w:color="auto" w:sz="4" w:space="0"/>
                    <w:tl2br w:val="nil"/>
                    <w:tr2bl w:val="nil"/>
                  </w:tcBorders>
                  <w:vAlign w:val="center"/>
                </w:tcPr>
                <w:p w14:paraId="7DF4F9CC">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25" w:type="dxa"/>
                  <w:tcBorders>
                    <w:left w:val="single" w:color="auto" w:sz="4" w:space="0"/>
                    <w:tl2br w:val="nil"/>
                    <w:tr2bl w:val="nil"/>
                  </w:tcBorders>
                  <w:vAlign w:val="center"/>
                </w:tcPr>
                <w:p w14:paraId="0A8D1929">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87" w:type="dxa"/>
                  <w:tcBorders>
                    <w:right w:val="single" w:color="auto" w:sz="4" w:space="0"/>
                    <w:tl2br w:val="nil"/>
                    <w:tr2bl w:val="nil"/>
                  </w:tcBorders>
                  <w:vAlign w:val="center"/>
                </w:tcPr>
                <w:p w14:paraId="3C63966B">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0.029 </w:t>
                  </w:r>
                </w:p>
              </w:tc>
              <w:tc>
                <w:tcPr>
                  <w:tcW w:w="511" w:type="dxa"/>
                  <w:tcBorders>
                    <w:left w:val="single" w:color="auto" w:sz="4" w:space="0"/>
                    <w:tl2br w:val="nil"/>
                    <w:tr2bl w:val="nil"/>
                  </w:tcBorders>
                  <w:vAlign w:val="center"/>
                </w:tcPr>
                <w:p w14:paraId="6125C232">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0.004 </w:t>
                  </w:r>
                </w:p>
              </w:tc>
              <w:tc>
                <w:tcPr>
                  <w:tcW w:w="554" w:type="dxa"/>
                  <w:vMerge w:val="restart"/>
                  <w:tcBorders>
                    <w:top w:val="single" w:color="auto" w:sz="4" w:space="0"/>
                    <w:tl2br w:val="nil"/>
                    <w:tr2bl w:val="nil"/>
                  </w:tcBorders>
                  <w:shd w:val="clear" w:color="auto" w:fill="auto"/>
                  <w:vAlign w:val="center"/>
                </w:tcPr>
                <w:p w14:paraId="3D3C48A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color w:val="auto"/>
                      <w:spacing w:val="-1"/>
                      <w:sz w:val="18"/>
                      <w:szCs w:val="18"/>
                    </w:rPr>
                    <w:t>1#厂房</w:t>
                  </w:r>
                </w:p>
              </w:tc>
            </w:tr>
            <w:tr w14:paraId="50ABF2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786D34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92" w:type="dxa"/>
                  <w:vMerge w:val="continue"/>
                  <w:tcBorders>
                    <w:tl2br w:val="nil"/>
                    <w:tr2bl w:val="nil"/>
                  </w:tcBorders>
                  <w:vAlign w:val="center"/>
                </w:tcPr>
                <w:p w14:paraId="24117EE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87" w:type="dxa"/>
                  <w:vMerge w:val="continue"/>
                  <w:tcBorders>
                    <w:tl2br w:val="nil"/>
                    <w:tr2bl w:val="nil"/>
                  </w:tcBorders>
                  <w:vAlign w:val="center"/>
                </w:tcPr>
                <w:p w14:paraId="5FF347C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63" w:type="dxa"/>
                  <w:tcBorders>
                    <w:tl2br w:val="nil"/>
                    <w:tr2bl w:val="nil"/>
                  </w:tcBorders>
                  <w:vAlign w:val="center"/>
                </w:tcPr>
                <w:p w14:paraId="5D3DB4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SO</w:t>
                  </w:r>
                  <w:r>
                    <w:rPr>
                      <w:rFonts w:hint="default" w:ascii="Times New Roman" w:hAnsi="Times New Roman" w:eastAsia="宋体" w:cs="Times New Roman"/>
                      <w:color w:val="auto"/>
                      <w:spacing w:val="-1"/>
                      <w:sz w:val="18"/>
                      <w:szCs w:val="18"/>
                      <w:vertAlign w:val="subscript"/>
                    </w:rPr>
                    <w:t>2</w:t>
                  </w:r>
                </w:p>
              </w:tc>
              <w:tc>
                <w:tcPr>
                  <w:tcW w:w="2100" w:type="dxa"/>
                  <w:tcBorders>
                    <w:tl2br w:val="nil"/>
                    <w:tr2bl w:val="nil"/>
                  </w:tcBorders>
                  <w:vAlign w:val="center"/>
                </w:tcPr>
                <w:p w14:paraId="399184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0.000002S</w:t>
                  </w:r>
                  <w:r>
                    <w:rPr>
                      <w:rFonts w:hint="default" w:ascii="Times New Roman" w:hAnsi="Times New Roman" w:eastAsia="宋体" w:cs="Times New Roman"/>
                      <w:color w:val="auto"/>
                      <w:spacing w:val="-1"/>
                      <w:sz w:val="18"/>
                      <w:szCs w:val="18"/>
                      <w:vertAlign w:val="superscript"/>
                    </w:rPr>
                    <w:t>注</w:t>
                  </w:r>
                  <w:r>
                    <w:rPr>
                      <w:rFonts w:hint="default" w:ascii="Times New Roman" w:hAnsi="Times New Roman" w:eastAsia="宋体" w:cs="Times New Roman"/>
                      <w:color w:val="auto"/>
                      <w:spacing w:val="-1"/>
                      <w:sz w:val="18"/>
                      <w:szCs w:val="18"/>
                    </w:rPr>
                    <w:t>(kg/m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·原料)</w:t>
                  </w:r>
                </w:p>
              </w:tc>
              <w:tc>
                <w:tcPr>
                  <w:tcW w:w="500" w:type="dxa"/>
                  <w:tcBorders>
                    <w:right w:val="single" w:color="auto" w:sz="4" w:space="0"/>
                    <w:tl2br w:val="nil"/>
                    <w:tr2bl w:val="nil"/>
                  </w:tcBorders>
                  <w:vAlign w:val="center"/>
                </w:tcPr>
                <w:p w14:paraId="1C38E4C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0.020</w:t>
                  </w:r>
                </w:p>
              </w:tc>
              <w:tc>
                <w:tcPr>
                  <w:tcW w:w="550" w:type="dxa"/>
                  <w:tcBorders>
                    <w:left w:val="single" w:color="auto" w:sz="4" w:space="0"/>
                    <w:tl2br w:val="nil"/>
                    <w:tr2bl w:val="nil"/>
                  </w:tcBorders>
                  <w:vAlign w:val="center"/>
                </w:tcPr>
                <w:p w14:paraId="35279D03">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0.003</w:t>
                  </w:r>
                </w:p>
              </w:tc>
              <w:tc>
                <w:tcPr>
                  <w:tcW w:w="400" w:type="dxa"/>
                  <w:tcBorders>
                    <w:right w:val="single" w:color="auto" w:sz="4" w:space="0"/>
                    <w:tl2br w:val="nil"/>
                    <w:tr2bl w:val="nil"/>
                  </w:tcBorders>
                  <w:vAlign w:val="center"/>
                </w:tcPr>
                <w:p w14:paraId="7ACFB927">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25" w:type="dxa"/>
                  <w:tcBorders>
                    <w:left w:val="single" w:color="auto" w:sz="4" w:space="0"/>
                    <w:tl2br w:val="nil"/>
                    <w:tr2bl w:val="nil"/>
                  </w:tcBorders>
                  <w:vAlign w:val="center"/>
                </w:tcPr>
                <w:p w14:paraId="2EBB5BA5">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87" w:type="dxa"/>
                  <w:tcBorders>
                    <w:right w:val="single" w:color="auto" w:sz="4" w:space="0"/>
                    <w:tl2br w:val="nil"/>
                    <w:tr2bl w:val="nil"/>
                  </w:tcBorders>
                  <w:vAlign w:val="center"/>
                </w:tcPr>
                <w:p w14:paraId="0F55402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0.020 </w:t>
                  </w:r>
                </w:p>
              </w:tc>
              <w:tc>
                <w:tcPr>
                  <w:tcW w:w="511" w:type="dxa"/>
                  <w:tcBorders>
                    <w:left w:val="single" w:color="auto" w:sz="4" w:space="0"/>
                    <w:tl2br w:val="nil"/>
                    <w:tr2bl w:val="nil"/>
                  </w:tcBorders>
                  <w:vAlign w:val="center"/>
                </w:tcPr>
                <w:p w14:paraId="576B735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0.003 </w:t>
                  </w:r>
                </w:p>
              </w:tc>
              <w:tc>
                <w:tcPr>
                  <w:tcW w:w="554" w:type="dxa"/>
                  <w:vMerge w:val="continue"/>
                  <w:tcBorders>
                    <w:top w:val="single" w:color="auto" w:sz="4" w:space="0"/>
                    <w:bottom w:val="single" w:color="auto" w:sz="4" w:space="0"/>
                    <w:tl2br w:val="nil"/>
                    <w:tr2bl w:val="nil"/>
                  </w:tcBorders>
                  <w:vAlign w:val="center"/>
                </w:tcPr>
                <w:p w14:paraId="69CF02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335491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5" w:type="dxa"/>
                  <w:vMerge w:val="continue"/>
                  <w:tcBorders>
                    <w:tl2br w:val="nil"/>
                    <w:tr2bl w:val="nil"/>
                  </w:tcBorders>
                  <w:vAlign w:val="center"/>
                </w:tcPr>
                <w:p w14:paraId="6D39B9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92" w:type="dxa"/>
                  <w:vMerge w:val="continue"/>
                  <w:tcBorders>
                    <w:tl2br w:val="nil"/>
                    <w:tr2bl w:val="nil"/>
                  </w:tcBorders>
                  <w:vAlign w:val="center"/>
                </w:tcPr>
                <w:p w14:paraId="6157C24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87" w:type="dxa"/>
                  <w:vMerge w:val="continue"/>
                  <w:tcBorders>
                    <w:bottom w:val="single" w:color="auto" w:sz="4" w:space="0"/>
                    <w:tl2br w:val="nil"/>
                    <w:tr2bl w:val="nil"/>
                  </w:tcBorders>
                  <w:vAlign w:val="center"/>
                </w:tcPr>
                <w:p w14:paraId="1ECC966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63" w:type="dxa"/>
                  <w:tcBorders>
                    <w:tl2br w:val="nil"/>
                    <w:tr2bl w:val="nil"/>
                  </w:tcBorders>
                  <w:vAlign w:val="center"/>
                </w:tcPr>
                <w:p w14:paraId="05AEF9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NOx</w:t>
                  </w:r>
                </w:p>
              </w:tc>
              <w:tc>
                <w:tcPr>
                  <w:tcW w:w="2100" w:type="dxa"/>
                  <w:tcBorders>
                    <w:tl2br w:val="nil"/>
                    <w:tr2bl w:val="nil"/>
                  </w:tcBorders>
                  <w:vAlign w:val="center"/>
                </w:tcPr>
                <w:p w14:paraId="66BF2E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0.00187(kg/m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·原料)</w:t>
                  </w:r>
                </w:p>
              </w:tc>
              <w:tc>
                <w:tcPr>
                  <w:tcW w:w="500" w:type="dxa"/>
                  <w:tcBorders>
                    <w:right w:val="single" w:color="auto" w:sz="4" w:space="0"/>
                    <w:tl2br w:val="nil"/>
                    <w:tr2bl w:val="nil"/>
                  </w:tcBorders>
                  <w:vAlign w:val="center"/>
                </w:tcPr>
                <w:p w14:paraId="047E30B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0.187</w:t>
                  </w:r>
                </w:p>
              </w:tc>
              <w:tc>
                <w:tcPr>
                  <w:tcW w:w="550" w:type="dxa"/>
                  <w:tcBorders>
                    <w:left w:val="single" w:color="auto" w:sz="4" w:space="0"/>
                    <w:tl2br w:val="nil"/>
                    <w:tr2bl w:val="nil"/>
                  </w:tcBorders>
                  <w:vAlign w:val="center"/>
                </w:tcPr>
                <w:p w14:paraId="2B3E846C">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0.026</w:t>
                  </w:r>
                </w:p>
              </w:tc>
              <w:tc>
                <w:tcPr>
                  <w:tcW w:w="400" w:type="dxa"/>
                  <w:tcBorders>
                    <w:right w:val="single" w:color="auto" w:sz="4" w:space="0"/>
                    <w:tl2br w:val="nil"/>
                    <w:tr2bl w:val="nil"/>
                  </w:tcBorders>
                  <w:vAlign w:val="center"/>
                </w:tcPr>
                <w:p w14:paraId="7F5B1C58">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25" w:type="dxa"/>
                  <w:tcBorders>
                    <w:left w:val="single" w:color="auto" w:sz="4" w:space="0"/>
                    <w:tl2br w:val="nil"/>
                    <w:tr2bl w:val="nil"/>
                  </w:tcBorders>
                  <w:vAlign w:val="center"/>
                </w:tcPr>
                <w:p w14:paraId="4071E554">
                  <w:pPr>
                    <w:jc w:val="center"/>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87" w:type="dxa"/>
                  <w:tcBorders>
                    <w:right w:val="single" w:color="auto" w:sz="4" w:space="0"/>
                    <w:tl2br w:val="nil"/>
                    <w:tr2bl w:val="nil"/>
                  </w:tcBorders>
                  <w:vAlign w:val="center"/>
                </w:tcPr>
                <w:p w14:paraId="624ED17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0.187 </w:t>
                  </w:r>
                </w:p>
              </w:tc>
              <w:tc>
                <w:tcPr>
                  <w:tcW w:w="511" w:type="dxa"/>
                  <w:tcBorders>
                    <w:left w:val="single" w:color="auto" w:sz="4" w:space="0"/>
                    <w:tl2br w:val="nil"/>
                    <w:tr2bl w:val="nil"/>
                  </w:tcBorders>
                  <w:vAlign w:val="center"/>
                </w:tcPr>
                <w:p w14:paraId="32A4DAC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0.026 </w:t>
                  </w:r>
                </w:p>
              </w:tc>
              <w:tc>
                <w:tcPr>
                  <w:tcW w:w="554" w:type="dxa"/>
                  <w:vMerge w:val="continue"/>
                  <w:tcBorders>
                    <w:top w:val="single" w:color="auto" w:sz="4" w:space="0"/>
                    <w:bottom w:val="single" w:color="auto" w:sz="4" w:space="0"/>
                    <w:tl2br w:val="nil"/>
                    <w:tr2bl w:val="nil"/>
                  </w:tcBorders>
                  <w:vAlign w:val="center"/>
                </w:tcPr>
                <w:p w14:paraId="6A0124E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4E173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14" w:type="dxa"/>
                  <w:gridSpan w:val="12"/>
                  <w:tcBorders>
                    <w:tl2br w:val="nil"/>
                    <w:tr2bl w:val="nil"/>
                  </w:tcBorders>
                  <w:vAlign w:val="center"/>
                </w:tcPr>
                <w:p w14:paraId="588DBD5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left"/>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color w:val="auto"/>
                      <w:spacing w:val="-1"/>
                      <w:sz w:val="18"/>
                      <w:szCs w:val="18"/>
                      <w:lang w:val="en-US" w:eastAsia="zh-CN"/>
                    </w:rPr>
                    <w:t>注：</w:t>
                  </w:r>
                  <w:r>
                    <w:rPr>
                      <w:rFonts w:hint="default" w:ascii="Times New Roman" w:hAnsi="Times New Roman" w:eastAsia="宋体" w:cs="Times New Roman"/>
                      <w:color w:val="auto"/>
                      <w:spacing w:val="-1"/>
                      <w:sz w:val="18"/>
                      <w:szCs w:val="18"/>
                      <w:lang w:val="en-US" w:eastAsia="zh-CN"/>
                    </w:rPr>
                    <w:t>S为天然气收到基硫分，本项目</w:t>
                  </w:r>
                  <w:r>
                    <w:rPr>
                      <w:rFonts w:hint="eastAsia" w:cs="Times New Roman"/>
                      <w:color w:val="auto"/>
                      <w:spacing w:val="-1"/>
                      <w:sz w:val="18"/>
                      <w:szCs w:val="18"/>
                      <w:lang w:val="en-US" w:eastAsia="zh-CN"/>
                    </w:rPr>
                    <w:t>退火</w:t>
                  </w:r>
                  <w:r>
                    <w:rPr>
                      <w:rFonts w:hint="default" w:ascii="Times New Roman" w:hAnsi="Times New Roman" w:cs="Times New Roman"/>
                      <w:color w:val="auto"/>
                      <w:spacing w:val="-1"/>
                      <w:sz w:val="18"/>
                      <w:szCs w:val="18"/>
                      <w:lang w:val="en-US" w:eastAsia="zh-CN"/>
                    </w:rPr>
                    <w:t>工序</w:t>
                  </w:r>
                  <w:r>
                    <w:rPr>
                      <w:rFonts w:hint="default" w:ascii="Times New Roman" w:hAnsi="Times New Roman" w:eastAsia="宋体" w:cs="Times New Roman"/>
                      <w:color w:val="auto"/>
                      <w:spacing w:val="-1"/>
                      <w:sz w:val="18"/>
                      <w:szCs w:val="18"/>
                      <w:lang w:val="en-US" w:eastAsia="zh-CN"/>
                    </w:rPr>
                    <w:t>以天然气为燃料，根据《天然气》（GB17820-2018），S取值100mg/m³。</w:t>
                  </w:r>
                </w:p>
              </w:tc>
            </w:tr>
          </w:tbl>
          <w:p w14:paraId="3C711B35">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⑩焊接</w:t>
            </w:r>
            <w:r>
              <w:rPr>
                <w:rFonts w:hint="eastAsia" w:ascii="Times New Roman" w:eastAsia="宋体"/>
                <w:color w:val="auto"/>
                <w:sz w:val="24"/>
                <w:szCs w:val="24"/>
                <w:highlight w:val="none"/>
                <w:lang w:eastAsia="zh-CN"/>
              </w:rPr>
              <w:t>废气</w:t>
            </w:r>
          </w:p>
          <w:p w14:paraId="1F7D3E47">
            <w:pPr>
              <w:pStyle w:val="10"/>
              <w:spacing w:line="360" w:lineRule="auto"/>
              <w:ind w:firstLine="480"/>
              <w:rPr>
                <w:rFonts w:hint="eastAsia" w:ascii="Times New Roman" w:eastAsia="宋体"/>
                <w:color w:val="auto"/>
                <w:sz w:val="24"/>
                <w:szCs w:val="24"/>
                <w:highlight w:val="none"/>
                <w:lang w:val="en-US" w:eastAsia="zh-CN"/>
              </w:rPr>
            </w:pPr>
            <w:r>
              <w:rPr>
                <w:rFonts w:hint="eastAsia"/>
                <w:color w:val="auto"/>
                <w:sz w:val="24"/>
                <w:szCs w:val="24"/>
                <w:highlight w:val="none"/>
                <w:lang w:val="en-US" w:eastAsia="zh-CN"/>
              </w:rPr>
              <w:t>本项目熔模铸造部分工件需要焊接，</w:t>
            </w:r>
            <w:r>
              <w:rPr>
                <w:rFonts w:hint="eastAsia" w:ascii="Times New Roman" w:eastAsia="宋体"/>
                <w:color w:val="auto"/>
                <w:sz w:val="24"/>
                <w:szCs w:val="24"/>
                <w:highlight w:val="none"/>
                <w:lang w:val="en-US" w:eastAsia="zh-CN"/>
              </w:rPr>
              <w:t>焊接过程</w:t>
            </w:r>
            <w:r>
              <w:rPr>
                <w:rFonts w:hint="eastAsia"/>
                <w:color w:val="auto"/>
                <w:sz w:val="24"/>
                <w:szCs w:val="24"/>
                <w:highlight w:val="none"/>
                <w:lang w:val="en-US" w:eastAsia="zh-CN"/>
              </w:rPr>
              <w:t>主要产生焊接烟尘</w:t>
            </w:r>
            <w:r>
              <w:rPr>
                <w:rFonts w:hint="eastAsia" w:ascii="Times New Roman" w:eastAsia="宋体"/>
                <w:color w:val="auto"/>
                <w:sz w:val="24"/>
                <w:szCs w:val="24"/>
                <w:highlight w:val="none"/>
                <w:lang w:eastAsia="zh-CN"/>
              </w:rPr>
              <w:t>。项目</w:t>
            </w:r>
            <w:r>
              <w:rPr>
                <w:rFonts w:hint="eastAsia" w:ascii="Times New Roman" w:eastAsia="宋体"/>
                <w:color w:val="auto"/>
                <w:sz w:val="24"/>
                <w:szCs w:val="24"/>
                <w:highlight w:val="none"/>
                <w:lang w:val="en-US" w:eastAsia="zh-CN"/>
              </w:rPr>
              <w:t>焊接</w:t>
            </w:r>
            <w:r>
              <w:rPr>
                <w:rFonts w:hint="eastAsia" w:ascii="Times New Roman" w:eastAsia="宋体"/>
                <w:color w:val="auto"/>
                <w:sz w:val="24"/>
                <w:szCs w:val="24"/>
                <w:highlight w:val="none"/>
                <w:lang w:eastAsia="zh-CN"/>
              </w:rPr>
              <w:t>设备运行时间为</w:t>
            </w:r>
            <w:r>
              <w:rPr>
                <w:rFonts w:hint="eastAsia" w:ascii="Times New Roman" w:eastAsia="宋体"/>
                <w:color w:val="auto"/>
                <w:sz w:val="24"/>
                <w:szCs w:val="24"/>
                <w:highlight w:val="none"/>
                <w:lang w:val="en-US" w:eastAsia="zh-CN"/>
              </w:rPr>
              <w:t>10</w:t>
            </w:r>
            <w:r>
              <w:rPr>
                <w:rFonts w:hint="eastAsia" w:ascii="Times New Roman" w:eastAsia="宋体"/>
                <w:color w:val="auto"/>
                <w:sz w:val="24"/>
                <w:szCs w:val="24"/>
                <w:highlight w:val="none"/>
                <w:lang w:eastAsia="zh-CN"/>
              </w:rPr>
              <w:t>00h/a，参考《排放源统计调查产排污核算方法和系数手册》，项目</w:t>
            </w:r>
            <w:r>
              <w:rPr>
                <w:rFonts w:hint="eastAsia" w:ascii="Times New Roman" w:eastAsia="宋体"/>
                <w:color w:val="auto"/>
                <w:sz w:val="24"/>
                <w:szCs w:val="24"/>
                <w:highlight w:val="none"/>
                <w:lang w:val="en-US" w:eastAsia="zh-CN"/>
              </w:rPr>
              <w:t>焊接烟尘</w:t>
            </w:r>
            <w:r>
              <w:rPr>
                <w:rFonts w:hint="eastAsia" w:ascii="Times New Roman" w:eastAsia="宋体"/>
                <w:color w:val="auto"/>
                <w:sz w:val="24"/>
                <w:szCs w:val="24"/>
                <w:highlight w:val="none"/>
                <w:lang w:eastAsia="zh-CN"/>
              </w:rPr>
              <w:t>产生情况见下表。</w:t>
            </w:r>
            <w:r>
              <w:rPr>
                <w:rFonts w:hint="eastAsia" w:ascii="Times New Roman" w:eastAsia="宋体"/>
                <w:color w:val="auto"/>
                <w:sz w:val="24"/>
                <w:szCs w:val="24"/>
                <w:highlight w:val="none"/>
                <w:lang w:val="en-US" w:eastAsia="zh-CN"/>
              </w:rPr>
              <w:t>焊接工位配备1台移动式烟尘净化器，烟尘收集效率以80%，烟尘净化效率以95%计。</w:t>
            </w:r>
          </w:p>
          <w:p w14:paraId="686E58E9">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12</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焊接烟尘</w:t>
            </w:r>
            <w:r>
              <w:rPr>
                <w:rFonts w:hint="eastAsia" w:ascii="Times New Roman" w:eastAsia="宋体"/>
                <w:b/>
                <w:bCs/>
                <w:color w:val="auto"/>
                <w:sz w:val="24"/>
                <w:szCs w:val="24"/>
                <w:highlight w:val="none"/>
                <w:lang w:eastAsia="zh-CN"/>
              </w:rPr>
              <w:t>产生情况一览表</w:t>
            </w:r>
          </w:p>
          <w:tbl>
            <w:tblPr>
              <w:tblStyle w:val="29"/>
              <w:tblW w:w="838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5"/>
              <w:gridCol w:w="891"/>
              <w:gridCol w:w="679"/>
              <w:gridCol w:w="633"/>
              <w:gridCol w:w="951"/>
              <w:gridCol w:w="865"/>
              <w:gridCol w:w="589"/>
              <w:gridCol w:w="609"/>
              <w:gridCol w:w="579"/>
              <w:gridCol w:w="525"/>
              <w:gridCol w:w="557"/>
              <w:gridCol w:w="514"/>
              <w:gridCol w:w="434"/>
            </w:tblGrid>
            <w:tr w14:paraId="434F69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5" w:type="dxa"/>
                  <w:vMerge w:val="restart"/>
                  <w:tcBorders>
                    <w:tl2br w:val="nil"/>
                    <w:tr2bl w:val="nil"/>
                  </w:tcBorders>
                  <w:vAlign w:val="center"/>
                </w:tcPr>
                <w:p w14:paraId="589318D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891" w:type="dxa"/>
                  <w:vMerge w:val="restart"/>
                  <w:tcBorders>
                    <w:tl2br w:val="nil"/>
                    <w:tr2bl w:val="nil"/>
                  </w:tcBorders>
                  <w:vAlign w:val="center"/>
                </w:tcPr>
                <w:p w14:paraId="29AA2B3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679" w:type="dxa"/>
                  <w:vMerge w:val="restart"/>
                  <w:tcBorders>
                    <w:tl2br w:val="nil"/>
                    <w:tr2bl w:val="nil"/>
                  </w:tcBorders>
                  <w:vAlign w:val="center"/>
                </w:tcPr>
                <w:p w14:paraId="538ECAD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w:t>
                  </w:r>
                  <w:r>
                    <w:rPr>
                      <w:rFonts w:hint="eastAsia" w:ascii="Times New Roman" w:hAnsi="Times New Roman" w:eastAsia="宋体" w:cs="Times New Roman"/>
                      <w:b/>
                      <w:bCs/>
                      <w:color w:val="auto"/>
                      <w:spacing w:val="-1"/>
                      <w:sz w:val="18"/>
                      <w:szCs w:val="18"/>
                      <w:lang w:val="en-US" w:eastAsia="zh-CN"/>
                    </w:rPr>
                    <w:t>焊材用量</w:t>
                  </w:r>
                  <w:r>
                    <w:rPr>
                      <w:rFonts w:hint="default" w:ascii="Times New Roman" w:hAnsi="Times New Roman" w:eastAsia="宋体" w:cs="Times New Roman"/>
                      <w:b/>
                      <w:bCs/>
                      <w:color w:val="auto"/>
                      <w:spacing w:val="-1"/>
                      <w:sz w:val="18"/>
                      <w:szCs w:val="18"/>
                    </w:rPr>
                    <w:t>（t/a）</w:t>
                  </w:r>
                </w:p>
              </w:tc>
              <w:tc>
                <w:tcPr>
                  <w:tcW w:w="633" w:type="dxa"/>
                  <w:vMerge w:val="restart"/>
                  <w:tcBorders>
                    <w:tl2br w:val="nil"/>
                    <w:tr2bl w:val="nil"/>
                  </w:tcBorders>
                  <w:vAlign w:val="center"/>
                </w:tcPr>
                <w:p w14:paraId="6F9120F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951" w:type="dxa"/>
                  <w:vMerge w:val="restart"/>
                  <w:tcBorders>
                    <w:tl2br w:val="nil"/>
                    <w:tr2bl w:val="nil"/>
                  </w:tcBorders>
                  <w:vAlign w:val="center"/>
                </w:tcPr>
                <w:p w14:paraId="09D2CF5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865" w:type="dxa"/>
                  <w:vMerge w:val="restart"/>
                  <w:tcBorders>
                    <w:tl2br w:val="nil"/>
                    <w:tr2bl w:val="nil"/>
                  </w:tcBorders>
                  <w:vAlign w:val="center"/>
                </w:tcPr>
                <w:p w14:paraId="0C899F4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73" w:type="dxa"/>
                  <w:gridSpan w:val="6"/>
                  <w:tcBorders>
                    <w:tl2br w:val="nil"/>
                    <w:tr2bl w:val="nil"/>
                  </w:tcBorders>
                  <w:vAlign w:val="center"/>
                </w:tcPr>
                <w:p w14:paraId="6500DAD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434" w:type="dxa"/>
                  <w:vMerge w:val="restart"/>
                  <w:tcBorders>
                    <w:tl2br w:val="nil"/>
                    <w:tr2bl w:val="nil"/>
                  </w:tcBorders>
                  <w:vAlign w:val="center"/>
                </w:tcPr>
                <w:p w14:paraId="57AE452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0E958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5" w:type="dxa"/>
                  <w:vMerge w:val="continue"/>
                  <w:tcBorders>
                    <w:tl2br w:val="nil"/>
                    <w:tr2bl w:val="nil"/>
                  </w:tcBorders>
                  <w:vAlign w:val="center"/>
                </w:tcPr>
                <w:p w14:paraId="2B42BF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1" w:type="dxa"/>
                  <w:vMerge w:val="continue"/>
                  <w:tcBorders>
                    <w:tl2br w:val="nil"/>
                    <w:tr2bl w:val="nil"/>
                  </w:tcBorders>
                  <w:vAlign w:val="center"/>
                </w:tcPr>
                <w:p w14:paraId="261D3B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5B6D5B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47DAE60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4FC72C5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28B8168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98" w:type="dxa"/>
                  <w:gridSpan w:val="2"/>
                  <w:tcBorders>
                    <w:tl2br w:val="nil"/>
                    <w:tr2bl w:val="nil"/>
                  </w:tcBorders>
                  <w:vAlign w:val="center"/>
                </w:tcPr>
                <w:p w14:paraId="225886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104" w:type="dxa"/>
                  <w:gridSpan w:val="2"/>
                  <w:tcBorders>
                    <w:tl2br w:val="nil"/>
                    <w:tr2bl w:val="nil"/>
                  </w:tcBorders>
                  <w:vAlign w:val="center"/>
                </w:tcPr>
                <w:p w14:paraId="4AE3E2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071" w:type="dxa"/>
                  <w:gridSpan w:val="2"/>
                  <w:tcBorders>
                    <w:tl2br w:val="nil"/>
                    <w:tr2bl w:val="nil"/>
                  </w:tcBorders>
                  <w:vAlign w:val="center"/>
                </w:tcPr>
                <w:p w14:paraId="3E3FA00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434" w:type="dxa"/>
                  <w:vMerge w:val="continue"/>
                  <w:tcBorders>
                    <w:bottom w:val="single" w:color="auto" w:sz="4" w:space="0"/>
                    <w:tl2br w:val="nil"/>
                    <w:tr2bl w:val="nil"/>
                  </w:tcBorders>
                  <w:vAlign w:val="center"/>
                </w:tcPr>
                <w:p w14:paraId="2B06C1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2237DA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5" w:type="dxa"/>
                  <w:vMerge w:val="continue"/>
                  <w:tcBorders>
                    <w:tl2br w:val="nil"/>
                    <w:tr2bl w:val="nil"/>
                  </w:tcBorders>
                  <w:vAlign w:val="center"/>
                </w:tcPr>
                <w:p w14:paraId="18EC490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1" w:type="dxa"/>
                  <w:vMerge w:val="continue"/>
                  <w:tcBorders>
                    <w:tl2br w:val="nil"/>
                    <w:tr2bl w:val="nil"/>
                  </w:tcBorders>
                  <w:vAlign w:val="center"/>
                </w:tcPr>
                <w:p w14:paraId="773F3E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50CFBDC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7E7493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37C803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2B7E18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89" w:type="dxa"/>
                  <w:tcBorders>
                    <w:tl2br w:val="nil"/>
                    <w:tr2bl w:val="nil"/>
                  </w:tcBorders>
                  <w:vAlign w:val="center"/>
                </w:tcPr>
                <w:p w14:paraId="441AFF7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609" w:type="dxa"/>
                  <w:tcBorders>
                    <w:tl2br w:val="nil"/>
                    <w:tr2bl w:val="nil"/>
                  </w:tcBorders>
                  <w:vAlign w:val="center"/>
                </w:tcPr>
                <w:p w14:paraId="16B4B5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79" w:type="dxa"/>
                  <w:tcBorders>
                    <w:tl2br w:val="nil"/>
                    <w:tr2bl w:val="nil"/>
                  </w:tcBorders>
                  <w:vAlign w:val="center"/>
                </w:tcPr>
                <w:p w14:paraId="183DDD3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25" w:type="dxa"/>
                  <w:tcBorders>
                    <w:tl2br w:val="nil"/>
                    <w:tr2bl w:val="nil"/>
                  </w:tcBorders>
                  <w:vAlign w:val="center"/>
                </w:tcPr>
                <w:p w14:paraId="6379EB5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57" w:type="dxa"/>
                  <w:tcBorders>
                    <w:tl2br w:val="nil"/>
                    <w:tr2bl w:val="nil"/>
                  </w:tcBorders>
                  <w:vAlign w:val="center"/>
                </w:tcPr>
                <w:p w14:paraId="60EDF00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14" w:type="dxa"/>
                  <w:tcBorders>
                    <w:tl2br w:val="nil"/>
                    <w:tr2bl w:val="nil"/>
                  </w:tcBorders>
                  <w:vAlign w:val="center"/>
                </w:tcPr>
                <w:p w14:paraId="6FEB2F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434" w:type="dxa"/>
                  <w:vMerge w:val="restart"/>
                  <w:tcBorders>
                    <w:top w:val="single" w:color="auto" w:sz="4" w:space="0"/>
                    <w:tl2br w:val="nil"/>
                    <w:tr2bl w:val="nil"/>
                  </w:tcBorders>
                  <w:vAlign w:val="center"/>
                </w:tcPr>
                <w:p w14:paraId="3E6895B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1#厂房</w:t>
                  </w:r>
                </w:p>
              </w:tc>
            </w:tr>
            <w:tr w14:paraId="6E901C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5" w:type="dxa"/>
                  <w:tcBorders>
                    <w:top w:val="single" w:color="auto" w:sz="4" w:space="0"/>
                    <w:tl2br w:val="nil"/>
                    <w:tr2bl w:val="nil"/>
                  </w:tcBorders>
                  <w:vAlign w:val="center"/>
                </w:tcPr>
                <w:p w14:paraId="6BDAD2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焊接</w:t>
                  </w:r>
                </w:p>
              </w:tc>
              <w:tc>
                <w:tcPr>
                  <w:tcW w:w="891" w:type="dxa"/>
                  <w:tcBorders>
                    <w:tl2br w:val="nil"/>
                    <w:tr2bl w:val="nil"/>
                  </w:tcBorders>
                  <w:vAlign w:val="center"/>
                </w:tcPr>
                <w:p w14:paraId="28EBAF6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熔模铸件</w:t>
                  </w:r>
                </w:p>
              </w:tc>
              <w:tc>
                <w:tcPr>
                  <w:tcW w:w="679" w:type="dxa"/>
                  <w:tcBorders>
                    <w:top w:val="single" w:color="auto" w:sz="4" w:space="0"/>
                    <w:tl2br w:val="nil"/>
                    <w:tr2bl w:val="nil"/>
                  </w:tcBorders>
                  <w:vAlign w:val="center"/>
                </w:tcPr>
                <w:p w14:paraId="61D172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cs="Times New Roman"/>
                      <w:color w:val="auto"/>
                      <w:spacing w:val="-1"/>
                      <w:sz w:val="18"/>
                      <w:szCs w:val="18"/>
                      <w:lang w:val="en-US" w:eastAsia="zh-CN"/>
                    </w:rPr>
                    <w:t>1.0</w:t>
                  </w:r>
                </w:p>
              </w:tc>
              <w:tc>
                <w:tcPr>
                  <w:tcW w:w="633" w:type="dxa"/>
                  <w:tcBorders>
                    <w:tl2br w:val="nil"/>
                    <w:tr2bl w:val="nil"/>
                  </w:tcBorders>
                  <w:vAlign w:val="center"/>
                </w:tcPr>
                <w:p w14:paraId="1A6CB38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1000</w:t>
                  </w:r>
                </w:p>
              </w:tc>
              <w:tc>
                <w:tcPr>
                  <w:tcW w:w="951" w:type="dxa"/>
                  <w:tcBorders>
                    <w:tl2br w:val="nil"/>
                    <w:tr2bl w:val="nil"/>
                  </w:tcBorders>
                  <w:shd w:val="clear" w:color="auto" w:fill="auto"/>
                  <w:vAlign w:val="center"/>
                </w:tcPr>
                <w:p w14:paraId="3462AA5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ascii="Times New Roman" w:hAnsi="Times New Roman" w:eastAsia="宋体" w:cs="Times New Roman"/>
                      <w:color w:val="auto"/>
                      <w:spacing w:val="-1"/>
                      <w:sz w:val="18"/>
                      <w:szCs w:val="18"/>
                      <w:lang w:val="en-US" w:eastAsia="zh-CN"/>
                    </w:rPr>
                    <w:t>颗粒物</w:t>
                  </w:r>
                </w:p>
              </w:tc>
              <w:tc>
                <w:tcPr>
                  <w:tcW w:w="865" w:type="dxa"/>
                  <w:tcBorders>
                    <w:tl2br w:val="nil"/>
                    <w:tr2bl w:val="nil"/>
                  </w:tcBorders>
                  <w:shd w:val="clear" w:color="auto" w:fill="auto"/>
                  <w:vAlign w:val="center"/>
                </w:tcPr>
                <w:p w14:paraId="237908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20.2</w:t>
                  </w:r>
                </w:p>
              </w:tc>
              <w:tc>
                <w:tcPr>
                  <w:tcW w:w="589" w:type="dxa"/>
                  <w:tcBorders>
                    <w:tl2br w:val="nil"/>
                    <w:tr2bl w:val="nil"/>
                  </w:tcBorders>
                  <w:shd w:val="clear" w:color="auto" w:fill="auto"/>
                  <w:vAlign w:val="center"/>
                </w:tcPr>
                <w:p w14:paraId="35BDE1E4">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kern w:val="2"/>
                      <w:sz w:val="18"/>
                      <w:szCs w:val="18"/>
                      <w:lang w:val="en-US" w:eastAsia="zh-CN" w:bidi="ar-SA"/>
                    </w:rPr>
                    <w:t>0</w:t>
                  </w:r>
                </w:p>
              </w:tc>
              <w:tc>
                <w:tcPr>
                  <w:tcW w:w="609" w:type="dxa"/>
                  <w:tcBorders>
                    <w:tl2br w:val="nil"/>
                    <w:tr2bl w:val="nil"/>
                  </w:tcBorders>
                  <w:shd w:val="clear" w:color="auto" w:fill="auto"/>
                  <w:vAlign w:val="center"/>
                </w:tcPr>
                <w:p w14:paraId="5B6A22B2">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kern w:val="2"/>
                      <w:sz w:val="18"/>
                      <w:szCs w:val="18"/>
                      <w:lang w:val="en-US" w:eastAsia="zh-CN" w:bidi="ar-SA"/>
                    </w:rPr>
                    <w:t>0</w:t>
                  </w:r>
                </w:p>
              </w:tc>
              <w:tc>
                <w:tcPr>
                  <w:tcW w:w="579" w:type="dxa"/>
                  <w:tcBorders>
                    <w:tl2br w:val="nil"/>
                    <w:tr2bl w:val="nil"/>
                  </w:tcBorders>
                  <w:shd w:val="clear" w:color="auto" w:fill="auto"/>
                  <w:vAlign w:val="center"/>
                </w:tcPr>
                <w:p w14:paraId="40E836C0">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0.005 </w:t>
                  </w:r>
                </w:p>
              </w:tc>
              <w:tc>
                <w:tcPr>
                  <w:tcW w:w="525" w:type="dxa"/>
                  <w:tcBorders>
                    <w:tl2br w:val="nil"/>
                    <w:tr2bl w:val="nil"/>
                  </w:tcBorders>
                  <w:shd w:val="clear" w:color="auto" w:fill="auto"/>
                  <w:vAlign w:val="center"/>
                </w:tcPr>
                <w:p w14:paraId="4B4DAE13">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0.005 </w:t>
                  </w:r>
                </w:p>
              </w:tc>
              <w:tc>
                <w:tcPr>
                  <w:tcW w:w="557" w:type="dxa"/>
                  <w:tcBorders>
                    <w:tl2br w:val="nil"/>
                    <w:tr2bl w:val="nil"/>
                  </w:tcBorders>
                  <w:shd w:val="clear" w:color="auto" w:fill="auto"/>
                  <w:vAlign w:val="center"/>
                </w:tcPr>
                <w:p w14:paraId="28A419BC">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0.020 </w:t>
                  </w:r>
                </w:p>
              </w:tc>
              <w:tc>
                <w:tcPr>
                  <w:tcW w:w="514" w:type="dxa"/>
                  <w:tcBorders>
                    <w:tl2br w:val="nil"/>
                    <w:tr2bl w:val="nil"/>
                  </w:tcBorders>
                  <w:shd w:val="clear" w:color="auto" w:fill="auto"/>
                  <w:vAlign w:val="center"/>
                </w:tcPr>
                <w:p w14:paraId="10AFCDE1">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0.020 </w:t>
                  </w:r>
                </w:p>
              </w:tc>
              <w:tc>
                <w:tcPr>
                  <w:tcW w:w="434" w:type="dxa"/>
                  <w:vMerge w:val="continue"/>
                  <w:tcBorders>
                    <w:tl2br w:val="nil"/>
                    <w:tr2bl w:val="nil"/>
                  </w:tcBorders>
                  <w:vAlign w:val="center"/>
                </w:tcPr>
                <w:p w14:paraId="6FB40D7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bl>
          <w:p w14:paraId="40143691">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w:t>
            </w:r>
            <w:r>
              <w:rPr>
                <w:rFonts w:hint="eastAsia"/>
                <w:b/>
                <w:bCs/>
                <w:color w:val="auto"/>
                <w:sz w:val="24"/>
                <w:szCs w:val="24"/>
                <w:highlight w:val="none"/>
                <w:lang w:val="en-US" w:eastAsia="zh-CN"/>
              </w:rPr>
              <w:t>2</w:t>
            </w:r>
            <w:r>
              <w:rPr>
                <w:rFonts w:hint="eastAsia" w:ascii="Times New Roman" w:eastAsia="宋体"/>
                <w:b/>
                <w:bCs/>
                <w:color w:val="auto"/>
                <w:sz w:val="24"/>
                <w:szCs w:val="24"/>
                <w:highlight w:val="none"/>
                <w:lang w:eastAsia="zh-CN"/>
              </w:rPr>
              <w:t>）</w:t>
            </w:r>
            <w:r>
              <w:rPr>
                <w:rFonts w:hint="eastAsia"/>
                <w:b/>
                <w:bCs/>
                <w:color w:val="auto"/>
                <w:sz w:val="24"/>
                <w:szCs w:val="24"/>
                <w:highlight w:val="none"/>
                <w:lang w:val="en-US" w:eastAsia="zh-CN"/>
              </w:rPr>
              <w:t>消防栓箱生产</w:t>
            </w:r>
            <w:r>
              <w:rPr>
                <w:rFonts w:hint="eastAsia" w:ascii="Times New Roman" w:eastAsia="宋体"/>
                <w:b/>
                <w:bCs/>
                <w:color w:val="auto"/>
                <w:sz w:val="24"/>
                <w:szCs w:val="24"/>
                <w:highlight w:val="none"/>
                <w:lang w:eastAsia="zh-CN"/>
              </w:rPr>
              <w:t>废气源强核算</w:t>
            </w:r>
          </w:p>
          <w:p w14:paraId="629F9A12">
            <w:pPr>
              <w:pStyle w:val="10"/>
              <w:spacing w:line="360" w:lineRule="auto"/>
              <w:ind w:firstLine="480"/>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①消防软管卷盘</w:t>
            </w:r>
            <w:r>
              <w:rPr>
                <w:rFonts w:hint="eastAsia" w:ascii="Times New Roman" w:eastAsia="宋体"/>
                <w:color w:val="auto"/>
                <w:sz w:val="24"/>
                <w:szCs w:val="24"/>
                <w:highlight w:val="none"/>
                <w:lang w:eastAsia="zh-CN"/>
              </w:rPr>
              <w:t>投料、拌料粉尘废气</w:t>
            </w:r>
          </w:p>
          <w:p w14:paraId="1C22F6F6">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根据产品需求，将PVC塑料米、DOP增塑剂、轻质碳酸钙、稳定剂等按一定比例投料到搅拌机中然后进行拌料，搅拌过程搅拌机全密闭，搅拌结束后将搅拌机打开，投料、拌料过程中会有粉尘废气产生，参考《排放源统计调查产排污核算方法和系数手册》：塑料管配料产污系数为：颗粒物6.00kg/t·产品。投料拌料粉尘废气采用集气罩进行收集，废气收集效率按80%计，则投料拌料粉尘废气污染物产生情况详见下表。</w:t>
            </w:r>
          </w:p>
          <w:p w14:paraId="5D9001E3">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13</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投料、拌料粉尘</w:t>
            </w:r>
            <w:r>
              <w:rPr>
                <w:rFonts w:hint="eastAsia" w:ascii="Times New Roman" w:eastAsia="宋体"/>
                <w:b/>
                <w:bCs/>
                <w:color w:val="auto"/>
                <w:sz w:val="24"/>
                <w:szCs w:val="24"/>
                <w:highlight w:val="none"/>
                <w:lang w:eastAsia="zh-CN"/>
              </w:rPr>
              <w:t>污染物产生情况一览表</w:t>
            </w:r>
          </w:p>
          <w:tbl>
            <w:tblPr>
              <w:tblStyle w:val="29"/>
              <w:tblW w:w="838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8"/>
              <w:gridCol w:w="663"/>
              <w:gridCol w:w="679"/>
              <w:gridCol w:w="633"/>
              <w:gridCol w:w="719"/>
              <w:gridCol w:w="807"/>
              <w:gridCol w:w="655"/>
              <w:gridCol w:w="555"/>
              <w:gridCol w:w="517"/>
              <w:gridCol w:w="605"/>
              <w:gridCol w:w="542"/>
              <w:gridCol w:w="504"/>
              <w:gridCol w:w="719"/>
            </w:tblGrid>
            <w:tr w14:paraId="7B116E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8" w:type="dxa"/>
                  <w:vMerge w:val="restart"/>
                  <w:tcBorders>
                    <w:tl2br w:val="nil"/>
                    <w:tr2bl w:val="nil"/>
                  </w:tcBorders>
                  <w:vAlign w:val="center"/>
                </w:tcPr>
                <w:p w14:paraId="4EE4E2B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663" w:type="dxa"/>
                  <w:vMerge w:val="restart"/>
                  <w:tcBorders>
                    <w:tl2br w:val="nil"/>
                    <w:tr2bl w:val="nil"/>
                  </w:tcBorders>
                  <w:vAlign w:val="center"/>
                </w:tcPr>
                <w:p w14:paraId="4A386A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679" w:type="dxa"/>
                  <w:vMerge w:val="restart"/>
                  <w:tcBorders>
                    <w:tl2br w:val="nil"/>
                    <w:tr2bl w:val="nil"/>
                  </w:tcBorders>
                  <w:vAlign w:val="center"/>
                </w:tcPr>
                <w:p w14:paraId="22D2D1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633" w:type="dxa"/>
                  <w:vMerge w:val="restart"/>
                  <w:tcBorders>
                    <w:tl2br w:val="nil"/>
                    <w:tr2bl w:val="nil"/>
                  </w:tcBorders>
                  <w:vAlign w:val="center"/>
                </w:tcPr>
                <w:p w14:paraId="26ECA60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719" w:type="dxa"/>
                  <w:vMerge w:val="restart"/>
                  <w:tcBorders>
                    <w:tl2br w:val="nil"/>
                    <w:tr2bl w:val="nil"/>
                  </w:tcBorders>
                  <w:vAlign w:val="center"/>
                </w:tcPr>
                <w:p w14:paraId="052B958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807" w:type="dxa"/>
                  <w:vMerge w:val="restart"/>
                  <w:tcBorders>
                    <w:tl2br w:val="nil"/>
                    <w:tr2bl w:val="nil"/>
                  </w:tcBorders>
                  <w:vAlign w:val="center"/>
                </w:tcPr>
                <w:p w14:paraId="7878C72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78" w:type="dxa"/>
                  <w:gridSpan w:val="6"/>
                  <w:tcBorders>
                    <w:tl2br w:val="nil"/>
                    <w:tr2bl w:val="nil"/>
                  </w:tcBorders>
                  <w:vAlign w:val="center"/>
                </w:tcPr>
                <w:p w14:paraId="5CE72D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719" w:type="dxa"/>
                  <w:vMerge w:val="restart"/>
                  <w:tcBorders>
                    <w:tl2br w:val="nil"/>
                    <w:tr2bl w:val="nil"/>
                  </w:tcBorders>
                  <w:vAlign w:val="center"/>
                </w:tcPr>
                <w:p w14:paraId="52B2692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333DBA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8" w:type="dxa"/>
                  <w:vMerge w:val="continue"/>
                  <w:tcBorders>
                    <w:tl2br w:val="nil"/>
                    <w:tr2bl w:val="nil"/>
                  </w:tcBorders>
                  <w:vAlign w:val="center"/>
                </w:tcPr>
                <w:p w14:paraId="0E6F9C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3" w:type="dxa"/>
                  <w:vMerge w:val="continue"/>
                  <w:tcBorders>
                    <w:tl2br w:val="nil"/>
                    <w:tr2bl w:val="nil"/>
                  </w:tcBorders>
                  <w:vAlign w:val="center"/>
                </w:tcPr>
                <w:p w14:paraId="344DFF9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2808B63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1772CF7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9" w:type="dxa"/>
                  <w:vMerge w:val="continue"/>
                  <w:tcBorders>
                    <w:tl2br w:val="nil"/>
                    <w:tr2bl w:val="nil"/>
                  </w:tcBorders>
                  <w:vAlign w:val="center"/>
                </w:tcPr>
                <w:p w14:paraId="3750B72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07" w:type="dxa"/>
                  <w:vMerge w:val="continue"/>
                  <w:tcBorders>
                    <w:tl2br w:val="nil"/>
                    <w:tr2bl w:val="nil"/>
                  </w:tcBorders>
                  <w:vAlign w:val="center"/>
                </w:tcPr>
                <w:p w14:paraId="07C5A0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210" w:type="dxa"/>
                  <w:gridSpan w:val="2"/>
                  <w:tcBorders>
                    <w:tl2br w:val="nil"/>
                    <w:tr2bl w:val="nil"/>
                  </w:tcBorders>
                  <w:vAlign w:val="center"/>
                </w:tcPr>
                <w:p w14:paraId="6D2202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122" w:type="dxa"/>
                  <w:gridSpan w:val="2"/>
                  <w:tcBorders>
                    <w:tl2br w:val="nil"/>
                    <w:tr2bl w:val="nil"/>
                  </w:tcBorders>
                  <w:vAlign w:val="center"/>
                </w:tcPr>
                <w:p w14:paraId="756A33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046" w:type="dxa"/>
                  <w:gridSpan w:val="2"/>
                  <w:tcBorders>
                    <w:tl2br w:val="nil"/>
                    <w:tr2bl w:val="nil"/>
                  </w:tcBorders>
                  <w:vAlign w:val="center"/>
                </w:tcPr>
                <w:p w14:paraId="3D060FD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719" w:type="dxa"/>
                  <w:vMerge w:val="continue"/>
                  <w:tcBorders>
                    <w:bottom w:val="single" w:color="auto" w:sz="4" w:space="0"/>
                    <w:tl2br w:val="nil"/>
                    <w:tr2bl w:val="nil"/>
                  </w:tcBorders>
                  <w:vAlign w:val="center"/>
                </w:tcPr>
                <w:p w14:paraId="77441D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252F80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8" w:type="dxa"/>
                  <w:vMerge w:val="continue"/>
                  <w:tcBorders>
                    <w:tl2br w:val="nil"/>
                    <w:tr2bl w:val="nil"/>
                  </w:tcBorders>
                  <w:vAlign w:val="center"/>
                </w:tcPr>
                <w:p w14:paraId="553F294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3" w:type="dxa"/>
                  <w:vMerge w:val="continue"/>
                  <w:tcBorders>
                    <w:tl2br w:val="nil"/>
                    <w:tr2bl w:val="nil"/>
                  </w:tcBorders>
                  <w:vAlign w:val="center"/>
                </w:tcPr>
                <w:p w14:paraId="1DE0B23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72B294F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774D5B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9" w:type="dxa"/>
                  <w:vMerge w:val="continue"/>
                  <w:tcBorders>
                    <w:tl2br w:val="nil"/>
                    <w:tr2bl w:val="nil"/>
                  </w:tcBorders>
                  <w:vAlign w:val="center"/>
                </w:tcPr>
                <w:p w14:paraId="6004B3F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07" w:type="dxa"/>
                  <w:vMerge w:val="continue"/>
                  <w:tcBorders>
                    <w:tl2br w:val="nil"/>
                    <w:tr2bl w:val="nil"/>
                  </w:tcBorders>
                  <w:vAlign w:val="center"/>
                </w:tcPr>
                <w:p w14:paraId="67C9AB1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55" w:type="dxa"/>
                  <w:tcBorders>
                    <w:tl2br w:val="nil"/>
                    <w:tr2bl w:val="nil"/>
                  </w:tcBorders>
                  <w:vAlign w:val="center"/>
                </w:tcPr>
                <w:p w14:paraId="0D1F04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55" w:type="dxa"/>
                  <w:tcBorders>
                    <w:tl2br w:val="nil"/>
                    <w:tr2bl w:val="nil"/>
                  </w:tcBorders>
                  <w:vAlign w:val="center"/>
                </w:tcPr>
                <w:p w14:paraId="1495FB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17" w:type="dxa"/>
                  <w:tcBorders>
                    <w:tl2br w:val="nil"/>
                    <w:tr2bl w:val="nil"/>
                  </w:tcBorders>
                  <w:vAlign w:val="center"/>
                </w:tcPr>
                <w:p w14:paraId="2D4EB3C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605" w:type="dxa"/>
                  <w:tcBorders>
                    <w:tl2br w:val="nil"/>
                    <w:tr2bl w:val="nil"/>
                  </w:tcBorders>
                  <w:vAlign w:val="center"/>
                </w:tcPr>
                <w:p w14:paraId="1163E15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42" w:type="dxa"/>
                  <w:tcBorders>
                    <w:tl2br w:val="nil"/>
                    <w:tr2bl w:val="nil"/>
                  </w:tcBorders>
                  <w:vAlign w:val="center"/>
                </w:tcPr>
                <w:p w14:paraId="1E5295B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04" w:type="dxa"/>
                  <w:tcBorders>
                    <w:tl2br w:val="nil"/>
                    <w:tr2bl w:val="nil"/>
                  </w:tcBorders>
                  <w:vAlign w:val="center"/>
                </w:tcPr>
                <w:p w14:paraId="184E10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719" w:type="dxa"/>
                  <w:vMerge w:val="restart"/>
                  <w:tcBorders>
                    <w:top w:val="single" w:color="auto" w:sz="4" w:space="0"/>
                    <w:tl2br w:val="nil"/>
                    <w:tr2bl w:val="nil"/>
                  </w:tcBorders>
                  <w:vAlign w:val="center"/>
                </w:tcPr>
                <w:p w14:paraId="07384AB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2#厂房</w:t>
                  </w:r>
                </w:p>
              </w:tc>
            </w:tr>
            <w:tr w14:paraId="4EAA22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88" w:type="dxa"/>
                  <w:tcBorders>
                    <w:top w:val="single" w:color="auto" w:sz="4" w:space="0"/>
                    <w:tl2br w:val="nil"/>
                    <w:tr2bl w:val="nil"/>
                  </w:tcBorders>
                  <w:vAlign w:val="center"/>
                </w:tcPr>
                <w:p w14:paraId="06FC735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投料、拌料</w:t>
                  </w:r>
                </w:p>
              </w:tc>
              <w:tc>
                <w:tcPr>
                  <w:tcW w:w="663" w:type="dxa"/>
                  <w:tcBorders>
                    <w:tl2br w:val="nil"/>
                    <w:tr2bl w:val="nil"/>
                  </w:tcBorders>
                  <w:vAlign w:val="center"/>
                </w:tcPr>
                <w:p w14:paraId="29CCB6C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消防软管卷盘</w:t>
                  </w:r>
                </w:p>
              </w:tc>
              <w:tc>
                <w:tcPr>
                  <w:tcW w:w="679" w:type="dxa"/>
                  <w:tcBorders>
                    <w:top w:val="single" w:color="auto" w:sz="4" w:space="0"/>
                    <w:tl2br w:val="nil"/>
                    <w:tr2bl w:val="nil"/>
                  </w:tcBorders>
                  <w:vAlign w:val="center"/>
                </w:tcPr>
                <w:p w14:paraId="64FF06D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cs="Times New Roman"/>
                      <w:color w:val="auto"/>
                      <w:spacing w:val="-1"/>
                      <w:sz w:val="18"/>
                      <w:szCs w:val="18"/>
                      <w:lang w:val="en-US" w:eastAsia="zh-CN"/>
                    </w:rPr>
                    <w:t>401.2</w:t>
                  </w:r>
                </w:p>
              </w:tc>
              <w:tc>
                <w:tcPr>
                  <w:tcW w:w="633" w:type="dxa"/>
                  <w:tcBorders>
                    <w:tl2br w:val="nil"/>
                    <w:tr2bl w:val="nil"/>
                  </w:tcBorders>
                  <w:vAlign w:val="center"/>
                </w:tcPr>
                <w:p w14:paraId="11A1DCE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4800</w:t>
                  </w:r>
                </w:p>
              </w:tc>
              <w:tc>
                <w:tcPr>
                  <w:tcW w:w="719" w:type="dxa"/>
                  <w:tcBorders>
                    <w:tl2br w:val="nil"/>
                    <w:tr2bl w:val="nil"/>
                  </w:tcBorders>
                  <w:shd w:val="clear" w:color="auto" w:fill="auto"/>
                  <w:vAlign w:val="center"/>
                </w:tcPr>
                <w:p w14:paraId="41866E1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ascii="Times New Roman" w:hAnsi="Times New Roman" w:eastAsia="宋体" w:cs="Times New Roman"/>
                      <w:color w:val="auto"/>
                      <w:spacing w:val="-1"/>
                      <w:sz w:val="18"/>
                      <w:szCs w:val="18"/>
                      <w:lang w:val="en-US" w:eastAsia="zh-CN"/>
                    </w:rPr>
                    <w:t>颗粒物</w:t>
                  </w:r>
                </w:p>
              </w:tc>
              <w:tc>
                <w:tcPr>
                  <w:tcW w:w="807" w:type="dxa"/>
                  <w:tcBorders>
                    <w:tl2br w:val="nil"/>
                    <w:tr2bl w:val="nil"/>
                  </w:tcBorders>
                  <w:shd w:val="clear" w:color="auto" w:fill="auto"/>
                  <w:vAlign w:val="center"/>
                </w:tcPr>
                <w:p w14:paraId="3340D6E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6.00</w:t>
                  </w:r>
                </w:p>
              </w:tc>
              <w:tc>
                <w:tcPr>
                  <w:tcW w:w="655" w:type="dxa"/>
                  <w:tcBorders>
                    <w:tl2br w:val="nil"/>
                    <w:tr2bl w:val="nil"/>
                  </w:tcBorders>
                  <w:shd w:val="clear" w:color="auto" w:fill="auto"/>
                  <w:vAlign w:val="center"/>
                </w:tcPr>
                <w:p w14:paraId="48083400">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1.926</w:t>
                  </w:r>
                </w:p>
              </w:tc>
              <w:tc>
                <w:tcPr>
                  <w:tcW w:w="555" w:type="dxa"/>
                  <w:tcBorders>
                    <w:tl2br w:val="nil"/>
                    <w:tr2bl w:val="nil"/>
                  </w:tcBorders>
                  <w:shd w:val="clear" w:color="auto" w:fill="auto"/>
                  <w:vAlign w:val="center"/>
                </w:tcPr>
                <w:p w14:paraId="51F94B53">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0.401</w:t>
                  </w:r>
                </w:p>
              </w:tc>
              <w:tc>
                <w:tcPr>
                  <w:tcW w:w="517" w:type="dxa"/>
                  <w:tcBorders>
                    <w:tl2br w:val="nil"/>
                    <w:tr2bl w:val="nil"/>
                  </w:tcBorders>
                  <w:shd w:val="clear" w:color="auto" w:fill="auto"/>
                  <w:vAlign w:val="center"/>
                </w:tcPr>
                <w:p w14:paraId="04CFF71A">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0.481</w:t>
                  </w:r>
                </w:p>
              </w:tc>
              <w:tc>
                <w:tcPr>
                  <w:tcW w:w="605" w:type="dxa"/>
                  <w:tcBorders>
                    <w:tl2br w:val="nil"/>
                    <w:tr2bl w:val="nil"/>
                  </w:tcBorders>
                  <w:shd w:val="clear" w:color="auto" w:fill="auto"/>
                  <w:vAlign w:val="center"/>
                </w:tcPr>
                <w:p w14:paraId="2667ACD0">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0.100</w:t>
                  </w:r>
                </w:p>
              </w:tc>
              <w:tc>
                <w:tcPr>
                  <w:tcW w:w="542" w:type="dxa"/>
                  <w:tcBorders>
                    <w:tl2br w:val="nil"/>
                    <w:tr2bl w:val="nil"/>
                  </w:tcBorders>
                  <w:shd w:val="clear" w:color="auto" w:fill="auto"/>
                  <w:vAlign w:val="center"/>
                </w:tcPr>
                <w:p w14:paraId="38353AC9">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2.407</w:t>
                  </w:r>
                </w:p>
              </w:tc>
              <w:tc>
                <w:tcPr>
                  <w:tcW w:w="504" w:type="dxa"/>
                  <w:tcBorders>
                    <w:tl2br w:val="nil"/>
                    <w:tr2bl w:val="nil"/>
                  </w:tcBorders>
                  <w:shd w:val="clear" w:color="auto" w:fill="auto"/>
                  <w:vAlign w:val="center"/>
                </w:tcPr>
                <w:p w14:paraId="752D2908">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0.502</w:t>
                  </w:r>
                </w:p>
              </w:tc>
              <w:tc>
                <w:tcPr>
                  <w:tcW w:w="719" w:type="dxa"/>
                  <w:vMerge w:val="continue"/>
                  <w:tcBorders>
                    <w:tl2br w:val="nil"/>
                    <w:tr2bl w:val="nil"/>
                  </w:tcBorders>
                  <w:vAlign w:val="center"/>
                </w:tcPr>
                <w:p w14:paraId="5FC07CF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bl>
          <w:p w14:paraId="3D24D41B">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②</w:t>
            </w:r>
            <w:r>
              <w:rPr>
                <w:rFonts w:hint="eastAsia" w:ascii="Times New Roman" w:eastAsia="宋体"/>
                <w:color w:val="auto"/>
                <w:sz w:val="24"/>
                <w:szCs w:val="24"/>
                <w:highlight w:val="none"/>
                <w:lang w:eastAsia="zh-CN"/>
              </w:rPr>
              <w:t>造粒</w:t>
            </w:r>
            <w:r>
              <w:rPr>
                <w:rFonts w:hint="eastAsia"/>
                <w:color w:val="auto"/>
                <w:sz w:val="24"/>
                <w:szCs w:val="24"/>
                <w:highlight w:val="none"/>
                <w:lang w:eastAsia="zh-CN"/>
              </w:rPr>
              <w:t>、</w:t>
            </w:r>
            <w:r>
              <w:rPr>
                <w:rFonts w:hint="eastAsia"/>
                <w:color w:val="auto"/>
                <w:sz w:val="24"/>
                <w:szCs w:val="24"/>
                <w:highlight w:val="none"/>
                <w:lang w:val="en-US" w:eastAsia="zh-CN"/>
              </w:rPr>
              <w:t>挤出、挤管</w:t>
            </w:r>
            <w:r>
              <w:rPr>
                <w:rFonts w:hint="eastAsia" w:ascii="Times New Roman" w:eastAsia="宋体"/>
                <w:color w:val="auto"/>
                <w:sz w:val="24"/>
                <w:szCs w:val="24"/>
                <w:highlight w:val="none"/>
                <w:lang w:eastAsia="zh-CN"/>
              </w:rPr>
              <w:t>废气</w:t>
            </w:r>
          </w:p>
          <w:p w14:paraId="0680237E">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本项目造粒工序温度为155℃~165℃，低于物料热分解温度。造粒过程会产生造粒废气。参考《排放源统计调查产排污核算方法和系数手册》：造粒过程</w:t>
            </w:r>
            <w:r>
              <w:rPr>
                <w:rFonts w:hint="eastAsia"/>
                <w:color w:val="auto"/>
                <w:sz w:val="24"/>
                <w:szCs w:val="24"/>
                <w:highlight w:val="none"/>
                <w:lang w:val="en-US" w:eastAsia="zh-CN"/>
              </w:rPr>
              <w:t>参考挤出工序</w:t>
            </w:r>
            <w:r>
              <w:rPr>
                <w:rFonts w:hint="eastAsia" w:ascii="Times New Roman" w:eastAsia="宋体"/>
                <w:color w:val="auto"/>
                <w:sz w:val="24"/>
                <w:szCs w:val="24"/>
                <w:highlight w:val="none"/>
                <w:lang w:eastAsia="zh-CN"/>
              </w:rPr>
              <w:t>产污系数：挥发性有机物</w:t>
            </w:r>
            <w:r>
              <w:rPr>
                <w:rFonts w:hint="eastAsia"/>
                <w:color w:val="auto"/>
                <w:sz w:val="24"/>
                <w:szCs w:val="24"/>
                <w:highlight w:val="none"/>
                <w:lang w:val="en-US" w:eastAsia="zh-CN"/>
              </w:rPr>
              <w:t>1.50</w:t>
            </w:r>
            <w:r>
              <w:rPr>
                <w:rFonts w:hint="eastAsia" w:ascii="Times New Roman" w:eastAsia="宋体"/>
                <w:color w:val="auto"/>
                <w:sz w:val="24"/>
                <w:szCs w:val="24"/>
                <w:highlight w:val="none"/>
                <w:lang w:eastAsia="zh-CN"/>
              </w:rPr>
              <w:t>kg/t·产品。造粒废气采用集气罩进行收集，废气收集效率按80%计，则项目造粒废气污染物产生情况详见下表。</w:t>
            </w:r>
          </w:p>
          <w:p w14:paraId="72C57C5B">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14</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造粒、挤出、挤管废气</w:t>
            </w:r>
            <w:r>
              <w:rPr>
                <w:rFonts w:hint="eastAsia" w:ascii="Times New Roman" w:eastAsia="宋体"/>
                <w:b/>
                <w:bCs/>
                <w:color w:val="auto"/>
                <w:sz w:val="24"/>
                <w:szCs w:val="24"/>
                <w:highlight w:val="none"/>
                <w:lang w:eastAsia="zh-CN"/>
              </w:rPr>
              <w:t>污染物产生情况一览表</w:t>
            </w:r>
          </w:p>
          <w:tbl>
            <w:tblPr>
              <w:tblStyle w:val="29"/>
              <w:tblW w:w="842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8"/>
              <w:gridCol w:w="878"/>
              <w:gridCol w:w="679"/>
              <w:gridCol w:w="633"/>
              <w:gridCol w:w="951"/>
              <w:gridCol w:w="865"/>
              <w:gridCol w:w="589"/>
              <w:gridCol w:w="609"/>
              <w:gridCol w:w="579"/>
              <w:gridCol w:w="525"/>
              <w:gridCol w:w="557"/>
              <w:gridCol w:w="514"/>
              <w:gridCol w:w="434"/>
            </w:tblGrid>
            <w:tr w14:paraId="2326DA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vMerge w:val="restart"/>
                  <w:tcBorders>
                    <w:tl2br w:val="nil"/>
                    <w:tr2bl w:val="nil"/>
                  </w:tcBorders>
                  <w:vAlign w:val="center"/>
                </w:tcPr>
                <w:p w14:paraId="6B3F20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878" w:type="dxa"/>
                  <w:vMerge w:val="restart"/>
                  <w:tcBorders>
                    <w:tl2br w:val="nil"/>
                    <w:tr2bl w:val="nil"/>
                  </w:tcBorders>
                  <w:vAlign w:val="center"/>
                </w:tcPr>
                <w:p w14:paraId="1C0927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679" w:type="dxa"/>
                  <w:vMerge w:val="restart"/>
                  <w:tcBorders>
                    <w:tl2br w:val="nil"/>
                    <w:tr2bl w:val="nil"/>
                  </w:tcBorders>
                  <w:vAlign w:val="center"/>
                </w:tcPr>
                <w:p w14:paraId="1A41C5C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633" w:type="dxa"/>
                  <w:vMerge w:val="restart"/>
                  <w:tcBorders>
                    <w:tl2br w:val="nil"/>
                    <w:tr2bl w:val="nil"/>
                  </w:tcBorders>
                  <w:vAlign w:val="center"/>
                </w:tcPr>
                <w:p w14:paraId="3ADE58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951" w:type="dxa"/>
                  <w:vMerge w:val="restart"/>
                  <w:tcBorders>
                    <w:tl2br w:val="nil"/>
                    <w:tr2bl w:val="nil"/>
                  </w:tcBorders>
                  <w:vAlign w:val="center"/>
                </w:tcPr>
                <w:p w14:paraId="53A5B6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865" w:type="dxa"/>
                  <w:vMerge w:val="restart"/>
                  <w:tcBorders>
                    <w:tl2br w:val="nil"/>
                    <w:tr2bl w:val="nil"/>
                  </w:tcBorders>
                  <w:vAlign w:val="center"/>
                </w:tcPr>
                <w:p w14:paraId="5151C8A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73" w:type="dxa"/>
                  <w:gridSpan w:val="6"/>
                  <w:tcBorders>
                    <w:tl2br w:val="nil"/>
                    <w:tr2bl w:val="nil"/>
                  </w:tcBorders>
                  <w:vAlign w:val="center"/>
                </w:tcPr>
                <w:p w14:paraId="1A4C6A0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434" w:type="dxa"/>
                  <w:vMerge w:val="restart"/>
                  <w:tcBorders>
                    <w:tl2br w:val="nil"/>
                    <w:tr2bl w:val="nil"/>
                  </w:tcBorders>
                  <w:vAlign w:val="center"/>
                </w:tcPr>
                <w:p w14:paraId="32B19D3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3BE33B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08" w:type="dxa"/>
                  <w:vMerge w:val="continue"/>
                  <w:tcBorders>
                    <w:tl2br w:val="nil"/>
                    <w:tr2bl w:val="nil"/>
                  </w:tcBorders>
                  <w:vAlign w:val="center"/>
                </w:tcPr>
                <w:p w14:paraId="6A974A7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78" w:type="dxa"/>
                  <w:vMerge w:val="continue"/>
                  <w:tcBorders>
                    <w:tl2br w:val="nil"/>
                    <w:tr2bl w:val="nil"/>
                  </w:tcBorders>
                  <w:vAlign w:val="center"/>
                </w:tcPr>
                <w:p w14:paraId="7C030AC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798D1CC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4C042E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74DDD7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73F6992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98" w:type="dxa"/>
                  <w:gridSpan w:val="2"/>
                  <w:tcBorders>
                    <w:tl2br w:val="nil"/>
                    <w:tr2bl w:val="nil"/>
                  </w:tcBorders>
                  <w:vAlign w:val="center"/>
                </w:tcPr>
                <w:p w14:paraId="26171EC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104" w:type="dxa"/>
                  <w:gridSpan w:val="2"/>
                  <w:tcBorders>
                    <w:tl2br w:val="nil"/>
                    <w:tr2bl w:val="nil"/>
                  </w:tcBorders>
                  <w:vAlign w:val="center"/>
                </w:tcPr>
                <w:p w14:paraId="6DCCF69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071" w:type="dxa"/>
                  <w:gridSpan w:val="2"/>
                  <w:tcBorders>
                    <w:tl2br w:val="nil"/>
                    <w:tr2bl w:val="nil"/>
                  </w:tcBorders>
                  <w:vAlign w:val="center"/>
                </w:tcPr>
                <w:p w14:paraId="338860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434" w:type="dxa"/>
                  <w:vMerge w:val="continue"/>
                  <w:tcBorders>
                    <w:bottom w:val="single" w:color="auto" w:sz="4" w:space="0"/>
                    <w:tl2br w:val="nil"/>
                    <w:tr2bl w:val="nil"/>
                  </w:tcBorders>
                  <w:vAlign w:val="center"/>
                </w:tcPr>
                <w:p w14:paraId="73BDDEE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6DB9FE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vMerge w:val="continue"/>
                  <w:tcBorders>
                    <w:tl2br w:val="nil"/>
                    <w:tr2bl w:val="nil"/>
                  </w:tcBorders>
                  <w:vAlign w:val="center"/>
                </w:tcPr>
                <w:p w14:paraId="2116D34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78" w:type="dxa"/>
                  <w:vMerge w:val="continue"/>
                  <w:tcBorders>
                    <w:tl2br w:val="nil"/>
                    <w:tr2bl w:val="nil"/>
                  </w:tcBorders>
                  <w:vAlign w:val="center"/>
                </w:tcPr>
                <w:p w14:paraId="140DC4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04C776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070D89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6BE0DC0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3E015A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89" w:type="dxa"/>
                  <w:tcBorders>
                    <w:tl2br w:val="nil"/>
                    <w:tr2bl w:val="nil"/>
                  </w:tcBorders>
                  <w:vAlign w:val="center"/>
                </w:tcPr>
                <w:p w14:paraId="37E526D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609" w:type="dxa"/>
                  <w:tcBorders>
                    <w:tl2br w:val="nil"/>
                    <w:tr2bl w:val="nil"/>
                  </w:tcBorders>
                  <w:vAlign w:val="center"/>
                </w:tcPr>
                <w:p w14:paraId="27AEF68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79" w:type="dxa"/>
                  <w:tcBorders>
                    <w:tl2br w:val="nil"/>
                    <w:tr2bl w:val="nil"/>
                  </w:tcBorders>
                  <w:vAlign w:val="center"/>
                </w:tcPr>
                <w:p w14:paraId="32F192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25" w:type="dxa"/>
                  <w:tcBorders>
                    <w:tl2br w:val="nil"/>
                    <w:tr2bl w:val="nil"/>
                  </w:tcBorders>
                  <w:vAlign w:val="center"/>
                </w:tcPr>
                <w:p w14:paraId="568B136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57" w:type="dxa"/>
                  <w:tcBorders>
                    <w:tl2br w:val="nil"/>
                    <w:tr2bl w:val="nil"/>
                  </w:tcBorders>
                  <w:vAlign w:val="center"/>
                </w:tcPr>
                <w:p w14:paraId="0E2A8BB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14" w:type="dxa"/>
                  <w:tcBorders>
                    <w:tl2br w:val="nil"/>
                    <w:tr2bl w:val="nil"/>
                  </w:tcBorders>
                  <w:vAlign w:val="center"/>
                </w:tcPr>
                <w:p w14:paraId="64BFB8C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434" w:type="dxa"/>
                  <w:vMerge w:val="restart"/>
                  <w:tcBorders>
                    <w:top w:val="single" w:color="auto" w:sz="4" w:space="0"/>
                    <w:tl2br w:val="nil"/>
                    <w:tr2bl w:val="nil"/>
                  </w:tcBorders>
                  <w:vAlign w:val="center"/>
                </w:tcPr>
                <w:p w14:paraId="1B5ED2D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2#厂房</w:t>
                  </w:r>
                </w:p>
              </w:tc>
            </w:tr>
            <w:tr w14:paraId="1CA85D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608" w:type="dxa"/>
                  <w:tcBorders>
                    <w:tl2br w:val="nil"/>
                    <w:tr2bl w:val="nil"/>
                  </w:tcBorders>
                  <w:vAlign w:val="center"/>
                </w:tcPr>
                <w:p w14:paraId="7B57A08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b w:val="0"/>
                      <w:bCs w:val="0"/>
                      <w:color w:val="auto"/>
                      <w:spacing w:val="-1"/>
                      <w:sz w:val="18"/>
                      <w:szCs w:val="18"/>
                      <w:lang w:val="en-US" w:eastAsia="zh-CN"/>
                    </w:rPr>
                  </w:pPr>
                  <w:r>
                    <w:rPr>
                      <w:rFonts w:hint="eastAsia" w:cs="Times New Roman"/>
                      <w:b w:val="0"/>
                      <w:bCs w:val="0"/>
                      <w:color w:val="auto"/>
                      <w:spacing w:val="-1"/>
                      <w:sz w:val="18"/>
                      <w:szCs w:val="18"/>
                      <w:lang w:val="en-US" w:eastAsia="zh-CN"/>
                    </w:rPr>
                    <w:t>挤管</w:t>
                  </w:r>
                </w:p>
              </w:tc>
              <w:tc>
                <w:tcPr>
                  <w:tcW w:w="878" w:type="dxa"/>
                  <w:tcBorders>
                    <w:tl2br w:val="nil"/>
                    <w:tr2bl w:val="nil"/>
                  </w:tcBorders>
                  <w:vAlign w:val="center"/>
                </w:tcPr>
                <w:p w14:paraId="497D711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lang w:val="en-US" w:eastAsia="zh-CN"/>
                    </w:rPr>
                  </w:pPr>
                  <w:r>
                    <w:rPr>
                      <w:rFonts w:hint="eastAsia" w:cs="Times New Roman"/>
                      <w:b w:val="0"/>
                      <w:bCs w:val="0"/>
                      <w:color w:val="auto"/>
                      <w:spacing w:val="-1"/>
                      <w:sz w:val="18"/>
                      <w:szCs w:val="18"/>
                      <w:lang w:val="en-US" w:eastAsia="zh-CN"/>
                    </w:rPr>
                    <w:t>消防水带</w:t>
                  </w:r>
                </w:p>
              </w:tc>
              <w:tc>
                <w:tcPr>
                  <w:tcW w:w="679" w:type="dxa"/>
                  <w:tcBorders>
                    <w:tl2br w:val="nil"/>
                    <w:tr2bl w:val="nil"/>
                  </w:tcBorders>
                  <w:vAlign w:val="center"/>
                </w:tcPr>
                <w:p w14:paraId="2D642F1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lang w:val="en-US" w:eastAsia="zh-CN"/>
                    </w:rPr>
                  </w:pPr>
                  <w:r>
                    <w:rPr>
                      <w:rFonts w:hint="eastAsia" w:cs="Times New Roman"/>
                      <w:b w:val="0"/>
                      <w:bCs w:val="0"/>
                      <w:color w:val="auto"/>
                      <w:spacing w:val="-1"/>
                      <w:sz w:val="18"/>
                      <w:szCs w:val="18"/>
                      <w:lang w:val="en-US" w:eastAsia="zh-CN"/>
                    </w:rPr>
                    <w:t>397</w:t>
                  </w:r>
                </w:p>
              </w:tc>
              <w:tc>
                <w:tcPr>
                  <w:tcW w:w="633" w:type="dxa"/>
                  <w:tcBorders>
                    <w:tl2br w:val="nil"/>
                    <w:tr2bl w:val="nil"/>
                  </w:tcBorders>
                  <w:vAlign w:val="center"/>
                </w:tcPr>
                <w:p w14:paraId="3358BE9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lang w:val="en-US" w:eastAsia="zh-CN"/>
                    </w:rPr>
                  </w:pPr>
                  <w:r>
                    <w:rPr>
                      <w:rFonts w:hint="eastAsia" w:cs="Times New Roman"/>
                      <w:b w:val="0"/>
                      <w:bCs w:val="0"/>
                      <w:color w:val="auto"/>
                      <w:spacing w:val="-1"/>
                      <w:sz w:val="18"/>
                      <w:szCs w:val="18"/>
                      <w:lang w:val="en-US" w:eastAsia="zh-CN"/>
                    </w:rPr>
                    <w:t>4800</w:t>
                  </w:r>
                </w:p>
              </w:tc>
              <w:tc>
                <w:tcPr>
                  <w:tcW w:w="951" w:type="dxa"/>
                  <w:tcBorders>
                    <w:tl2br w:val="nil"/>
                    <w:tr2bl w:val="nil"/>
                  </w:tcBorders>
                  <w:shd w:val="clear" w:color="auto" w:fill="auto"/>
                  <w:vAlign w:val="center"/>
                </w:tcPr>
                <w:p w14:paraId="3CAE5B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非甲烷总烃</w:t>
                  </w:r>
                </w:p>
              </w:tc>
              <w:tc>
                <w:tcPr>
                  <w:tcW w:w="865" w:type="dxa"/>
                  <w:tcBorders>
                    <w:tl2br w:val="nil"/>
                    <w:tr2bl w:val="nil"/>
                  </w:tcBorders>
                  <w:vAlign w:val="center"/>
                </w:tcPr>
                <w:p w14:paraId="70F320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rPr>
                  </w:pPr>
                  <w:r>
                    <w:rPr>
                      <w:rFonts w:hint="eastAsia" w:cs="Times New Roman"/>
                      <w:color w:val="auto"/>
                      <w:spacing w:val="-1"/>
                      <w:sz w:val="18"/>
                      <w:szCs w:val="18"/>
                      <w:lang w:val="en-US" w:eastAsia="zh-CN"/>
                    </w:rPr>
                    <w:t>1.50</w:t>
                  </w:r>
                </w:p>
              </w:tc>
              <w:tc>
                <w:tcPr>
                  <w:tcW w:w="589" w:type="dxa"/>
                  <w:tcBorders>
                    <w:tl2br w:val="nil"/>
                    <w:tr2bl w:val="nil"/>
                  </w:tcBorders>
                  <w:vAlign w:val="center"/>
                </w:tcPr>
                <w:p w14:paraId="5B072EE9">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0.476 </w:t>
                  </w:r>
                </w:p>
              </w:tc>
              <w:tc>
                <w:tcPr>
                  <w:tcW w:w="609" w:type="dxa"/>
                  <w:tcBorders>
                    <w:tl2br w:val="nil"/>
                    <w:tr2bl w:val="nil"/>
                  </w:tcBorders>
                  <w:vAlign w:val="center"/>
                </w:tcPr>
                <w:p w14:paraId="6F92D98E">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0.099 </w:t>
                  </w:r>
                </w:p>
              </w:tc>
              <w:tc>
                <w:tcPr>
                  <w:tcW w:w="579" w:type="dxa"/>
                  <w:tcBorders>
                    <w:tl2br w:val="nil"/>
                    <w:tr2bl w:val="nil"/>
                  </w:tcBorders>
                  <w:vAlign w:val="center"/>
                </w:tcPr>
                <w:p w14:paraId="60AE1AD2">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0.119 </w:t>
                  </w:r>
                </w:p>
              </w:tc>
              <w:tc>
                <w:tcPr>
                  <w:tcW w:w="525" w:type="dxa"/>
                  <w:tcBorders>
                    <w:tl2br w:val="nil"/>
                    <w:tr2bl w:val="nil"/>
                  </w:tcBorders>
                  <w:vAlign w:val="center"/>
                </w:tcPr>
                <w:p w14:paraId="46C3BE05">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0.025 </w:t>
                  </w:r>
                </w:p>
              </w:tc>
              <w:tc>
                <w:tcPr>
                  <w:tcW w:w="557" w:type="dxa"/>
                  <w:tcBorders>
                    <w:tl2br w:val="nil"/>
                    <w:tr2bl w:val="nil"/>
                  </w:tcBorders>
                  <w:vAlign w:val="center"/>
                </w:tcPr>
                <w:p w14:paraId="7D5B67EB">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0.596 </w:t>
                  </w:r>
                </w:p>
              </w:tc>
              <w:tc>
                <w:tcPr>
                  <w:tcW w:w="514" w:type="dxa"/>
                  <w:tcBorders>
                    <w:tl2br w:val="nil"/>
                    <w:tr2bl w:val="nil"/>
                  </w:tcBorders>
                  <w:vAlign w:val="center"/>
                </w:tcPr>
                <w:p w14:paraId="7B97FF37">
                  <w:pPr>
                    <w:keepNext w:val="0"/>
                    <w:keepLines w:val="0"/>
                    <w:widowControl/>
                    <w:suppressLineNumbers w:val="0"/>
                    <w:jc w:val="center"/>
                    <w:textAlignment w:val="center"/>
                    <w:rPr>
                      <w:rFonts w:hint="default" w:ascii="Times New Roman" w:hAnsi="Times New Roman" w:cs="Times New Roman"/>
                      <w:b w:val="0"/>
                      <w:bCs w:val="0"/>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0.124 </w:t>
                  </w:r>
                </w:p>
              </w:tc>
              <w:tc>
                <w:tcPr>
                  <w:tcW w:w="434" w:type="dxa"/>
                  <w:vMerge w:val="continue"/>
                  <w:tcBorders>
                    <w:tl2br w:val="nil"/>
                    <w:tr2bl w:val="nil"/>
                  </w:tcBorders>
                  <w:vAlign w:val="center"/>
                </w:tcPr>
                <w:p w14:paraId="1AD38E8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cs="Times New Roman"/>
                      <w:b w:val="0"/>
                      <w:bCs w:val="0"/>
                      <w:color w:val="auto"/>
                      <w:spacing w:val="-1"/>
                      <w:sz w:val="18"/>
                      <w:szCs w:val="18"/>
                      <w:lang w:val="en-US" w:eastAsia="zh-CN"/>
                    </w:rPr>
                  </w:pPr>
                </w:p>
              </w:tc>
            </w:tr>
            <w:tr w14:paraId="2AD175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op w:val="single" w:color="auto" w:sz="4" w:space="0"/>
                    <w:tl2br w:val="nil"/>
                    <w:tr2bl w:val="nil"/>
                  </w:tcBorders>
                  <w:vAlign w:val="center"/>
                </w:tcPr>
                <w:p w14:paraId="4EC26A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造粒、挤出</w:t>
                  </w:r>
                </w:p>
              </w:tc>
              <w:tc>
                <w:tcPr>
                  <w:tcW w:w="878" w:type="dxa"/>
                  <w:tcBorders>
                    <w:tl2br w:val="nil"/>
                    <w:tr2bl w:val="nil"/>
                  </w:tcBorders>
                  <w:vAlign w:val="center"/>
                </w:tcPr>
                <w:p w14:paraId="2F165F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消防软管卷盘</w:t>
                  </w:r>
                </w:p>
              </w:tc>
              <w:tc>
                <w:tcPr>
                  <w:tcW w:w="679" w:type="dxa"/>
                  <w:tcBorders>
                    <w:top w:val="single" w:color="auto" w:sz="4" w:space="0"/>
                    <w:tl2br w:val="nil"/>
                    <w:tr2bl w:val="nil"/>
                  </w:tcBorders>
                  <w:vAlign w:val="center"/>
                </w:tcPr>
                <w:p w14:paraId="410E82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cs="Times New Roman"/>
                      <w:color w:val="auto"/>
                      <w:spacing w:val="-1"/>
                      <w:sz w:val="18"/>
                      <w:szCs w:val="18"/>
                      <w:lang w:val="en-US" w:eastAsia="zh-CN"/>
                    </w:rPr>
                    <w:t>401.2</w:t>
                  </w:r>
                </w:p>
              </w:tc>
              <w:tc>
                <w:tcPr>
                  <w:tcW w:w="633" w:type="dxa"/>
                  <w:tcBorders>
                    <w:tl2br w:val="nil"/>
                    <w:tr2bl w:val="nil"/>
                  </w:tcBorders>
                  <w:vAlign w:val="center"/>
                </w:tcPr>
                <w:p w14:paraId="4533FA4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4800</w:t>
                  </w:r>
                </w:p>
              </w:tc>
              <w:tc>
                <w:tcPr>
                  <w:tcW w:w="951" w:type="dxa"/>
                  <w:tcBorders>
                    <w:tl2br w:val="nil"/>
                    <w:tr2bl w:val="nil"/>
                  </w:tcBorders>
                  <w:shd w:val="clear" w:color="auto" w:fill="auto"/>
                  <w:vAlign w:val="center"/>
                </w:tcPr>
                <w:p w14:paraId="3408418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非甲烷总烃</w:t>
                  </w:r>
                </w:p>
              </w:tc>
              <w:tc>
                <w:tcPr>
                  <w:tcW w:w="865" w:type="dxa"/>
                  <w:tcBorders>
                    <w:tl2br w:val="nil"/>
                    <w:tr2bl w:val="nil"/>
                  </w:tcBorders>
                  <w:shd w:val="clear" w:color="auto" w:fill="auto"/>
                  <w:vAlign w:val="center"/>
                </w:tcPr>
                <w:p w14:paraId="6AEF81C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1.50</w:t>
                  </w:r>
                </w:p>
              </w:tc>
              <w:tc>
                <w:tcPr>
                  <w:tcW w:w="589" w:type="dxa"/>
                  <w:tcBorders>
                    <w:tl2br w:val="nil"/>
                    <w:tr2bl w:val="nil"/>
                  </w:tcBorders>
                  <w:shd w:val="clear" w:color="auto" w:fill="auto"/>
                  <w:vAlign w:val="center"/>
                </w:tcPr>
                <w:p w14:paraId="1AF5C629">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0.481 </w:t>
                  </w:r>
                </w:p>
              </w:tc>
              <w:tc>
                <w:tcPr>
                  <w:tcW w:w="609" w:type="dxa"/>
                  <w:tcBorders>
                    <w:tl2br w:val="nil"/>
                    <w:tr2bl w:val="nil"/>
                  </w:tcBorders>
                  <w:shd w:val="clear" w:color="auto" w:fill="auto"/>
                  <w:vAlign w:val="center"/>
                </w:tcPr>
                <w:p w14:paraId="743371A1">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0.100 </w:t>
                  </w:r>
                </w:p>
              </w:tc>
              <w:tc>
                <w:tcPr>
                  <w:tcW w:w="579" w:type="dxa"/>
                  <w:tcBorders>
                    <w:tl2br w:val="nil"/>
                    <w:tr2bl w:val="nil"/>
                  </w:tcBorders>
                  <w:shd w:val="clear" w:color="auto" w:fill="auto"/>
                  <w:vAlign w:val="center"/>
                </w:tcPr>
                <w:p w14:paraId="7DE1C7AC">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0.120 </w:t>
                  </w:r>
                </w:p>
              </w:tc>
              <w:tc>
                <w:tcPr>
                  <w:tcW w:w="525" w:type="dxa"/>
                  <w:tcBorders>
                    <w:tl2br w:val="nil"/>
                    <w:tr2bl w:val="nil"/>
                  </w:tcBorders>
                  <w:shd w:val="clear" w:color="auto" w:fill="auto"/>
                  <w:vAlign w:val="center"/>
                </w:tcPr>
                <w:p w14:paraId="19B5EDE6">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0.025 </w:t>
                  </w:r>
                </w:p>
              </w:tc>
              <w:tc>
                <w:tcPr>
                  <w:tcW w:w="557" w:type="dxa"/>
                  <w:tcBorders>
                    <w:tl2br w:val="nil"/>
                    <w:tr2bl w:val="nil"/>
                  </w:tcBorders>
                  <w:shd w:val="clear" w:color="auto" w:fill="auto"/>
                  <w:vAlign w:val="center"/>
                </w:tcPr>
                <w:p w14:paraId="3D48CCF6">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0.602 </w:t>
                  </w:r>
                </w:p>
              </w:tc>
              <w:tc>
                <w:tcPr>
                  <w:tcW w:w="514" w:type="dxa"/>
                  <w:tcBorders>
                    <w:tl2br w:val="nil"/>
                    <w:tr2bl w:val="nil"/>
                  </w:tcBorders>
                  <w:shd w:val="clear" w:color="auto" w:fill="auto"/>
                  <w:vAlign w:val="center"/>
                </w:tcPr>
                <w:p w14:paraId="775EF036">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0.125 </w:t>
                  </w:r>
                </w:p>
              </w:tc>
              <w:tc>
                <w:tcPr>
                  <w:tcW w:w="434" w:type="dxa"/>
                  <w:vMerge w:val="continue"/>
                  <w:tcBorders>
                    <w:tl2br w:val="nil"/>
                    <w:tr2bl w:val="nil"/>
                  </w:tcBorders>
                  <w:vAlign w:val="center"/>
                </w:tcPr>
                <w:p w14:paraId="70146AE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bl>
          <w:p w14:paraId="1DA2646E">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③胶黏</w:t>
            </w:r>
            <w:r>
              <w:rPr>
                <w:rFonts w:hint="eastAsia" w:ascii="Times New Roman" w:eastAsia="宋体"/>
                <w:color w:val="auto"/>
                <w:sz w:val="24"/>
                <w:szCs w:val="24"/>
                <w:highlight w:val="none"/>
                <w:lang w:eastAsia="zh-CN"/>
              </w:rPr>
              <w:t>废气</w:t>
            </w:r>
          </w:p>
          <w:p w14:paraId="5EC2BCCB">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蒸汽</w:t>
            </w:r>
            <w:r>
              <w:rPr>
                <w:rFonts w:hint="eastAsia"/>
                <w:color w:val="auto"/>
                <w:sz w:val="24"/>
                <w:szCs w:val="24"/>
                <w:highlight w:val="none"/>
                <w:lang w:eastAsia="zh-CN"/>
              </w:rPr>
              <w:t>黏合</w:t>
            </w:r>
            <w:r>
              <w:rPr>
                <w:rFonts w:hint="eastAsia" w:ascii="Times New Roman" w:eastAsia="宋体"/>
                <w:color w:val="auto"/>
                <w:sz w:val="24"/>
                <w:szCs w:val="24"/>
                <w:highlight w:val="none"/>
                <w:lang w:eastAsia="zh-CN"/>
              </w:rPr>
              <w:t>过程是利用蒸汽的热量将TPU颗粒、TPU胶黏剂加热软化，软化后的TPU颗粒、加热后TPU胶黏剂具有黏性，从而使得塑料内胆与水带管坯紧密黏合，该过程会产生胶黏废气。</w:t>
            </w:r>
          </w:p>
          <w:p w14:paraId="1960FDB1">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根据《重点行业挥发性有机物综合治理方案》（环大气</w:t>
            </w:r>
            <w:r>
              <w:rPr>
                <w:rFonts w:hint="eastAsia"/>
                <w:color w:val="auto"/>
                <w:sz w:val="24"/>
                <w:szCs w:val="24"/>
                <w:highlight w:val="none"/>
                <w:lang w:eastAsia="zh-CN"/>
              </w:rPr>
              <w:t>〔2019〕53号</w:t>
            </w:r>
            <w:r>
              <w:rPr>
                <w:rFonts w:hint="eastAsia" w:ascii="Times New Roman" w:eastAsia="宋体"/>
                <w:color w:val="auto"/>
                <w:sz w:val="24"/>
                <w:szCs w:val="24"/>
                <w:highlight w:val="none"/>
                <w:lang w:eastAsia="zh-CN"/>
              </w:rPr>
              <w:t>）、《关于印发&lt;2020年挥发性有机物治理攻坚方案&gt;的通知》（环大气</w:t>
            </w:r>
            <w:r>
              <w:rPr>
                <w:rFonts w:hint="eastAsia"/>
                <w:color w:val="auto"/>
                <w:sz w:val="24"/>
                <w:szCs w:val="24"/>
                <w:highlight w:val="none"/>
                <w:lang w:eastAsia="zh-CN"/>
              </w:rPr>
              <w:t>〔2020〕33号</w:t>
            </w:r>
            <w:r>
              <w:rPr>
                <w:rFonts w:hint="eastAsia" w:ascii="Times New Roman" w:eastAsia="宋体"/>
                <w:color w:val="auto"/>
                <w:sz w:val="24"/>
                <w:szCs w:val="24"/>
                <w:highlight w:val="none"/>
                <w:lang w:eastAsia="zh-CN"/>
              </w:rPr>
              <w:t>）中规定：企业采用符合国家有关低VOCs含量产品规定的涂料、油墨、胶黏剂等，排放浓度稳定达标且排放速率、排放绩效等满足相关规定的，相应生产工序可不要求建设末端治理设施；使用的原辅材料VOCs含量（质量比）低于10%的工序，可不要求采取无组织排放收集和处理措施。本项目TPU胶黏剂中挥发性有机物含量较低，且用量较少，故可不要求进行无组织废气收集。参考《排放源统计调查产排污核算方法和系数手册》：“292塑料制品生产过程中，胶黏工艺废气指标可参考2437地毯/挂毯行业胶黏工段的产污系数”，则项目胶黏废气产生情况详见下表。</w:t>
            </w:r>
          </w:p>
          <w:p w14:paraId="73B3A138">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15</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胶黏废气</w:t>
            </w:r>
            <w:r>
              <w:rPr>
                <w:rFonts w:hint="eastAsia" w:ascii="Times New Roman" w:eastAsia="宋体"/>
                <w:b/>
                <w:bCs/>
                <w:color w:val="auto"/>
                <w:sz w:val="24"/>
                <w:szCs w:val="24"/>
                <w:highlight w:val="none"/>
                <w:lang w:eastAsia="zh-CN"/>
              </w:rPr>
              <w:t>污染物产生情况一览表</w:t>
            </w:r>
          </w:p>
          <w:tbl>
            <w:tblPr>
              <w:tblStyle w:val="29"/>
              <w:tblW w:w="834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7"/>
              <w:gridCol w:w="663"/>
              <w:gridCol w:w="679"/>
              <w:gridCol w:w="633"/>
              <w:gridCol w:w="951"/>
              <w:gridCol w:w="865"/>
              <w:gridCol w:w="589"/>
              <w:gridCol w:w="609"/>
              <w:gridCol w:w="579"/>
              <w:gridCol w:w="525"/>
              <w:gridCol w:w="557"/>
              <w:gridCol w:w="514"/>
              <w:gridCol w:w="434"/>
            </w:tblGrid>
            <w:tr w14:paraId="2986F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vMerge w:val="restart"/>
                  <w:tcBorders>
                    <w:tl2br w:val="nil"/>
                    <w:tr2bl w:val="nil"/>
                  </w:tcBorders>
                  <w:vAlign w:val="center"/>
                </w:tcPr>
                <w:p w14:paraId="2AE370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663" w:type="dxa"/>
                  <w:vMerge w:val="restart"/>
                  <w:tcBorders>
                    <w:tl2br w:val="nil"/>
                    <w:tr2bl w:val="nil"/>
                  </w:tcBorders>
                  <w:vAlign w:val="center"/>
                </w:tcPr>
                <w:p w14:paraId="0CD05A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679" w:type="dxa"/>
                  <w:vMerge w:val="restart"/>
                  <w:tcBorders>
                    <w:tl2br w:val="nil"/>
                    <w:tr2bl w:val="nil"/>
                  </w:tcBorders>
                  <w:vAlign w:val="center"/>
                </w:tcPr>
                <w:p w14:paraId="75B759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633" w:type="dxa"/>
                  <w:vMerge w:val="restart"/>
                  <w:tcBorders>
                    <w:tl2br w:val="nil"/>
                    <w:tr2bl w:val="nil"/>
                  </w:tcBorders>
                  <w:vAlign w:val="center"/>
                </w:tcPr>
                <w:p w14:paraId="1B1FEFF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951" w:type="dxa"/>
                  <w:vMerge w:val="restart"/>
                  <w:tcBorders>
                    <w:tl2br w:val="nil"/>
                    <w:tr2bl w:val="nil"/>
                  </w:tcBorders>
                  <w:vAlign w:val="center"/>
                </w:tcPr>
                <w:p w14:paraId="33F3061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865" w:type="dxa"/>
                  <w:vMerge w:val="restart"/>
                  <w:tcBorders>
                    <w:tl2br w:val="nil"/>
                    <w:tr2bl w:val="nil"/>
                  </w:tcBorders>
                  <w:vAlign w:val="center"/>
                </w:tcPr>
                <w:p w14:paraId="18245FE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w:t>
                  </w:r>
                  <w:r>
                    <w:rPr>
                      <w:rFonts w:hint="eastAsia" w:ascii="Times New Roman" w:hAnsi="Times New Roman" w:eastAsia="宋体" w:cs="Times New Roman"/>
                      <w:b/>
                      <w:bCs/>
                      <w:color w:val="auto"/>
                      <w:spacing w:val="-1"/>
                      <w:sz w:val="18"/>
                      <w:szCs w:val="18"/>
                      <w:lang w:val="en-US" w:eastAsia="zh-CN"/>
                    </w:rPr>
                    <w:t>原料</w:t>
                  </w:r>
                  <w:r>
                    <w:rPr>
                      <w:rFonts w:hint="default" w:ascii="Times New Roman" w:hAnsi="Times New Roman" w:eastAsia="宋体" w:cs="Times New Roman"/>
                      <w:b/>
                      <w:bCs/>
                      <w:color w:val="auto"/>
                      <w:spacing w:val="-1"/>
                      <w:sz w:val="18"/>
                      <w:szCs w:val="18"/>
                    </w:rPr>
                    <w:t>)</w:t>
                  </w:r>
                </w:p>
              </w:tc>
              <w:tc>
                <w:tcPr>
                  <w:tcW w:w="3373" w:type="dxa"/>
                  <w:gridSpan w:val="6"/>
                  <w:tcBorders>
                    <w:tl2br w:val="nil"/>
                    <w:tr2bl w:val="nil"/>
                  </w:tcBorders>
                  <w:vAlign w:val="center"/>
                </w:tcPr>
                <w:p w14:paraId="4630416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434" w:type="dxa"/>
                  <w:vMerge w:val="restart"/>
                  <w:tcBorders>
                    <w:tl2br w:val="nil"/>
                    <w:tr2bl w:val="nil"/>
                  </w:tcBorders>
                  <w:vAlign w:val="center"/>
                </w:tcPr>
                <w:p w14:paraId="4D3E56C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3504FF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vMerge w:val="continue"/>
                  <w:tcBorders>
                    <w:tl2br w:val="nil"/>
                    <w:tr2bl w:val="nil"/>
                  </w:tcBorders>
                  <w:vAlign w:val="center"/>
                </w:tcPr>
                <w:p w14:paraId="309DE8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3" w:type="dxa"/>
                  <w:vMerge w:val="continue"/>
                  <w:tcBorders>
                    <w:tl2br w:val="nil"/>
                    <w:tr2bl w:val="nil"/>
                  </w:tcBorders>
                  <w:vAlign w:val="center"/>
                </w:tcPr>
                <w:p w14:paraId="6B65F04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6EB0589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5108F63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58CC187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3EA774C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98" w:type="dxa"/>
                  <w:gridSpan w:val="2"/>
                  <w:tcBorders>
                    <w:tl2br w:val="nil"/>
                    <w:tr2bl w:val="nil"/>
                  </w:tcBorders>
                  <w:vAlign w:val="center"/>
                </w:tcPr>
                <w:p w14:paraId="48FD296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104" w:type="dxa"/>
                  <w:gridSpan w:val="2"/>
                  <w:tcBorders>
                    <w:tl2br w:val="nil"/>
                    <w:tr2bl w:val="nil"/>
                  </w:tcBorders>
                  <w:vAlign w:val="center"/>
                </w:tcPr>
                <w:p w14:paraId="4A29C79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071" w:type="dxa"/>
                  <w:gridSpan w:val="2"/>
                  <w:tcBorders>
                    <w:tl2br w:val="nil"/>
                    <w:tr2bl w:val="nil"/>
                  </w:tcBorders>
                  <w:vAlign w:val="center"/>
                </w:tcPr>
                <w:p w14:paraId="1685AA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434" w:type="dxa"/>
                  <w:vMerge w:val="continue"/>
                  <w:tcBorders>
                    <w:bottom w:val="single" w:color="auto" w:sz="4" w:space="0"/>
                    <w:tl2br w:val="nil"/>
                    <w:tr2bl w:val="nil"/>
                  </w:tcBorders>
                  <w:vAlign w:val="center"/>
                </w:tcPr>
                <w:p w14:paraId="47228A8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3F92B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vMerge w:val="continue"/>
                  <w:tcBorders>
                    <w:tl2br w:val="nil"/>
                    <w:tr2bl w:val="nil"/>
                  </w:tcBorders>
                  <w:vAlign w:val="center"/>
                </w:tcPr>
                <w:p w14:paraId="480F056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3" w:type="dxa"/>
                  <w:vMerge w:val="continue"/>
                  <w:tcBorders>
                    <w:tl2br w:val="nil"/>
                    <w:tr2bl w:val="nil"/>
                  </w:tcBorders>
                  <w:vAlign w:val="center"/>
                </w:tcPr>
                <w:p w14:paraId="15CF68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2008E46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16685D7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32E83D1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4FF6CAC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89" w:type="dxa"/>
                  <w:tcBorders>
                    <w:tl2br w:val="nil"/>
                    <w:tr2bl w:val="nil"/>
                  </w:tcBorders>
                  <w:vAlign w:val="center"/>
                </w:tcPr>
                <w:p w14:paraId="477412A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609" w:type="dxa"/>
                  <w:tcBorders>
                    <w:tl2br w:val="nil"/>
                    <w:tr2bl w:val="nil"/>
                  </w:tcBorders>
                  <w:vAlign w:val="center"/>
                </w:tcPr>
                <w:p w14:paraId="613CE8E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79" w:type="dxa"/>
                  <w:tcBorders>
                    <w:tl2br w:val="nil"/>
                    <w:tr2bl w:val="nil"/>
                  </w:tcBorders>
                  <w:vAlign w:val="center"/>
                </w:tcPr>
                <w:p w14:paraId="71BB3F9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25" w:type="dxa"/>
                  <w:tcBorders>
                    <w:tl2br w:val="nil"/>
                    <w:tr2bl w:val="nil"/>
                  </w:tcBorders>
                  <w:vAlign w:val="center"/>
                </w:tcPr>
                <w:p w14:paraId="2E02119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57" w:type="dxa"/>
                  <w:tcBorders>
                    <w:tl2br w:val="nil"/>
                    <w:tr2bl w:val="nil"/>
                  </w:tcBorders>
                  <w:vAlign w:val="center"/>
                </w:tcPr>
                <w:p w14:paraId="4E513D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14" w:type="dxa"/>
                  <w:tcBorders>
                    <w:tl2br w:val="nil"/>
                    <w:tr2bl w:val="nil"/>
                  </w:tcBorders>
                  <w:vAlign w:val="center"/>
                </w:tcPr>
                <w:p w14:paraId="24F3C91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434" w:type="dxa"/>
                  <w:vMerge w:val="restart"/>
                  <w:tcBorders>
                    <w:top w:val="single" w:color="auto" w:sz="4" w:space="0"/>
                    <w:tl2br w:val="nil"/>
                    <w:tr2bl w:val="nil"/>
                  </w:tcBorders>
                  <w:vAlign w:val="center"/>
                </w:tcPr>
                <w:p w14:paraId="11F5CF2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3#厂房</w:t>
                  </w:r>
                </w:p>
              </w:tc>
            </w:tr>
            <w:tr w14:paraId="160059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47" w:type="dxa"/>
                  <w:tcBorders>
                    <w:top w:val="single" w:color="auto" w:sz="4" w:space="0"/>
                    <w:tl2br w:val="nil"/>
                    <w:tr2bl w:val="nil"/>
                  </w:tcBorders>
                  <w:vAlign w:val="center"/>
                </w:tcPr>
                <w:p w14:paraId="0564A84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过胶、黏合</w:t>
                  </w:r>
                </w:p>
              </w:tc>
              <w:tc>
                <w:tcPr>
                  <w:tcW w:w="663" w:type="dxa"/>
                  <w:tcBorders>
                    <w:tl2br w:val="nil"/>
                    <w:tr2bl w:val="nil"/>
                  </w:tcBorders>
                  <w:vAlign w:val="center"/>
                </w:tcPr>
                <w:p w14:paraId="6F11247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消防水带</w:t>
                  </w:r>
                </w:p>
              </w:tc>
              <w:tc>
                <w:tcPr>
                  <w:tcW w:w="679" w:type="dxa"/>
                  <w:tcBorders>
                    <w:top w:val="single" w:color="auto" w:sz="4" w:space="0"/>
                    <w:tl2br w:val="nil"/>
                    <w:tr2bl w:val="nil"/>
                  </w:tcBorders>
                  <w:vAlign w:val="center"/>
                </w:tcPr>
                <w:p w14:paraId="5CECE20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cs="Times New Roman"/>
                      <w:color w:val="auto"/>
                      <w:spacing w:val="-1"/>
                      <w:sz w:val="18"/>
                      <w:szCs w:val="18"/>
                      <w:lang w:val="en-US" w:eastAsia="zh-CN"/>
                    </w:rPr>
                    <w:t>6</w:t>
                  </w:r>
                </w:p>
              </w:tc>
              <w:tc>
                <w:tcPr>
                  <w:tcW w:w="633" w:type="dxa"/>
                  <w:tcBorders>
                    <w:tl2br w:val="nil"/>
                    <w:tr2bl w:val="nil"/>
                  </w:tcBorders>
                  <w:vAlign w:val="center"/>
                </w:tcPr>
                <w:p w14:paraId="3577E6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4800</w:t>
                  </w:r>
                </w:p>
              </w:tc>
              <w:tc>
                <w:tcPr>
                  <w:tcW w:w="951" w:type="dxa"/>
                  <w:tcBorders>
                    <w:tl2br w:val="nil"/>
                    <w:tr2bl w:val="nil"/>
                  </w:tcBorders>
                  <w:shd w:val="clear" w:color="auto" w:fill="auto"/>
                  <w:vAlign w:val="center"/>
                </w:tcPr>
                <w:p w14:paraId="132D0AE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非甲烷总烃</w:t>
                  </w:r>
                </w:p>
              </w:tc>
              <w:tc>
                <w:tcPr>
                  <w:tcW w:w="865" w:type="dxa"/>
                  <w:tcBorders>
                    <w:tl2br w:val="nil"/>
                    <w:tr2bl w:val="nil"/>
                  </w:tcBorders>
                  <w:shd w:val="clear" w:color="auto" w:fill="auto"/>
                  <w:vAlign w:val="center"/>
                </w:tcPr>
                <w:p w14:paraId="4441D2C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0.928</w:t>
                  </w:r>
                </w:p>
              </w:tc>
              <w:tc>
                <w:tcPr>
                  <w:tcW w:w="589" w:type="dxa"/>
                  <w:tcBorders>
                    <w:tl2br w:val="nil"/>
                    <w:tr2bl w:val="nil"/>
                  </w:tcBorders>
                  <w:shd w:val="clear" w:color="auto" w:fill="auto"/>
                  <w:vAlign w:val="center"/>
                </w:tcPr>
                <w:p w14:paraId="58A98244">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eastAsia" w:ascii="Times New Roman" w:hAnsi="Times New Roman" w:eastAsia="宋体" w:cs="Times New Roman"/>
                      <w:color w:val="auto"/>
                      <w:spacing w:val="-1"/>
                      <w:kern w:val="2"/>
                      <w:sz w:val="18"/>
                      <w:szCs w:val="18"/>
                      <w:lang w:val="en-US" w:eastAsia="zh-CN" w:bidi="ar-SA"/>
                    </w:rPr>
                    <w:t>0</w:t>
                  </w:r>
                </w:p>
              </w:tc>
              <w:tc>
                <w:tcPr>
                  <w:tcW w:w="609" w:type="dxa"/>
                  <w:tcBorders>
                    <w:tl2br w:val="nil"/>
                    <w:tr2bl w:val="nil"/>
                  </w:tcBorders>
                  <w:shd w:val="clear" w:color="auto" w:fill="auto"/>
                  <w:vAlign w:val="center"/>
                </w:tcPr>
                <w:p w14:paraId="2FEBAEF6">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eastAsia" w:ascii="Times New Roman" w:hAnsi="Times New Roman" w:eastAsia="宋体" w:cs="Times New Roman"/>
                      <w:color w:val="auto"/>
                      <w:spacing w:val="-1"/>
                      <w:kern w:val="2"/>
                      <w:sz w:val="18"/>
                      <w:szCs w:val="18"/>
                      <w:lang w:val="en-US" w:eastAsia="zh-CN" w:bidi="ar-SA"/>
                    </w:rPr>
                    <w:t>0</w:t>
                  </w:r>
                </w:p>
              </w:tc>
              <w:tc>
                <w:tcPr>
                  <w:tcW w:w="579" w:type="dxa"/>
                  <w:tcBorders>
                    <w:tl2br w:val="nil"/>
                    <w:tr2bl w:val="nil"/>
                  </w:tcBorders>
                  <w:shd w:val="clear" w:color="auto" w:fill="auto"/>
                  <w:vAlign w:val="center"/>
                </w:tcPr>
                <w:p w14:paraId="7EAD273F">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0.006</w:t>
                  </w:r>
                </w:p>
              </w:tc>
              <w:tc>
                <w:tcPr>
                  <w:tcW w:w="525" w:type="dxa"/>
                  <w:tcBorders>
                    <w:tl2br w:val="nil"/>
                    <w:tr2bl w:val="nil"/>
                  </w:tcBorders>
                  <w:shd w:val="clear" w:color="auto" w:fill="auto"/>
                  <w:vAlign w:val="center"/>
                </w:tcPr>
                <w:p w14:paraId="622A0EA5">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w:t>
                  </w:r>
                </w:p>
              </w:tc>
              <w:tc>
                <w:tcPr>
                  <w:tcW w:w="557" w:type="dxa"/>
                  <w:tcBorders>
                    <w:tl2br w:val="nil"/>
                    <w:tr2bl w:val="nil"/>
                  </w:tcBorders>
                  <w:shd w:val="clear" w:color="auto" w:fill="auto"/>
                  <w:vAlign w:val="center"/>
                </w:tcPr>
                <w:p w14:paraId="0A87D75F">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0.006</w:t>
                  </w:r>
                </w:p>
              </w:tc>
              <w:tc>
                <w:tcPr>
                  <w:tcW w:w="514" w:type="dxa"/>
                  <w:tcBorders>
                    <w:tl2br w:val="nil"/>
                    <w:tr2bl w:val="nil"/>
                  </w:tcBorders>
                  <w:shd w:val="clear" w:color="auto" w:fill="auto"/>
                  <w:vAlign w:val="center"/>
                </w:tcPr>
                <w:p w14:paraId="4F2F27E0">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w:t>
                  </w:r>
                </w:p>
              </w:tc>
              <w:tc>
                <w:tcPr>
                  <w:tcW w:w="434" w:type="dxa"/>
                  <w:vMerge w:val="continue"/>
                  <w:tcBorders>
                    <w:tl2br w:val="nil"/>
                    <w:tr2bl w:val="nil"/>
                  </w:tcBorders>
                  <w:vAlign w:val="center"/>
                </w:tcPr>
                <w:p w14:paraId="698B6E1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bl>
          <w:p w14:paraId="5B55EAC4">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color w:val="auto"/>
                <w:sz w:val="24"/>
                <w:szCs w:val="24"/>
                <w:highlight w:val="none"/>
                <w:lang w:val="en-US" w:eastAsia="zh-CN"/>
              </w:rPr>
              <w:t>④</w:t>
            </w:r>
            <w:r>
              <w:rPr>
                <w:rFonts w:hint="eastAsia" w:ascii="Times New Roman" w:eastAsia="宋体"/>
                <w:color w:val="auto"/>
                <w:sz w:val="24"/>
                <w:szCs w:val="24"/>
                <w:highlight w:val="none"/>
                <w:lang w:eastAsia="zh-CN"/>
              </w:rPr>
              <w:t>锅炉燃料废气</w:t>
            </w:r>
          </w:p>
          <w:p w14:paraId="7048FDE8">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本项目采用1t/h的蒸气锅炉，蒸气锅炉以天然气为燃料，根据建设单位介绍：本项目锅炉额定用气量为75m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/h，年工作时间4800h，则本项目锅炉天然气年用量约360000m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/a，天然气燃料废气产污系数参考《排污许可证申请与核发技术规范 锅炉》（HJ953-2018）中表F.3燃气工业</w:t>
            </w:r>
            <w:r>
              <w:rPr>
                <w:rFonts w:hint="eastAsia"/>
                <w:color w:val="auto"/>
                <w:sz w:val="24"/>
                <w:szCs w:val="24"/>
                <w:highlight w:val="none"/>
                <w:lang w:val="en-US" w:eastAsia="zh-CN"/>
              </w:rPr>
              <w:t>锅炉</w:t>
            </w:r>
            <w:r>
              <w:rPr>
                <w:rFonts w:hint="eastAsia" w:ascii="Times New Roman" w:eastAsia="宋体"/>
                <w:color w:val="auto"/>
                <w:sz w:val="24"/>
                <w:szCs w:val="24"/>
                <w:highlight w:val="none"/>
                <w:lang w:eastAsia="zh-CN"/>
              </w:rPr>
              <w:t>的废气产污系数，则锅炉废气污染物产生情况详见下表。</w:t>
            </w:r>
          </w:p>
          <w:p w14:paraId="566B4767">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表4-1</w:t>
            </w:r>
            <w:r>
              <w:rPr>
                <w:rFonts w:hint="eastAsia"/>
                <w:b/>
                <w:bCs/>
                <w:color w:val="auto"/>
                <w:sz w:val="24"/>
                <w:szCs w:val="24"/>
                <w:highlight w:val="none"/>
                <w:lang w:val="en-US" w:eastAsia="zh-CN"/>
              </w:rPr>
              <w:t>6</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w:t>
            </w:r>
            <w:r>
              <w:rPr>
                <w:rFonts w:hint="eastAsia" w:ascii="Times New Roman" w:eastAsia="宋体"/>
                <w:b/>
                <w:bCs/>
                <w:color w:val="auto"/>
                <w:sz w:val="24"/>
                <w:szCs w:val="24"/>
                <w:highlight w:val="none"/>
                <w:lang w:eastAsia="zh-CN"/>
              </w:rPr>
              <w:t>锅炉废气产生情况一览表</w:t>
            </w:r>
          </w:p>
          <w:tbl>
            <w:tblPr>
              <w:tblStyle w:val="29"/>
              <w:tblW w:w="84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6"/>
              <w:gridCol w:w="652"/>
              <w:gridCol w:w="700"/>
              <w:gridCol w:w="887"/>
              <w:gridCol w:w="1100"/>
              <w:gridCol w:w="700"/>
              <w:gridCol w:w="713"/>
              <w:gridCol w:w="750"/>
              <w:gridCol w:w="671"/>
              <w:gridCol w:w="667"/>
              <w:gridCol w:w="649"/>
              <w:gridCol w:w="521"/>
            </w:tblGrid>
            <w:tr w14:paraId="4FCB0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5C34A82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产品名称</w:t>
                  </w:r>
                </w:p>
              </w:tc>
              <w:tc>
                <w:tcPr>
                  <w:tcW w:w="652" w:type="dxa"/>
                  <w:vMerge w:val="restart"/>
                  <w:tcBorders>
                    <w:tl2br w:val="nil"/>
                    <w:tr2bl w:val="nil"/>
                  </w:tcBorders>
                  <w:vAlign w:val="center"/>
                </w:tcPr>
                <w:p w14:paraId="7919CCC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燃料类别</w:t>
                  </w:r>
                </w:p>
              </w:tc>
              <w:tc>
                <w:tcPr>
                  <w:tcW w:w="700" w:type="dxa"/>
                  <w:vMerge w:val="restart"/>
                  <w:tcBorders>
                    <w:tl2br w:val="nil"/>
                    <w:tr2bl w:val="nil"/>
                  </w:tcBorders>
                  <w:vAlign w:val="center"/>
                </w:tcPr>
                <w:p w14:paraId="253CBFF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燃料用量</w:t>
                  </w:r>
                </w:p>
              </w:tc>
              <w:tc>
                <w:tcPr>
                  <w:tcW w:w="887" w:type="dxa"/>
                  <w:vMerge w:val="restart"/>
                  <w:tcBorders>
                    <w:tl2br w:val="nil"/>
                    <w:tr2bl w:val="nil"/>
                  </w:tcBorders>
                  <w:vAlign w:val="center"/>
                </w:tcPr>
                <w:p w14:paraId="7C26844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1100" w:type="dxa"/>
                  <w:vMerge w:val="restart"/>
                  <w:tcBorders>
                    <w:tl2br w:val="nil"/>
                    <w:tr2bl w:val="nil"/>
                  </w:tcBorders>
                  <w:vAlign w:val="center"/>
                </w:tcPr>
                <w:p w14:paraId="4736923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w:t>
                  </w:r>
                </w:p>
                <w:p w14:paraId="08038C6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(kg/万m</w:t>
                  </w:r>
                  <w:r>
                    <w:rPr>
                      <w:rFonts w:hint="default" w:ascii="Times New Roman" w:hAnsi="Times New Roman" w:eastAsia="宋体" w:cs="Times New Roman"/>
                      <w:b/>
                      <w:bCs/>
                      <w:color w:val="auto"/>
                      <w:spacing w:val="-1"/>
                      <w:sz w:val="18"/>
                      <w:szCs w:val="18"/>
                      <w:vertAlign w:val="superscript"/>
                    </w:rPr>
                    <w:t>3</w:t>
                  </w:r>
                  <w:r>
                    <w:rPr>
                      <w:rFonts w:hint="default" w:ascii="Times New Roman" w:hAnsi="Times New Roman" w:eastAsia="宋体" w:cs="Times New Roman"/>
                      <w:b/>
                      <w:bCs/>
                      <w:color w:val="auto"/>
                      <w:spacing w:val="-1"/>
                      <w:sz w:val="18"/>
                      <w:szCs w:val="18"/>
                    </w:rPr>
                    <w:t>·燃料)</w:t>
                  </w:r>
                </w:p>
              </w:tc>
              <w:tc>
                <w:tcPr>
                  <w:tcW w:w="4150" w:type="dxa"/>
                  <w:gridSpan w:val="6"/>
                  <w:tcBorders>
                    <w:tl2br w:val="nil"/>
                    <w:tr2bl w:val="nil"/>
                  </w:tcBorders>
                  <w:vAlign w:val="center"/>
                </w:tcPr>
                <w:p w14:paraId="12E8642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污染物产生量（kg/h）</w:t>
                  </w:r>
                </w:p>
              </w:tc>
              <w:tc>
                <w:tcPr>
                  <w:tcW w:w="521" w:type="dxa"/>
                  <w:vMerge w:val="restart"/>
                  <w:tcBorders>
                    <w:tl2br w:val="nil"/>
                    <w:tr2bl w:val="nil"/>
                  </w:tcBorders>
                  <w:vAlign w:val="center"/>
                </w:tcPr>
                <w:p w14:paraId="29FFBD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53F7AF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34F3A62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52" w:type="dxa"/>
                  <w:vMerge w:val="continue"/>
                  <w:tcBorders>
                    <w:tl2br w:val="nil"/>
                    <w:tr2bl w:val="nil"/>
                  </w:tcBorders>
                  <w:vAlign w:val="center"/>
                </w:tcPr>
                <w:p w14:paraId="41E6DA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0" w:type="dxa"/>
                  <w:vMerge w:val="continue"/>
                  <w:tcBorders>
                    <w:tl2br w:val="nil"/>
                    <w:tr2bl w:val="nil"/>
                  </w:tcBorders>
                  <w:vAlign w:val="center"/>
                </w:tcPr>
                <w:p w14:paraId="17FDE72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87" w:type="dxa"/>
                  <w:vMerge w:val="continue"/>
                  <w:tcBorders>
                    <w:tl2br w:val="nil"/>
                    <w:tr2bl w:val="nil"/>
                  </w:tcBorders>
                  <w:vAlign w:val="center"/>
                </w:tcPr>
                <w:p w14:paraId="13A0D0D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00" w:type="dxa"/>
                  <w:vMerge w:val="continue"/>
                  <w:tcBorders>
                    <w:tl2br w:val="nil"/>
                    <w:tr2bl w:val="nil"/>
                  </w:tcBorders>
                  <w:vAlign w:val="center"/>
                </w:tcPr>
                <w:p w14:paraId="1CCCF6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413" w:type="dxa"/>
                  <w:gridSpan w:val="2"/>
                  <w:tcBorders>
                    <w:tl2br w:val="nil"/>
                    <w:tr2bl w:val="nil"/>
                  </w:tcBorders>
                  <w:vAlign w:val="center"/>
                </w:tcPr>
                <w:p w14:paraId="1BDB99C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421" w:type="dxa"/>
                  <w:gridSpan w:val="2"/>
                  <w:tcBorders>
                    <w:tl2br w:val="nil"/>
                    <w:tr2bl w:val="nil"/>
                  </w:tcBorders>
                  <w:vAlign w:val="center"/>
                </w:tcPr>
                <w:p w14:paraId="192716B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316" w:type="dxa"/>
                  <w:gridSpan w:val="2"/>
                  <w:tcBorders>
                    <w:tl2br w:val="nil"/>
                    <w:tr2bl w:val="nil"/>
                  </w:tcBorders>
                  <w:vAlign w:val="center"/>
                </w:tcPr>
                <w:p w14:paraId="326EF20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521" w:type="dxa"/>
                  <w:vMerge w:val="continue"/>
                  <w:tcBorders>
                    <w:tl2br w:val="nil"/>
                    <w:tr2bl w:val="nil"/>
                  </w:tcBorders>
                  <w:vAlign w:val="center"/>
                </w:tcPr>
                <w:p w14:paraId="639C180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7DE770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44089D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52" w:type="dxa"/>
                  <w:vMerge w:val="continue"/>
                  <w:tcBorders>
                    <w:tl2br w:val="nil"/>
                    <w:tr2bl w:val="nil"/>
                  </w:tcBorders>
                  <w:vAlign w:val="center"/>
                </w:tcPr>
                <w:p w14:paraId="70B0E74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0" w:type="dxa"/>
                  <w:vMerge w:val="continue"/>
                  <w:tcBorders>
                    <w:tl2br w:val="nil"/>
                    <w:tr2bl w:val="nil"/>
                  </w:tcBorders>
                  <w:vAlign w:val="center"/>
                </w:tcPr>
                <w:p w14:paraId="5B77496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87" w:type="dxa"/>
                  <w:vMerge w:val="continue"/>
                  <w:tcBorders>
                    <w:tl2br w:val="nil"/>
                    <w:tr2bl w:val="nil"/>
                  </w:tcBorders>
                  <w:vAlign w:val="center"/>
                </w:tcPr>
                <w:p w14:paraId="313BB4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00" w:type="dxa"/>
                  <w:vMerge w:val="continue"/>
                  <w:tcBorders>
                    <w:tl2br w:val="nil"/>
                    <w:tr2bl w:val="nil"/>
                  </w:tcBorders>
                  <w:vAlign w:val="center"/>
                </w:tcPr>
                <w:p w14:paraId="6024B25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0" w:type="dxa"/>
                  <w:tcBorders>
                    <w:right w:val="single" w:color="auto" w:sz="4" w:space="0"/>
                    <w:tl2br w:val="nil"/>
                    <w:tr2bl w:val="nil"/>
                  </w:tcBorders>
                  <w:shd w:val="clear" w:color="auto" w:fill="auto"/>
                  <w:vAlign w:val="center"/>
                </w:tcPr>
                <w:p w14:paraId="3E8B239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713" w:type="dxa"/>
                  <w:tcBorders>
                    <w:left w:val="single" w:color="auto" w:sz="4" w:space="0"/>
                    <w:tl2br w:val="nil"/>
                    <w:tr2bl w:val="nil"/>
                  </w:tcBorders>
                  <w:shd w:val="clear" w:color="auto" w:fill="auto"/>
                  <w:vAlign w:val="center"/>
                </w:tcPr>
                <w:p w14:paraId="2780CFB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750" w:type="dxa"/>
                  <w:tcBorders>
                    <w:right w:val="single" w:color="auto" w:sz="4" w:space="0"/>
                    <w:tl2br w:val="nil"/>
                    <w:tr2bl w:val="nil"/>
                  </w:tcBorders>
                  <w:shd w:val="clear" w:color="auto" w:fill="auto"/>
                  <w:vAlign w:val="center"/>
                </w:tcPr>
                <w:p w14:paraId="63E8759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71" w:type="dxa"/>
                  <w:tcBorders>
                    <w:left w:val="single" w:color="auto" w:sz="4" w:space="0"/>
                    <w:tl2br w:val="nil"/>
                    <w:tr2bl w:val="nil"/>
                  </w:tcBorders>
                  <w:shd w:val="clear" w:color="auto" w:fill="auto"/>
                  <w:vAlign w:val="center"/>
                </w:tcPr>
                <w:p w14:paraId="2C83AA5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667" w:type="dxa"/>
                  <w:tcBorders>
                    <w:right w:val="single" w:color="auto" w:sz="4" w:space="0"/>
                    <w:tl2br w:val="nil"/>
                    <w:tr2bl w:val="nil"/>
                  </w:tcBorders>
                  <w:shd w:val="clear" w:color="auto" w:fill="auto"/>
                  <w:vAlign w:val="center"/>
                </w:tcPr>
                <w:p w14:paraId="2B32125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49" w:type="dxa"/>
                  <w:tcBorders>
                    <w:left w:val="single" w:color="auto" w:sz="4" w:space="0"/>
                    <w:tl2br w:val="nil"/>
                    <w:tr2bl w:val="nil"/>
                  </w:tcBorders>
                  <w:shd w:val="clear" w:color="auto" w:fill="auto"/>
                  <w:vAlign w:val="center"/>
                </w:tcPr>
                <w:p w14:paraId="5B4B0FC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1" w:type="dxa"/>
                  <w:vMerge w:val="continue"/>
                  <w:tcBorders>
                    <w:tl2br w:val="nil"/>
                    <w:tr2bl w:val="nil"/>
                  </w:tcBorders>
                  <w:vAlign w:val="center"/>
                </w:tcPr>
                <w:p w14:paraId="15F201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3DFF58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057004A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蒸汽</w:t>
                  </w:r>
                </w:p>
              </w:tc>
              <w:tc>
                <w:tcPr>
                  <w:tcW w:w="652" w:type="dxa"/>
                  <w:vMerge w:val="restart"/>
                  <w:tcBorders>
                    <w:tl2br w:val="nil"/>
                    <w:tr2bl w:val="nil"/>
                  </w:tcBorders>
                  <w:vAlign w:val="center"/>
                </w:tcPr>
                <w:p w14:paraId="5269A0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天然气</w:t>
                  </w:r>
                </w:p>
              </w:tc>
              <w:tc>
                <w:tcPr>
                  <w:tcW w:w="700" w:type="dxa"/>
                  <w:vMerge w:val="restart"/>
                  <w:tcBorders>
                    <w:tl2br w:val="nil"/>
                    <w:tr2bl w:val="nil"/>
                  </w:tcBorders>
                  <w:vAlign w:val="center"/>
                </w:tcPr>
                <w:p w14:paraId="220CC79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36万m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/a</w:t>
                  </w:r>
                </w:p>
              </w:tc>
              <w:tc>
                <w:tcPr>
                  <w:tcW w:w="887" w:type="dxa"/>
                  <w:tcBorders>
                    <w:tl2br w:val="nil"/>
                    <w:tr2bl w:val="nil"/>
                  </w:tcBorders>
                  <w:vAlign w:val="center"/>
                </w:tcPr>
                <w:p w14:paraId="421A609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废气量</w:t>
                  </w:r>
                </w:p>
              </w:tc>
              <w:tc>
                <w:tcPr>
                  <w:tcW w:w="1100" w:type="dxa"/>
                  <w:tcBorders>
                    <w:tl2br w:val="nil"/>
                    <w:tr2bl w:val="nil"/>
                  </w:tcBorders>
                  <w:vAlign w:val="center"/>
                </w:tcPr>
                <w:p w14:paraId="262015A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107753标立方米/万立方米-原料</w:t>
                  </w:r>
                </w:p>
              </w:tc>
              <w:tc>
                <w:tcPr>
                  <w:tcW w:w="4671" w:type="dxa"/>
                  <w:gridSpan w:val="7"/>
                  <w:tcBorders>
                    <w:tl2br w:val="nil"/>
                    <w:tr2bl w:val="nil"/>
                  </w:tcBorders>
                  <w:shd w:val="clear" w:color="auto" w:fill="auto"/>
                  <w:vAlign w:val="center"/>
                </w:tcPr>
                <w:p w14:paraId="5E70CA7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808.1m³/h</w:t>
                  </w:r>
                </w:p>
              </w:tc>
            </w:tr>
            <w:tr w14:paraId="172EA0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42D8E3B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52" w:type="dxa"/>
                  <w:vMerge w:val="continue"/>
                  <w:tcBorders>
                    <w:tl2br w:val="nil"/>
                    <w:tr2bl w:val="nil"/>
                  </w:tcBorders>
                  <w:vAlign w:val="center"/>
                </w:tcPr>
                <w:p w14:paraId="4EAA59F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00" w:type="dxa"/>
                  <w:vMerge w:val="continue"/>
                  <w:tcBorders>
                    <w:tl2br w:val="nil"/>
                    <w:tr2bl w:val="nil"/>
                  </w:tcBorders>
                  <w:vAlign w:val="center"/>
                </w:tcPr>
                <w:p w14:paraId="64BFE55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87" w:type="dxa"/>
                  <w:tcBorders>
                    <w:tl2br w:val="nil"/>
                    <w:tr2bl w:val="nil"/>
                  </w:tcBorders>
                  <w:vAlign w:val="center"/>
                </w:tcPr>
                <w:p w14:paraId="613FB72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二氧化硫</w:t>
                  </w:r>
                </w:p>
              </w:tc>
              <w:tc>
                <w:tcPr>
                  <w:tcW w:w="1100" w:type="dxa"/>
                  <w:tcBorders>
                    <w:tl2br w:val="nil"/>
                    <w:tr2bl w:val="nil"/>
                  </w:tcBorders>
                  <w:vAlign w:val="center"/>
                </w:tcPr>
                <w:p w14:paraId="6F5E126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0.02S</w:t>
                  </w:r>
                </w:p>
              </w:tc>
              <w:tc>
                <w:tcPr>
                  <w:tcW w:w="700" w:type="dxa"/>
                  <w:tcBorders>
                    <w:right w:val="single" w:color="auto" w:sz="4" w:space="0"/>
                    <w:tl2br w:val="nil"/>
                    <w:tr2bl w:val="nil"/>
                  </w:tcBorders>
                  <w:shd w:val="clear" w:color="auto" w:fill="auto"/>
                  <w:vAlign w:val="center"/>
                </w:tcPr>
                <w:p w14:paraId="4DCFC508">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0.072</w:t>
                  </w:r>
                </w:p>
              </w:tc>
              <w:tc>
                <w:tcPr>
                  <w:tcW w:w="713" w:type="dxa"/>
                  <w:tcBorders>
                    <w:left w:val="single" w:color="auto" w:sz="4" w:space="0"/>
                    <w:tl2br w:val="nil"/>
                    <w:tr2bl w:val="nil"/>
                  </w:tcBorders>
                  <w:shd w:val="clear" w:color="auto" w:fill="auto"/>
                  <w:vAlign w:val="center"/>
                </w:tcPr>
                <w:p w14:paraId="47F7A8B1">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0.015</w:t>
                  </w:r>
                </w:p>
              </w:tc>
              <w:tc>
                <w:tcPr>
                  <w:tcW w:w="750" w:type="dxa"/>
                  <w:tcBorders>
                    <w:right w:val="single" w:color="auto" w:sz="4" w:space="0"/>
                    <w:tl2br w:val="nil"/>
                    <w:tr2bl w:val="nil"/>
                  </w:tcBorders>
                  <w:vAlign w:val="center"/>
                </w:tcPr>
                <w:p w14:paraId="1D1987F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71" w:type="dxa"/>
                  <w:tcBorders>
                    <w:left w:val="single" w:color="auto" w:sz="4" w:space="0"/>
                    <w:tl2br w:val="nil"/>
                    <w:tr2bl w:val="nil"/>
                  </w:tcBorders>
                  <w:vAlign w:val="center"/>
                </w:tcPr>
                <w:p w14:paraId="7B04ECF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67" w:type="dxa"/>
                  <w:tcBorders>
                    <w:right w:val="single" w:color="auto" w:sz="4" w:space="0"/>
                    <w:tl2br w:val="nil"/>
                    <w:tr2bl w:val="nil"/>
                  </w:tcBorders>
                  <w:vAlign w:val="center"/>
                </w:tcPr>
                <w:p w14:paraId="314674BB">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0.072</w:t>
                  </w:r>
                </w:p>
              </w:tc>
              <w:tc>
                <w:tcPr>
                  <w:tcW w:w="649" w:type="dxa"/>
                  <w:tcBorders>
                    <w:left w:val="single" w:color="auto" w:sz="4" w:space="0"/>
                    <w:tl2br w:val="nil"/>
                    <w:tr2bl w:val="nil"/>
                  </w:tcBorders>
                  <w:vAlign w:val="center"/>
                </w:tcPr>
                <w:p w14:paraId="0B45B5D9">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0.015</w:t>
                  </w:r>
                </w:p>
              </w:tc>
              <w:tc>
                <w:tcPr>
                  <w:tcW w:w="521" w:type="dxa"/>
                  <w:vMerge w:val="restart"/>
                  <w:tcBorders>
                    <w:tl2br w:val="nil"/>
                    <w:tr2bl w:val="nil"/>
                  </w:tcBorders>
                  <w:vAlign w:val="center"/>
                </w:tcPr>
                <w:p w14:paraId="54E938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3#厂房</w:t>
                  </w:r>
                </w:p>
              </w:tc>
            </w:tr>
            <w:tr w14:paraId="621255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5856056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52" w:type="dxa"/>
                  <w:vMerge w:val="continue"/>
                  <w:tcBorders>
                    <w:tl2br w:val="nil"/>
                    <w:tr2bl w:val="nil"/>
                  </w:tcBorders>
                  <w:vAlign w:val="center"/>
                </w:tcPr>
                <w:p w14:paraId="578024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00" w:type="dxa"/>
                  <w:vMerge w:val="continue"/>
                  <w:tcBorders>
                    <w:tl2br w:val="nil"/>
                    <w:tr2bl w:val="nil"/>
                  </w:tcBorders>
                  <w:vAlign w:val="center"/>
                </w:tcPr>
                <w:p w14:paraId="3CDC4F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87" w:type="dxa"/>
                  <w:tcBorders>
                    <w:tl2br w:val="nil"/>
                    <w:tr2bl w:val="nil"/>
                  </w:tcBorders>
                  <w:vAlign w:val="center"/>
                </w:tcPr>
                <w:p w14:paraId="48E1113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1100" w:type="dxa"/>
                  <w:tcBorders>
                    <w:tl2br w:val="nil"/>
                    <w:tr2bl w:val="nil"/>
                  </w:tcBorders>
                  <w:vAlign w:val="center"/>
                </w:tcPr>
                <w:p w14:paraId="0D73F3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2.86</w:t>
                  </w:r>
                </w:p>
              </w:tc>
              <w:tc>
                <w:tcPr>
                  <w:tcW w:w="700" w:type="dxa"/>
                  <w:tcBorders>
                    <w:right w:val="single" w:color="auto" w:sz="4" w:space="0"/>
                    <w:tl2br w:val="nil"/>
                    <w:tr2bl w:val="nil"/>
                  </w:tcBorders>
                  <w:shd w:val="clear" w:color="auto" w:fill="auto"/>
                  <w:vAlign w:val="center"/>
                </w:tcPr>
                <w:p w14:paraId="78AF63D5">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0.103</w:t>
                  </w:r>
                </w:p>
              </w:tc>
              <w:tc>
                <w:tcPr>
                  <w:tcW w:w="713" w:type="dxa"/>
                  <w:tcBorders>
                    <w:left w:val="single" w:color="auto" w:sz="4" w:space="0"/>
                    <w:tl2br w:val="nil"/>
                    <w:tr2bl w:val="nil"/>
                  </w:tcBorders>
                  <w:shd w:val="clear" w:color="auto" w:fill="auto"/>
                  <w:vAlign w:val="center"/>
                </w:tcPr>
                <w:p w14:paraId="3D67A329">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0.021</w:t>
                  </w:r>
                </w:p>
              </w:tc>
              <w:tc>
                <w:tcPr>
                  <w:tcW w:w="750" w:type="dxa"/>
                  <w:tcBorders>
                    <w:right w:val="single" w:color="auto" w:sz="4" w:space="0"/>
                    <w:tl2br w:val="nil"/>
                    <w:tr2bl w:val="nil"/>
                  </w:tcBorders>
                  <w:vAlign w:val="center"/>
                </w:tcPr>
                <w:p w14:paraId="613AB57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71" w:type="dxa"/>
                  <w:tcBorders>
                    <w:left w:val="single" w:color="auto" w:sz="4" w:space="0"/>
                    <w:tl2br w:val="nil"/>
                    <w:tr2bl w:val="nil"/>
                  </w:tcBorders>
                  <w:vAlign w:val="center"/>
                </w:tcPr>
                <w:p w14:paraId="60DE998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67" w:type="dxa"/>
                  <w:tcBorders>
                    <w:right w:val="single" w:color="auto" w:sz="4" w:space="0"/>
                    <w:tl2br w:val="nil"/>
                    <w:tr2bl w:val="nil"/>
                  </w:tcBorders>
                  <w:vAlign w:val="center"/>
                </w:tcPr>
                <w:p w14:paraId="43912597">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0.103</w:t>
                  </w:r>
                </w:p>
              </w:tc>
              <w:tc>
                <w:tcPr>
                  <w:tcW w:w="649" w:type="dxa"/>
                  <w:tcBorders>
                    <w:left w:val="single" w:color="auto" w:sz="4" w:space="0"/>
                    <w:tl2br w:val="nil"/>
                    <w:tr2bl w:val="nil"/>
                  </w:tcBorders>
                  <w:vAlign w:val="center"/>
                </w:tcPr>
                <w:p w14:paraId="6992D81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0.021</w:t>
                  </w:r>
                </w:p>
              </w:tc>
              <w:tc>
                <w:tcPr>
                  <w:tcW w:w="521" w:type="dxa"/>
                  <w:vMerge w:val="continue"/>
                  <w:tcBorders>
                    <w:tl2br w:val="nil"/>
                    <w:tr2bl w:val="nil"/>
                  </w:tcBorders>
                  <w:vAlign w:val="center"/>
                </w:tcPr>
                <w:p w14:paraId="1DD0A6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6160B6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2249329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652" w:type="dxa"/>
                  <w:vMerge w:val="continue"/>
                  <w:tcBorders>
                    <w:tl2br w:val="nil"/>
                    <w:tr2bl w:val="nil"/>
                  </w:tcBorders>
                  <w:vAlign w:val="center"/>
                </w:tcPr>
                <w:p w14:paraId="42744DD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00" w:type="dxa"/>
                  <w:vMerge w:val="continue"/>
                  <w:tcBorders>
                    <w:tl2br w:val="nil"/>
                    <w:tr2bl w:val="nil"/>
                  </w:tcBorders>
                  <w:vAlign w:val="center"/>
                </w:tcPr>
                <w:p w14:paraId="16CB57E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87" w:type="dxa"/>
                  <w:tcBorders>
                    <w:tl2br w:val="nil"/>
                    <w:tr2bl w:val="nil"/>
                  </w:tcBorders>
                  <w:vAlign w:val="center"/>
                </w:tcPr>
                <w:p w14:paraId="6FCE246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氮氧化物</w:t>
                  </w:r>
                </w:p>
              </w:tc>
              <w:tc>
                <w:tcPr>
                  <w:tcW w:w="1100" w:type="dxa"/>
                  <w:tcBorders>
                    <w:tl2br w:val="nil"/>
                    <w:tr2bl w:val="nil"/>
                  </w:tcBorders>
                  <w:vAlign w:val="center"/>
                </w:tcPr>
                <w:p w14:paraId="6BF740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18.71</w:t>
                  </w:r>
                </w:p>
              </w:tc>
              <w:tc>
                <w:tcPr>
                  <w:tcW w:w="700" w:type="dxa"/>
                  <w:tcBorders>
                    <w:right w:val="single" w:color="auto" w:sz="4" w:space="0"/>
                    <w:tl2br w:val="nil"/>
                    <w:tr2bl w:val="nil"/>
                  </w:tcBorders>
                  <w:shd w:val="clear" w:color="auto" w:fill="auto"/>
                  <w:vAlign w:val="center"/>
                </w:tcPr>
                <w:p w14:paraId="6A73A4FB">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0.674</w:t>
                  </w:r>
                </w:p>
              </w:tc>
              <w:tc>
                <w:tcPr>
                  <w:tcW w:w="713" w:type="dxa"/>
                  <w:tcBorders>
                    <w:left w:val="single" w:color="auto" w:sz="4" w:space="0"/>
                    <w:tl2br w:val="nil"/>
                    <w:tr2bl w:val="nil"/>
                  </w:tcBorders>
                  <w:shd w:val="clear" w:color="auto" w:fill="auto"/>
                  <w:vAlign w:val="center"/>
                </w:tcPr>
                <w:p w14:paraId="641A7256">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0.140</w:t>
                  </w:r>
                </w:p>
              </w:tc>
              <w:tc>
                <w:tcPr>
                  <w:tcW w:w="750" w:type="dxa"/>
                  <w:tcBorders>
                    <w:right w:val="single" w:color="auto" w:sz="4" w:space="0"/>
                    <w:tl2br w:val="nil"/>
                    <w:tr2bl w:val="nil"/>
                  </w:tcBorders>
                  <w:vAlign w:val="center"/>
                </w:tcPr>
                <w:p w14:paraId="4D3C96A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71" w:type="dxa"/>
                  <w:tcBorders>
                    <w:left w:val="single" w:color="auto" w:sz="4" w:space="0"/>
                    <w:tl2br w:val="nil"/>
                    <w:tr2bl w:val="nil"/>
                  </w:tcBorders>
                  <w:vAlign w:val="center"/>
                </w:tcPr>
                <w:p w14:paraId="4D6340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67" w:type="dxa"/>
                  <w:tcBorders>
                    <w:right w:val="single" w:color="auto" w:sz="4" w:space="0"/>
                    <w:tl2br w:val="nil"/>
                    <w:tr2bl w:val="nil"/>
                  </w:tcBorders>
                  <w:vAlign w:val="center"/>
                </w:tcPr>
                <w:p w14:paraId="5200DE72">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0.674</w:t>
                  </w:r>
                </w:p>
              </w:tc>
              <w:tc>
                <w:tcPr>
                  <w:tcW w:w="649" w:type="dxa"/>
                  <w:tcBorders>
                    <w:left w:val="single" w:color="auto" w:sz="4" w:space="0"/>
                    <w:tl2br w:val="nil"/>
                    <w:tr2bl w:val="nil"/>
                  </w:tcBorders>
                  <w:vAlign w:val="center"/>
                </w:tcPr>
                <w:p w14:paraId="4425B50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0.140</w:t>
                  </w:r>
                </w:p>
              </w:tc>
              <w:tc>
                <w:tcPr>
                  <w:tcW w:w="521" w:type="dxa"/>
                  <w:vMerge w:val="continue"/>
                  <w:tcBorders>
                    <w:tl2br w:val="nil"/>
                    <w:tr2bl w:val="nil"/>
                  </w:tcBorders>
                  <w:vAlign w:val="center"/>
                </w:tcPr>
                <w:p w14:paraId="68428A5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46DF81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6" w:type="dxa"/>
                  <w:gridSpan w:val="12"/>
                  <w:tcBorders>
                    <w:tl2br w:val="nil"/>
                    <w:tr2bl w:val="nil"/>
                  </w:tcBorders>
                  <w:vAlign w:val="center"/>
                </w:tcPr>
                <w:p w14:paraId="681C0E0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注：S为天然气收到基硫分，本项目</w:t>
                  </w:r>
                  <w:r>
                    <w:rPr>
                      <w:rFonts w:hint="eastAsia" w:cs="Times New Roman"/>
                      <w:color w:val="auto"/>
                      <w:spacing w:val="-1"/>
                      <w:sz w:val="18"/>
                      <w:szCs w:val="18"/>
                      <w:lang w:val="en-US" w:eastAsia="zh-CN"/>
                    </w:rPr>
                    <w:t>锅炉</w:t>
                  </w:r>
                  <w:r>
                    <w:rPr>
                      <w:rFonts w:hint="eastAsia" w:ascii="Times New Roman" w:hAnsi="Times New Roman" w:eastAsia="宋体" w:cs="Times New Roman"/>
                      <w:color w:val="auto"/>
                      <w:spacing w:val="-1"/>
                      <w:sz w:val="18"/>
                      <w:szCs w:val="18"/>
                      <w:lang w:val="en-US" w:eastAsia="zh-CN"/>
                    </w:rPr>
                    <w:t>以天然气为燃料</w:t>
                  </w:r>
                  <w:r>
                    <w:rPr>
                      <w:rFonts w:hint="default" w:ascii="Times New Roman" w:hAnsi="Times New Roman" w:eastAsia="宋体" w:cs="Times New Roman"/>
                      <w:color w:val="auto"/>
                      <w:spacing w:val="-1"/>
                      <w:sz w:val="18"/>
                      <w:szCs w:val="18"/>
                      <w:lang w:val="en-US" w:eastAsia="zh-CN"/>
                    </w:rPr>
                    <w:t>，根据《天然气》（GB17820-2018），S取值100mg/m³。</w:t>
                  </w:r>
                </w:p>
              </w:tc>
            </w:tr>
          </w:tbl>
          <w:p w14:paraId="2189E19D">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b/>
                <w:bCs/>
                <w:color w:val="auto"/>
                <w:sz w:val="24"/>
                <w:szCs w:val="24"/>
                <w:highlight w:val="none"/>
                <w:lang w:eastAsia="zh-CN"/>
              </w:rPr>
            </w:pPr>
          </w:p>
          <w:p w14:paraId="32ECB907">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b/>
                <w:bCs/>
                <w:color w:val="auto"/>
                <w:sz w:val="24"/>
                <w:szCs w:val="24"/>
                <w:highlight w:val="none"/>
                <w:lang w:eastAsia="zh-CN"/>
              </w:rPr>
            </w:pPr>
          </w:p>
          <w:p w14:paraId="70693FD0">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b/>
                <w:bCs/>
                <w:color w:val="auto"/>
                <w:sz w:val="24"/>
                <w:szCs w:val="24"/>
                <w:highlight w:val="none"/>
                <w:lang w:eastAsia="zh-CN"/>
              </w:rPr>
            </w:pPr>
          </w:p>
          <w:p w14:paraId="541E9939">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（3）</w:t>
            </w:r>
            <w:r>
              <w:rPr>
                <w:rFonts w:hint="eastAsia"/>
                <w:b/>
                <w:bCs/>
                <w:color w:val="auto"/>
                <w:sz w:val="24"/>
                <w:szCs w:val="24"/>
                <w:highlight w:val="none"/>
                <w:lang w:val="en-US" w:eastAsia="zh-CN"/>
              </w:rPr>
              <w:t>泵、</w:t>
            </w:r>
            <w:r>
              <w:rPr>
                <w:rFonts w:hint="eastAsia" w:ascii="Times New Roman" w:eastAsia="宋体"/>
                <w:b/>
                <w:bCs/>
                <w:color w:val="auto"/>
                <w:sz w:val="24"/>
                <w:szCs w:val="24"/>
                <w:highlight w:val="none"/>
                <w:lang w:eastAsia="zh-CN"/>
              </w:rPr>
              <w:t>阀门、喷头</w:t>
            </w:r>
            <w:r>
              <w:rPr>
                <w:rFonts w:hint="eastAsia"/>
                <w:b/>
                <w:bCs/>
                <w:color w:val="auto"/>
                <w:sz w:val="24"/>
                <w:szCs w:val="24"/>
                <w:highlight w:val="none"/>
                <w:lang w:val="en-US" w:eastAsia="zh-CN"/>
              </w:rPr>
              <w:t>配件</w:t>
            </w:r>
            <w:r>
              <w:rPr>
                <w:rFonts w:hint="eastAsia" w:ascii="Times New Roman" w:eastAsia="宋体"/>
                <w:b/>
                <w:bCs/>
                <w:color w:val="auto"/>
                <w:sz w:val="24"/>
                <w:szCs w:val="24"/>
                <w:highlight w:val="none"/>
                <w:lang w:eastAsia="zh-CN"/>
              </w:rPr>
              <w:t>等生产涉及的废气源强核算</w:t>
            </w:r>
          </w:p>
          <w:p w14:paraId="691D9B21">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①红冲工序废气</w:t>
            </w:r>
          </w:p>
          <w:p w14:paraId="5C7C2EC2">
            <w:pPr>
              <w:pStyle w:val="10"/>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2" w:firstLineChars="0"/>
              <w:textAlignment w:val="auto"/>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加热炉燃料废气</w:t>
            </w:r>
          </w:p>
          <w:p w14:paraId="6DA0AEA1">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项目红冲工序加热炉以天然气为燃料，根据建设单位介绍：本项目加热炉额定用气量约为41.7m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/h，年工作时间2400h，则本项目烘箱天然气年用量约为10万m</w:t>
            </w:r>
            <w:r>
              <w:rPr>
                <w:rFonts w:hint="eastAsia" w:ascii="Times New Roman" w:eastAsia="宋体"/>
                <w:color w:val="auto"/>
                <w:sz w:val="24"/>
                <w:szCs w:val="24"/>
                <w:highlight w:val="none"/>
                <w:vertAlign w:val="superscript"/>
                <w:lang w:eastAsia="zh-CN"/>
              </w:rPr>
              <w:t>3</w:t>
            </w:r>
            <w:r>
              <w:rPr>
                <w:rFonts w:hint="eastAsia" w:ascii="Times New Roman" w:eastAsia="宋体"/>
                <w:color w:val="auto"/>
                <w:sz w:val="24"/>
                <w:szCs w:val="24"/>
                <w:highlight w:val="none"/>
                <w:lang w:eastAsia="zh-CN"/>
              </w:rPr>
              <w:t>/a，参考《排放源统计调查产排污核算方法和系数手册》工业炉窑的相关产污系数，项目红冲工序加热炉燃料废气产生情况详见下表。</w:t>
            </w:r>
          </w:p>
          <w:p w14:paraId="375BB80D">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表4-1</w:t>
            </w:r>
            <w:r>
              <w:rPr>
                <w:rFonts w:hint="eastAsia"/>
                <w:b/>
                <w:bCs/>
                <w:color w:val="auto"/>
                <w:sz w:val="24"/>
                <w:szCs w:val="24"/>
                <w:highlight w:val="none"/>
                <w:lang w:val="en-US" w:eastAsia="zh-CN"/>
              </w:rPr>
              <w:t>7</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w:t>
            </w:r>
            <w:r>
              <w:rPr>
                <w:rFonts w:hint="eastAsia" w:ascii="Times New Roman" w:eastAsia="宋体"/>
                <w:b/>
                <w:bCs/>
                <w:color w:val="auto"/>
                <w:sz w:val="24"/>
                <w:szCs w:val="24"/>
                <w:highlight w:val="none"/>
                <w:lang w:eastAsia="zh-CN"/>
              </w:rPr>
              <w:t>加热炉燃料废气产生情况一览表</w:t>
            </w:r>
          </w:p>
          <w:tbl>
            <w:tblPr>
              <w:tblStyle w:val="29"/>
              <w:tblW w:w="84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6"/>
              <w:gridCol w:w="531"/>
              <w:gridCol w:w="700"/>
              <w:gridCol w:w="825"/>
              <w:gridCol w:w="1283"/>
              <w:gridCol w:w="700"/>
              <w:gridCol w:w="713"/>
              <w:gridCol w:w="750"/>
              <w:gridCol w:w="671"/>
              <w:gridCol w:w="667"/>
              <w:gridCol w:w="649"/>
              <w:gridCol w:w="521"/>
            </w:tblGrid>
            <w:tr w14:paraId="4A6C4C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096BFE4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产品名称</w:t>
                  </w:r>
                </w:p>
              </w:tc>
              <w:tc>
                <w:tcPr>
                  <w:tcW w:w="531" w:type="dxa"/>
                  <w:vMerge w:val="restart"/>
                  <w:tcBorders>
                    <w:tl2br w:val="nil"/>
                    <w:tr2bl w:val="nil"/>
                  </w:tcBorders>
                  <w:vAlign w:val="center"/>
                </w:tcPr>
                <w:p w14:paraId="3440CC5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燃料类别</w:t>
                  </w:r>
                </w:p>
              </w:tc>
              <w:tc>
                <w:tcPr>
                  <w:tcW w:w="700" w:type="dxa"/>
                  <w:vMerge w:val="restart"/>
                  <w:tcBorders>
                    <w:tl2br w:val="nil"/>
                    <w:tr2bl w:val="nil"/>
                  </w:tcBorders>
                  <w:vAlign w:val="center"/>
                </w:tcPr>
                <w:p w14:paraId="12C9D94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燃料用量</w:t>
                  </w:r>
                </w:p>
              </w:tc>
              <w:tc>
                <w:tcPr>
                  <w:tcW w:w="825" w:type="dxa"/>
                  <w:vMerge w:val="restart"/>
                  <w:tcBorders>
                    <w:tl2br w:val="nil"/>
                    <w:tr2bl w:val="nil"/>
                  </w:tcBorders>
                  <w:vAlign w:val="center"/>
                </w:tcPr>
                <w:p w14:paraId="274D7B2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1283" w:type="dxa"/>
                  <w:vMerge w:val="restart"/>
                  <w:tcBorders>
                    <w:tl2br w:val="nil"/>
                    <w:tr2bl w:val="nil"/>
                  </w:tcBorders>
                  <w:vAlign w:val="center"/>
                </w:tcPr>
                <w:p w14:paraId="04DC0DA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b/>
                      <w:bCs/>
                      <w:color w:val="auto"/>
                      <w:sz w:val="18"/>
                      <w:szCs w:val="18"/>
                    </w:rPr>
                    <w:t>产污系数</w:t>
                  </w:r>
                  <w:r>
                    <w:rPr>
                      <w:rFonts w:ascii="Times New Roman" w:hAnsi="Times New Roman" w:eastAsia="Times New Roman"/>
                      <w:b/>
                      <w:bCs/>
                      <w:color w:val="auto"/>
                      <w:spacing w:val="-1"/>
                      <w:sz w:val="18"/>
                      <w:szCs w:val="18"/>
                    </w:rPr>
                    <w:t>(kg/t</w:t>
                  </w:r>
                  <w:r>
                    <w:rPr>
                      <w:b/>
                      <w:bCs/>
                      <w:color w:val="auto"/>
                      <w:spacing w:val="-1"/>
                      <w:sz w:val="18"/>
                      <w:szCs w:val="18"/>
                    </w:rPr>
                    <w:t>·</w:t>
                  </w:r>
                  <w:r>
                    <w:rPr>
                      <w:b/>
                      <w:bCs/>
                      <w:color w:val="auto"/>
                      <w:sz w:val="18"/>
                      <w:szCs w:val="18"/>
                    </w:rPr>
                    <w:t>原料或</w:t>
                  </w:r>
                  <w:r>
                    <w:rPr>
                      <w:rFonts w:ascii="Times New Roman" w:hAnsi="Times New Roman" w:eastAsia="Times New Roman"/>
                      <w:b/>
                      <w:bCs/>
                      <w:color w:val="auto"/>
                      <w:sz w:val="18"/>
                      <w:szCs w:val="18"/>
                    </w:rPr>
                    <w:t>kg/m</w:t>
                  </w:r>
                  <w:r>
                    <w:rPr>
                      <w:rFonts w:ascii="Times New Roman" w:hAnsi="Times New Roman" w:eastAsia="Times New Roman"/>
                      <w:b/>
                      <w:bCs/>
                      <w:color w:val="auto"/>
                      <w:sz w:val="18"/>
                      <w:szCs w:val="18"/>
                      <w:vertAlign w:val="superscript"/>
                    </w:rPr>
                    <w:t>3</w:t>
                  </w:r>
                  <w:r>
                    <w:rPr>
                      <w:b/>
                      <w:bCs/>
                      <w:color w:val="auto"/>
                      <w:sz w:val="18"/>
                      <w:szCs w:val="18"/>
                      <w:vertAlign w:val="baseline"/>
                    </w:rPr>
                    <w:t>·原料</w:t>
                  </w:r>
                  <w:r>
                    <w:rPr>
                      <w:rFonts w:ascii="Times New Roman" w:hAnsi="Times New Roman" w:eastAsia="Times New Roman"/>
                      <w:b/>
                      <w:bCs/>
                      <w:color w:val="auto"/>
                      <w:sz w:val="18"/>
                      <w:szCs w:val="18"/>
                      <w:vertAlign w:val="baseline"/>
                    </w:rPr>
                    <w:t>)</w:t>
                  </w:r>
                </w:p>
              </w:tc>
              <w:tc>
                <w:tcPr>
                  <w:tcW w:w="4150" w:type="dxa"/>
                  <w:gridSpan w:val="6"/>
                  <w:tcBorders>
                    <w:tl2br w:val="nil"/>
                    <w:tr2bl w:val="nil"/>
                  </w:tcBorders>
                  <w:vAlign w:val="center"/>
                </w:tcPr>
                <w:p w14:paraId="3C93D98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污染物产生量（kg/h）</w:t>
                  </w:r>
                </w:p>
              </w:tc>
              <w:tc>
                <w:tcPr>
                  <w:tcW w:w="521" w:type="dxa"/>
                  <w:vMerge w:val="restart"/>
                  <w:tcBorders>
                    <w:tl2br w:val="nil"/>
                    <w:tr2bl w:val="nil"/>
                  </w:tcBorders>
                  <w:vAlign w:val="center"/>
                </w:tcPr>
                <w:p w14:paraId="121EEF5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4AE39C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1D8159F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31" w:type="dxa"/>
                  <w:vMerge w:val="continue"/>
                  <w:tcBorders>
                    <w:tl2br w:val="nil"/>
                    <w:tr2bl w:val="nil"/>
                  </w:tcBorders>
                  <w:vAlign w:val="center"/>
                </w:tcPr>
                <w:p w14:paraId="45D7A00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0" w:type="dxa"/>
                  <w:vMerge w:val="continue"/>
                  <w:tcBorders>
                    <w:tl2br w:val="nil"/>
                    <w:tr2bl w:val="nil"/>
                  </w:tcBorders>
                  <w:vAlign w:val="center"/>
                </w:tcPr>
                <w:p w14:paraId="74E777E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25" w:type="dxa"/>
                  <w:vMerge w:val="continue"/>
                  <w:tcBorders>
                    <w:tl2br w:val="nil"/>
                    <w:tr2bl w:val="nil"/>
                  </w:tcBorders>
                  <w:vAlign w:val="center"/>
                </w:tcPr>
                <w:p w14:paraId="77C082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283" w:type="dxa"/>
                  <w:vMerge w:val="continue"/>
                  <w:tcBorders>
                    <w:tl2br w:val="nil"/>
                    <w:tr2bl w:val="nil"/>
                  </w:tcBorders>
                  <w:vAlign w:val="center"/>
                </w:tcPr>
                <w:p w14:paraId="653AFEC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413" w:type="dxa"/>
                  <w:gridSpan w:val="2"/>
                  <w:tcBorders>
                    <w:tl2br w:val="nil"/>
                    <w:tr2bl w:val="nil"/>
                  </w:tcBorders>
                  <w:vAlign w:val="center"/>
                </w:tcPr>
                <w:p w14:paraId="06858D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421" w:type="dxa"/>
                  <w:gridSpan w:val="2"/>
                  <w:tcBorders>
                    <w:tl2br w:val="nil"/>
                    <w:tr2bl w:val="nil"/>
                  </w:tcBorders>
                  <w:vAlign w:val="center"/>
                </w:tcPr>
                <w:p w14:paraId="73A0456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316" w:type="dxa"/>
                  <w:gridSpan w:val="2"/>
                  <w:tcBorders>
                    <w:tl2br w:val="nil"/>
                    <w:tr2bl w:val="nil"/>
                  </w:tcBorders>
                  <w:vAlign w:val="center"/>
                </w:tcPr>
                <w:p w14:paraId="5D6F654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521" w:type="dxa"/>
                  <w:vMerge w:val="continue"/>
                  <w:tcBorders>
                    <w:tl2br w:val="nil"/>
                    <w:tr2bl w:val="nil"/>
                  </w:tcBorders>
                  <w:vAlign w:val="center"/>
                </w:tcPr>
                <w:p w14:paraId="25F9F48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763544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6879BE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31" w:type="dxa"/>
                  <w:vMerge w:val="continue"/>
                  <w:tcBorders>
                    <w:tl2br w:val="nil"/>
                    <w:tr2bl w:val="nil"/>
                  </w:tcBorders>
                  <w:vAlign w:val="center"/>
                </w:tcPr>
                <w:p w14:paraId="73E0FDE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0" w:type="dxa"/>
                  <w:vMerge w:val="continue"/>
                  <w:tcBorders>
                    <w:tl2br w:val="nil"/>
                    <w:tr2bl w:val="nil"/>
                  </w:tcBorders>
                  <w:vAlign w:val="center"/>
                </w:tcPr>
                <w:p w14:paraId="7BE2307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25" w:type="dxa"/>
                  <w:vMerge w:val="continue"/>
                  <w:tcBorders>
                    <w:tl2br w:val="nil"/>
                    <w:tr2bl w:val="nil"/>
                  </w:tcBorders>
                  <w:vAlign w:val="center"/>
                </w:tcPr>
                <w:p w14:paraId="0B740FC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283" w:type="dxa"/>
                  <w:vMerge w:val="continue"/>
                  <w:tcBorders>
                    <w:tl2br w:val="nil"/>
                    <w:tr2bl w:val="nil"/>
                  </w:tcBorders>
                  <w:vAlign w:val="center"/>
                </w:tcPr>
                <w:p w14:paraId="10A227F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0" w:type="dxa"/>
                  <w:tcBorders>
                    <w:right w:val="single" w:color="auto" w:sz="4" w:space="0"/>
                    <w:tl2br w:val="nil"/>
                    <w:tr2bl w:val="nil"/>
                  </w:tcBorders>
                  <w:shd w:val="clear" w:color="auto" w:fill="auto"/>
                  <w:vAlign w:val="center"/>
                </w:tcPr>
                <w:p w14:paraId="06ECB0C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713" w:type="dxa"/>
                  <w:tcBorders>
                    <w:left w:val="single" w:color="auto" w:sz="4" w:space="0"/>
                    <w:tl2br w:val="nil"/>
                    <w:tr2bl w:val="nil"/>
                  </w:tcBorders>
                  <w:shd w:val="clear" w:color="auto" w:fill="auto"/>
                  <w:vAlign w:val="center"/>
                </w:tcPr>
                <w:p w14:paraId="4274EE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750" w:type="dxa"/>
                  <w:tcBorders>
                    <w:right w:val="single" w:color="auto" w:sz="4" w:space="0"/>
                    <w:tl2br w:val="nil"/>
                    <w:tr2bl w:val="nil"/>
                  </w:tcBorders>
                  <w:shd w:val="clear" w:color="auto" w:fill="auto"/>
                  <w:vAlign w:val="center"/>
                </w:tcPr>
                <w:p w14:paraId="534FEDC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71" w:type="dxa"/>
                  <w:tcBorders>
                    <w:left w:val="single" w:color="auto" w:sz="4" w:space="0"/>
                    <w:tl2br w:val="nil"/>
                    <w:tr2bl w:val="nil"/>
                  </w:tcBorders>
                  <w:shd w:val="clear" w:color="auto" w:fill="auto"/>
                  <w:vAlign w:val="center"/>
                </w:tcPr>
                <w:p w14:paraId="30C903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667" w:type="dxa"/>
                  <w:tcBorders>
                    <w:right w:val="single" w:color="auto" w:sz="4" w:space="0"/>
                    <w:tl2br w:val="nil"/>
                    <w:tr2bl w:val="nil"/>
                  </w:tcBorders>
                  <w:shd w:val="clear" w:color="auto" w:fill="auto"/>
                  <w:vAlign w:val="center"/>
                </w:tcPr>
                <w:p w14:paraId="708570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49" w:type="dxa"/>
                  <w:tcBorders>
                    <w:left w:val="single" w:color="auto" w:sz="4" w:space="0"/>
                    <w:tl2br w:val="nil"/>
                    <w:tr2bl w:val="nil"/>
                  </w:tcBorders>
                  <w:shd w:val="clear" w:color="auto" w:fill="auto"/>
                  <w:vAlign w:val="center"/>
                </w:tcPr>
                <w:p w14:paraId="7538CAA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1" w:type="dxa"/>
                  <w:vMerge w:val="continue"/>
                  <w:tcBorders>
                    <w:tl2br w:val="nil"/>
                    <w:tr2bl w:val="nil"/>
                  </w:tcBorders>
                  <w:vAlign w:val="center"/>
                </w:tcPr>
                <w:p w14:paraId="1CD6131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0A332D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86" w:type="dxa"/>
                  <w:vMerge w:val="restart"/>
                  <w:tcBorders>
                    <w:tl2br w:val="nil"/>
                    <w:tr2bl w:val="nil"/>
                  </w:tcBorders>
                  <w:vAlign w:val="center"/>
                </w:tcPr>
                <w:p w14:paraId="7E44F1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eastAsia="zh-CN"/>
                    </w:rPr>
                  </w:pPr>
                  <w:r>
                    <w:rPr>
                      <w:rFonts w:hint="eastAsia" w:cs="Times New Roman"/>
                      <w:color w:val="auto"/>
                      <w:spacing w:val="-1"/>
                      <w:sz w:val="18"/>
                      <w:szCs w:val="18"/>
                      <w:lang w:val="en-US" w:eastAsia="zh-CN"/>
                    </w:rPr>
                    <w:t>其他</w:t>
                  </w:r>
                </w:p>
              </w:tc>
              <w:tc>
                <w:tcPr>
                  <w:tcW w:w="531" w:type="dxa"/>
                  <w:vMerge w:val="restart"/>
                  <w:tcBorders>
                    <w:tl2br w:val="nil"/>
                    <w:tr2bl w:val="nil"/>
                  </w:tcBorders>
                  <w:vAlign w:val="center"/>
                </w:tcPr>
                <w:p w14:paraId="29CED94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天然气</w:t>
                  </w:r>
                </w:p>
              </w:tc>
              <w:tc>
                <w:tcPr>
                  <w:tcW w:w="700" w:type="dxa"/>
                  <w:vMerge w:val="restart"/>
                  <w:tcBorders>
                    <w:tl2br w:val="nil"/>
                    <w:tr2bl w:val="nil"/>
                  </w:tcBorders>
                  <w:vAlign w:val="center"/>
                </w:tcPr>
                <w:p w14:paraId="7B3D259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cs="Times New Roman"/>
                      <w:color w:val="auto"/>
                      <w:spacing w:val="-1"/>
                      <w:sz w:val="18"/>
                      <w:szCs w:val="18"/>
                      <w:lang w:val="en-US" w:eastAsia="zh-CN"/>
                    </w:rPr>
                    <w:t>10</w:t>
                  </w:r>
                  <w:r>
                    <w:rPr>
                      <w:rFonts w:hint="default" w:ascii="Times New Roman" w:hAnsi="Times New Roman" w:eastAsia="宋体" w:cs="Times New Roman"/>
                      <w:color w:val="auto"/>
                      <w:spacing w:val="-1"/>
                      <w:sz w:val="18"/>
                      <w:szCs w:val="18"/>
                    </w:rPr>
                    <w:t>万m</w:t>
                  </w:r>
                  <w:r>
                    <w:rPr>
                      <w:rFonts w:hint="default" w:ascii="Times New Roman" w:hAnsi="Times New Roman" w:eastAsia="宋体" w:cs="Times New Roman"/>
                      <w:color w:val="auto"/>
                      <w:spacing w:val="-1"/>
                      <w:sz w:val="18"/>
                      <w:szCs w:val="18"/>
                      <w:vertAlign w:val="superscript"/>
                    </w:rPr>
                    <w:t>3</w:t>
                  </w:r>
                  <w:r>
                    <w:rPr>
                      <w:rFonts w:hint="default" w:ascii="Times New Roman" w:hAnsi="Times New Roman" w:eastAsia="宋体" w:cs="Times New Roman"/>
                      <w:color w:val="auto"/>
                      <w:spacing w:val="-1"/>
                      <w:sz w:val="18"/>
                      <w:szCs w:val="18"/>
                    </w:rPr>
                    <w:t>/a</w:t>
                  </w:r>
                </w:p>
              </w:tc>
              <w:tc>
                <w:tcPr>
                  <w:tcW w:w="825" w:type="dxa"/>
                  <w:tcBorders>
                    <w:tl2br w:val="nil"/>
                    <w:tr2bl w:val="nil"/>
                  </w:tcBorders>
                  <w:vAlign w:val="center"/>
                </w:tcPr>
                <w:p w14:paraId="5BD715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b w:val="0"/>
                      <w:bCs w:val="0"/>
                      <w:color w:val="auto"/>
                      <w:spacing w:val="-1"/>
                      <w:sz w:val="18"/>
                      <w:szCs w:val="18"/>
                      <w:lang w:val="en-US" w:eastAsia="zh-CN"/>
                    </w:rPr>
                  </w:pPr>
                  <w:r>
                    <w:rPr>
                      <w:rFonts w:hint="eastAsia" w:cs="Times New Roman"/>
                      <w:b w:val="0"/>
                      <w:bCs w:val="0"/>
                      <w:color w:val="auto"/>
                      <w:spacing w:val="-1"/>
                      <w:sz w:val="18"/>
                      <w:szCs w:val="18"/>
                      <w:lang w:val="en-US" w:eastAsia="zh-CN"/>
                    </w:rPr>
                    <w:t>废气量</w:t>
                  </w:r>
                </w:p>
              </w:tc>
              <w:tc>
                <w:tcPr>
                  <w:tcW w:w="1283" w:type="dxa"/>
                  <w:tcBorders>
                    <w:tl2br w:val="nil"/>
                    <w:tr2bl w:val="nil"/>
                  </w:tcBorders>
                  <w:vAlign w:val="center"/>
                </w:tcPr>
                <w:p w14:paraId="49CA36E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val="0"/>
                      <w:bCs w:val="0"/>
                      <w:color w:val="auto"/>
                      <w:spacing w:val="-1"/>
                      <w:sz w:val="18"/>
                      <w:szCs w:val="18"/>
                    </w:rPr>
                  </w:pPr>
                  <w:r>
                    <w:rPr>
                      <w:rFonts w:hint="eastAsia" w:cs="Times New Roman"/>
                      <w:b w:val="0"/>
                      <w:bCs w:val="0"/>
                      <w:color w:val="auto"/>
                      <w:spacing w:val="-1"/>
                      <w:sz w:val="18"/>
                      <w:szCs w:val="18"/>
                      <w:lang w:val="en-US" w:eastAsia="zh-CN"/>
                    </w:rPr>
                    <w:t>13.6标立方米/立方米-原料</w:t>
                  </w:r>
                </w:p>
              </w:tc>
              <w:tc>
                <w:tcPr>
                  <w:tcW w:w="4150" w:type="dxa"/>
                  <w:gridSpan w:val="6"/>
                  <w:tcBorders>
                    <w:tl2br w:val="nil"/>
                    <w:tr2bl w:val="nil"/>
                  </w:tcBorders>
                  <w:shd w:val="clear" w:color="auto" w:fill="auto"/>
                  <w:vAlign w:val="center"/>
                </w:tcPr>
                <w:p w14:paraId="040D715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cs="Times New Roman"/>
                      <w:b w:val="0"/>
                      <w:bCs w:val="0"/>
                      <w:color w:val="auto"/>
                      <w:sz w:val="18"/>
                      <w:szCs w:val="18"/>
                      <w:lang w:val="en-US" w:eastAsia="zh-CN"/>
                    </w:rPr>
                  </w:pPr>
                  <w:r>
                    <w:rPr>
                      <w:rFonts w:hint="eastAsia" w:cs="Times New Roman"/>
                      <w:b w:val="0"/>
                      <w:bCs w:val="0"/>
                      <w:color w:val="auto"/>
                      <w:sz w:val="18"/>
                      <w:szCs w:val="18"/>
                      <w:lang w:val="en-US" w:eastAsia="zh-CN"/>
                    </w:rPr>
                    <w:t>566.7</w:t>
                  </w:r>
                  <w:r>
                    <w:rPr>
                      <w:rFonts w:hint="eastAsia" w:cs="Times New Roman"/>
                      <w:b w:val="0"/>
                      <w:bCs w:val="0"/>
                      <w:color w:val="auto"/>
                      <w:spacing w:val="-1"/>
                      <w:sz w:val="18"/>
                      <w:szCs w:val="18"/>
                      <w:lang w:val="en-US" w:eastAsia="zh-CN"/>
                    </w:rPr>
                    <w:t>m³/h</w:t>
                  </w:r>
                </w:p>
              </w:tc>
              <w:tc>
                <w:tcPr>
                  <w:tcW w:w="521" w:type="dxa"/>
                  <w:vMerge w:val="restart"/>
                  <w:tcBorders>
                    <w:tl2br w:val="nil"/>
                    <w:tr2bl w:val="nil"/>
                  </w:tcBorders>
                  <w:vAlign w:val="center"/>
                </w:tcPr>
                <w:p w14:paraId="6638082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3#厂房</w:t>
                  </w:r>
                </w:p>
              </w:tc>
            </w:tr>
            <w:tr w14:paraId="060FD6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1F2C5BA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eastAsia="宋体" w:cs="Times New Roman"/>
                      <w:color w:val="auto"/>
                      <w:spacing w:val="-1"/>
                      <w:sz w:val="18"/>
                      <w:szCs w:val="18"/>
                      <w:lang w:eastAsia="zh-CN"/>
                    </w:rPr>
                  </w:pPr>
                </w:p>
              </w:tc>
              <w:tc>
                <w:tcPr>
                  <w:tcW w:w="531" w:type="dxa"/>
                  <w:vMerge w:val="continue"/>
                  <w:tcBorders>
                    <w:tl2br w:val="nil"/>
                    <w:tr2bl w:val="nil"/>
                  </w:tcBorders>
                  <w:vAlign w:val="center"/>
                </w:tcPr>
                <w:p w14:paraId="291BB24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00" w:type="dxa"/>
                  <w:vMerge w:val="continue"/>
                  <w:tcBorders>
                    <w:tl2br w:val="nil"/>
                    <w:tr2bl w:val="nil"/>
                  </w:tcBorders>
                  <w:vAlign w:val="center"/>
                </w:tcPr>
                <w:p w14:paraId="4C698D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25" w:type="dxa"/>
                  <w:tcBorders>
                    <w:tl2br w:val="nil"/>
                    <w:tr2bl w:val="nil"/>
                  </w:tcBorders>
                  <w:vAlign w:val="center"/>
                </w:tcPr>
                <w:p w14:paraId="5FC1DD6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1283" w:type="dxa"/>
                  <w:tcBorders>
                    <w:tl2br w:val="nil"/>
                    <w:tr2bl w:val="nil"/>
                  </w:tcBorders>
                  <w:vAlign w:val="center"/>
                </w:tcPr>
                <w:p w14:paraId="02085B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0.000286</w:t>
                  </w:r>
                </w:p>
              </w:tc>
              <w:tc>
                <w:tcPr>
                  <w:tcW w:w="700" w:type="dxa"/>
                  <w:tcBorders>
                    <w:right w:val="single" w:color="auto" w:sz="4" w:space="0"/>
                    <w:tl2br w:val="nil"/>
                    <w:tr2bl w:val="nil"/>
                  </w:tcBorders>
                  <w:vAlign w:val="center"/>
                </w:tcPr>
                <w:p w14:paraId="1850D336">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0.029</w:t>
                  </w:r>
                </w:p>
              </w:tc>
              <w:tc>
                <w:tcPr>
                  <w:tcW w:w="713" w:type="dxa"/>
                  <w:tcBorders>
                    <w:left w:val="single" w:color="auto" w:sz="4" w:space="0"/>
                    <w:tl2br w:val="nil"/>
                    <w:tr2bl w:val="nil"/>
                  </w:tcBorders>
                  <w:vAlign w:val="center"/>
                </w:tcPr>
                <w:p w14:paraId="659F961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0.012 </w:t>
                  </w:r>
                </w:p>
              </w:tc>
              <w:tc>
                <w:tcPr>
                  <w:tcW w:w="750" w:type="dxa"/>
                  <w:tcBorders>
                    <w:right w:val="single" w:color="auto" w:sz="4" w:space="0"/>
                    <w:tl2br w:val="nil"/>
                    <w:tr2bl w:val="nil"/>
                  </w:tcBorders>
                  <w:vAlign w:val="center"/>
                </w:tcPr>
                <w:p w14:paraId="417199E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71" w:type="dxa"/>
                  <w:tcBorders>
                    <w:left w:val="single" w:color="auto" w:sz="4" w:space="0"/>
                    <w:tl2br w:val="nil"/>
                    <w:tr2bl w:val="nil"/>
                  </w:tcBorders>
                  <w:vAlign w:val="center"/>
                </w:tcPr>
                <w:p w14:paraId="19680CF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67" w:type="dxa"/>
                  <w:tcBorders>
                    <w:right w:val="single" w:color="auto" w:sz="4" w:space="0"/>
                    <w:tl2br w:val="nil"/>
                    <w:tr2bl w:val="nil"/>
                  </w:tcBorders>
                  <w:vAlign w:val="center"/>
                </w:tcPr>
                <w:p w14:paraId="06F32CE5">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0.029</w:t>
                  </w:r>
                </w:p>
              </w:tc>
              <w:tc>
                <w:tcPr>
                  <w:tcW w:w="649" w:type="dxa"/>
                  <w:tcBorders>
                    <w:left w:val="single" w:color="auto" w:sz="4" w:space="0"/>
                    <w:tl2br w:val="nil"/>
                    <w:tr2bl w:val="nil"/>
                  </w:tcBorders>
                  <w:vAlign w:val="center"/>
                </w:tcPr>
                <w:p w14:paraId="72087BB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0.012 </w:t>
                  </w:r>
                </w:p>
              </w:tc>
              <w:tc>
                <w:tcPr>
                  <w:tcW w:w="521" w:type="dxa"/>
                  <w:vMerge w:val="continue"/>
                  <w:tcBorders>
                    <w:tl2br w:val="nil"/>
                    <w:tr2bl w:val="nil"/>
                  </w:tcBorders>
                  <w:vAlign w:val="center"/>
                </w:tcPr>
                <w:p w14:paraId="0949A3D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4B2E08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069CE0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31" w:type="dxa"/>
                  <w:vMerge w:val="continue"/>
                  <w:tcBorders>
                    <w:tl2br w:val="nil"/>
                    <w:tr2bl w:val="nil"/>
                  </w:tcBorders>
                  <w:vAlign w:val="center"/>
                </w:tcPr>
                <w:p w14:paraId="21B9CB6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00" w:type="dxa"/>
                  <w:vMerge w:val="continue"/>
                  <w:tcBorders>
                    <w:tl2br w:val="nil"/>
                    <w:tr2bl w:val="nil"/>
                  </w:tcBorders>
                  <w:vAlign w:val="center"/>
                </w:tcPr>
                <w:p w14:paraId="50011DF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25" w:type="dxa"/>
                  <w:tcBorders>
                    <w:tl2br w:val="nil"/>
                    <w:tr2bl w:val="nil"/>
                  </w:tcBorders>
                  <w:vAlign w:val="center"/>
                </w:tcPr>
                <w:p w14:paraId="798E381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二氧化硫</w:t>
                  </w:r>
                </w:p>
              </w:tc>
              <w:tc>
                <w:tcPr>
                  <w:tcW w:w="1283" w:type="dxa"/>
                  <w:tcBorders>
                    <w:tl2br w:val="nil"/>
                    <w:tr2bl w:val="nil"/>
                  </w:tcBorders>
                  <w:vAlign w:val="center"/>
                </w:tcPr>
                <w:p w14:paraId="42B3B2D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0.000002S</w:t>
                  </w:r>
                  <w:r>
                    <w:rPr>
                      <w:rFonts w:hint="default" w:ascii="Times New Roman" w:hAnsi="Times New Roman" w:eastAsia="宋体" w:cs="Times New Roman"/>
                      <w:color w:val="auto"/>
                      <w:spacing w:val="-1"/>
                      <w:sz w:val="18"/>
                      <w:szCs w:val="18"/>
                      <w:vertAlign w:val="superscript"/>
                    </w:rPr>
                    <w:t>注</w:t>
                  </w:r>
                </w:p>
              </w:tc>
              <w:tc>
                <w:tcPr>
                  <w:tcW w:w="700" w:type="dxa"/>
                  <w:tcBorders>
                    <w:right w:val="single" w:color="auto" w:sz="4" w:space="0"/>
                    <w:tl2br w:val="nil"/>
                    <w:tr2bl w:val="nil"/>
                  </w:tcBorders>
                  <w:vAlign w:val="center"/>
                </w:tcPr>
                <w:p w14:paraId="0817CE0E">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0.020</w:t>
                  </w:r>
                </w:p>
              </w:tc>
              <w:tc>
                <w:tcPr>
                  <w:tcW w:w="713" w:type="dxa"/>
                  <w:tcBorders>
                    <w:left w:val="single" w:color="auto" w:sz="4" w:space="0"/>
                    <w:tl2br w:val="nil"/>
                    <w:tr2bl w:val="nil"/>
                  </w:tcBorders>
                  <w:vAlign w:val="center"/>
                </w:tcPr>
                <w:p w14:paraId="044A920D">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0.008 </w:t>
                  </w:r>
                </w:p>
              </w:tc>
              <w:tc>
                <w:tcPr>
                  <w:tcW w:w="750" w:type="dxa"/>
                  <w:tcBorders>
                    <w:right w:val="single" w:color="auto" w:sz="4" w:space="0"/>
                    <w:tl2br w:val="nil"/>
                    <w:tr2bl w:val="nil"/>
                  </w:tcBorders>
                  <w:vAlign w:val="center"/>
                </w:tcPr>
                <w:p w14:paraId="16E2AA8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71" w:type="dxa"/>
                  <w:tcBorders>
                    <w:left w:val="single" w:color="auto" w:sz="4" w:space="0"/>
                    <w:tl2br w:val="nil"/>
                    <w:tr2bl w:val="nil"/>
                  </w:tcBorders>
                  <w:vAlign w:val="center"/>
                </w:tcPr>
                <w:p w14:paraId="5A6537E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67" w:type="dxa"/>
                  <w:tcBorders>
                    <w:right w:val="single" w:color="auto" w:sz="4" w:space="0"/>
                    <w:tl2br w:val="nil"/>
                    <w:tr2bl w:val="nil"/>
                  </w:tcBorders>
                  <w:vAlign w:val="center"/>
                </w:tcPr>
                <w:p w14:paraId="51BA5390">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0.020</w:t>
                  </w:r>
                </w:p>
              </w:tc>
              <w:tc>
                <w:tcPr>
                  <w:tcW w:w="649" w:type="dxa"/>
                  <w:tcBorders>
                    <w:left w:val="single" w:color="auto" w:sz="4" w:space="0"/>
                    <w:tl2br w:val="nil"/>
                    <w:tr2bl w:val="nil"/>
                  </w:tcBorders>
                  <w:vAlign w:val="center"/>
                </w:tcPr>
                <w:p w14:paraId="55C5DC76">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0.008 </w:t>
                  </w:r>
                </w:p>
              </w:tc>
              <w:tc>
                <w:tcPr>
                  <w:tcW w:w="521" w:type="dxa"/>
                  <w:vMerge w:val="continue"/>
                  <w:tcBorders>
                    <w:tl2br w:val="nil"/>
                    <w:tr2bl w:val="nil"/>
                  </w:tcBorders>
                  <w:vAlign w:val="center"/>
                </w:tcPr>
                <w:p w14:paraId="7D480C3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74CEEE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77E7BA3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531" w:type="dxa"/>
                  <w:vMerge w:val="continue"/>
                  <w:tcBorders>
                    <w:tl2br w:val="nil"/>
                    <w:tr2bl w:val="nil"/>
                  </w:tcBorders>
                  <w:vAlign w:val="center"/>
                </w:tcPr>
                <w:p w14:paraId="3ED079E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700" w:type="dxa"/>
                  <w:vMerge w:val="continue"/>
                  <w:tcBorders>
                    <w:tl2br w:val="nil"/>
                    <w:tr2bl w:val="nil"/>
                  </w:tcBorders>
                  <w:vAlign w:val="center"/>
                </w:tcPr>
                <w:p w14:paraId="1B6CD6E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c>
                <w:tcPr>
                  <w:tcW w:w="825" w:type="dxa"/>
                  <w:tcBorders>
                    <w:tl2br w:val="nil"/>
                    <w:tr2bl w:val="nil"/>
                  </w:tcBorders>
                  <w:vAlign w:val="center"/>
                </w:tcPr>
                <w:p w14:paraId="64CCBFF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氮氧化物</w:t>
                  </w:r>
                </w:p>
              </w:tc>
              <w:tc>
                <w:tcPr>
                  <w:tcW w:w="1283" w:type="dxa"/>
                  <w:tcBorders>
                    <w:tl2br w:val="nil"/>
                    <w:tr2bl w:val="nil"/>
                  </w:tcBorders>
                  <w:vAlign w:val="center"/>
                </w:tcPr>
                <w:p w14:paraId="4345668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0.00187</w:t>
                  </w:r>
                </w:p>
              </w:tc>
              <w:tc>
                <w:tcPr>
                  <w:tcW w:w="700" w:type="dxa"/>
                  <w:tcBorders>
                    <w:right w:val="single" w:color="auto" w:sz="4" w:space="0"/>
                    <w:tl2br w:val="nil"/>
                    <w:tr2bl w:val="nil"/>
                  </w:tcBorders>
                  <w:vAlign w:val="center"/>
                </w:tcPr>
                <w:p w14:paraId="681DAC2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0.187</w:t>
                  </w:r>
                </w:p>
              </w:tc>
              <w:tc>
                <w:tcPr>
                  <w:tcW w:w="713" w:type="dxa"/>
                  <w:tcBorders>
                    <w:left w:val="single" w:color="auto" w:sz="4" w:space="0"/>
                    <w:tl2br w:val="nil"/>
                    <w:tr2bl w:val="nil"/>
                  </w:tcBorders>
                  <w:vAlign w:val="center"/>
                </w:tcPr>
                <w:p w14:paraId="4B8306B3">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0.078 </w:t>
                  </w:r>
                </w:p>
              </w:tc>
              <w:tc>
                <w:tcPr>
                  <w:tcW w:w="750" w:type="dxa"/>
                  <w:tcBorders>
                    <w:right w:val="single" w:color="auto" w:sz="4" w:space="0"/>
                    <w:tl2br w:val="nil"/>
                    <w:tr2bl w:val="nil"/>
                  </w:tcBorders>
                  <w:vAlign w:val="center"/>
                </w:tcPr>
                <w:p w14:paraId="2ABC827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71" w:type="dxa"/>
                  <w:tcBorders>
                    <w:left w:val="single" w:color="auto" w:sz="4" w:space="0"/>
                    <w:tl2br w:val="nil"/>
                    <w:tr2bl w:val="nil"/>
                  </w:tcBorders>
                  <w:vAlign w:val="center"/>
                </w:tcPr>
                <w:p w14:paraId="5E0C847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667" w:type="dxa"/>
                  <w:tcBorders>
                    <w:right w:val="single" w:color="auto" w:sz="4" w:space="0"/>
                    <w:tl2br w:val="nil"/>
                    <w:tr2bl w:val="nil"/>
                  </w:tcBorders>
                  <w:vAlign w:val="center"/>
                </w:tcPr>
                <w:p w14:paraId="37380E0E">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0.187</w:t>
                  </w:r>
                </w:p>
              </w:tc>
              <w:tc>
                <w:tcPr>
                  <w:tcW w:w="649" w:type="dxa"/>
                  <w:tcBorders>
                    <w:left w:val="single" w:color="auto" w:sz="4" w:space="0"/>
                    <w:tl2br w:val="nil"/>
                    <w:tr2bl w:val="nil"/>
                  </w:tcBorders>
                  <w:vAlign w:val="center"/>
                </w:tcPr>
                <w:p w14:paraId="0249FC14">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0.078 </w:t>
                  </w:r>
                </w:p>
              </w:tc>
              <w:tc>
                <w:tcPr>
                  <w:tcW w:w="521" w:type="dxa"/>
                  <w:vMerge w:val="continue"/>
                  <w:tcBorders>
                    <w:tl2br w:val="nil"/>
                    <w:tr2bl w:val="nil"/>
                  </w:tcBorders>
                  <w:vAlign w:val="center"/>
                </w:tcPr>
                <w:p w14:paraId="6CD6AC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r w14:paraId="67E62B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6" w:type="dxa"/>
                  <w:gridSpan w:val="12"/>
                  <w:tcBorders>
                    <w:tl2br w:val="nil"/>
                    <w:tr2bl w:val="nil"/>
                  </w:tcBorders>
                  <w:vAlign w:val="center"/>
                </w:tcPr>
                <w:p w14:paraId="1EFFDA1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both"/>
                    <w:textAlignment w:val="auto"/>
                    <w:rPr>
                      <w:rFonts w:hint="default" w:ascii="Times New Roman" w:hAnsi="Times New Roman" w:eastAsia="宋体" w:cs="Times New Roman"/>
                      <w:color w:val="auto"/>
                      <w:spacing w:val="-1"/>
                      <w:sz w:val="18"/>
                      <w:szCs w:val="18"/>
                    </w:rPr>
                  </w:pPr>
                  <w:r>
                    <w:rPr>
                      <w:rFonts w:hint="eastAsia" w:ascii="Times New Roman" w:hAnsi="Times New Roman" w:eastAsia="宋体" w:cs="Times New Roman"/>
                      <w:color w:val="auto"/>
                      <w:spacing w:val="-1"/>
                      <w:sz w:val="18"/>
                      <w:szCs w:val="18"/>
                      <w:lang w:val="en-US" w:eastAsia="zh-CN"/>
                    </w:rPr>
                    <w:t>注：S为天然气收到基硫分，本项目</w:t>
                  </w:r>
                  <w:r>
                    <w:rPr>
                      <w:rFonts w:hint="eastAsia" w:cs="Times New Roman"/>
                      <w:color w:val="auto"/>
                      <w:spacing w:val="-1"/>
                      <w:sz w:val="18"/>
                      <w:szCs w:val="18"/>
                      <w:lang w:val="en-US" w:eastAsia="zh-CN"/>
                    </w:rPr>
                    <w:t>红冲加热炉</w:t>
                  </w:r>
                  <w:r>
                    <w:rPr>
                      <w:rFonts w:hint="eastAsia" w:ascii="Times New Roman" w:hAnsi="Times New Roman" w:eastAsia="宋体" w:cs="Times New Roman"/>
                      <w:color w:val="auto"/>
                      <w:spacing w:val="-1"/>
                      <w:sz w:val="18"/>
                      <w:szCs w:val="18"/>
                      <w:lang w:val="en-US" w:eastAsia="zh-CN"/>
                    </w:rPr>
                    <w:t>以天然气为燃料，根据《天然气》（GB17820-2018），S取值100mg/m³。</w:t>
                  </w:r>
                </w:p>
              </w:tc>
            </w:tr>
          </w:tbl>
          <w:p w14:paraId="492FF966">
            <w:pPr>
              <w:pStyle w:val="10"/>
              <w:keepNext w:val="0"/>
              <w:keepLines w:val="0"/>
              <w:pageBreakBefore w:val="0"/>
              <w:widowControl w:val="0"/>
              <w:numPr>
                <w:ilvl w:val="0"/>
                <w:numId w:val="11"/>
              </w:numPr>
              <w:kinsoku/>
              <w:wordWrap/>
              <w:overflowPunct/>
              <w:topLinePunct w:val="0"/>
              <w:autoSpaceDE/>
              <w:autoSpaceDN/>
              <w:bidi w:val="0"/>
              <w:adjustRightInd/>
              <w:snapToGrid/>
              <w:spacing w:before="157" w:beforeLines="50" w:line="360" w:lineRule="auto"/>
              <w:ind w:left="0" w:leftChars="0" w:firstLine="482" w:firstLineChars="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冲压</w:t>
            </w:r>
            <w:r>
              <w:rPr>
                <w:rFonts w:hint="eastAsia" w:ascii="Times New Roman" w:hAnsi="Times New Roman" w:eastAsia="宋体" w:cs="Times New Roman"/>
                <w:color w:val="auto"/>
                <w:sz w:val="24"/>
                <w:szCs w:val="24"/>
                <w:highlight w:val="none"/>
                <w:lang w:eastAsia="zh-CN"/>
              </w:rPr>
              <w:t>废气</w:t>
            </w:r>
          </w:p>
          <w:p w14:paraId="1F7EE40C">
            <w:pPr>
              <w:pStyle w:val="10"/>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参考《排放源统计调查产排污核算方法和系数手册》中“3251铜压延加工行业系数手册”，挤压工艺颗粒物产污系数为4.15kg/t-产品，则</w:t>
            </w:r>
            <w:r>
              <w:rPr>
                <w:rFonts w:hint="eastAsia"/>
                <w:color w:val="auto"/>
                <w:sz w:val="24"/>
                <w:szCs w:val="24"/>
                <w:highlight w:val="none"/>
                <w:lang w:val="en-US" w:eastAsia="zh-CN"/>
              </w:rPr>
              <w:t>冲压工序</w:t>
            </w:r>
            <w:r>
              <w:rPr>
                <w:rFonts w:hint="eastAsia" w:ascii="Times New Roman" w:eastAsia="宋体"/>
                <w:color w:val="auto"/>
                <w:sz w:val="24"/>
                <w:szCs w:val="24"/>
                <w:highlight w:val="none"/>
                <w:lang w:eastAsia="zh-CN"/>
              </w:rPr>
              <w:t>颗粒物的产生量为</w:t>
            </w:r>
            <w:r>
              <w:rPr>
                <w:rFonts w:hint="eastAsia"/>
                <w:color w:val="auto"/>
                <w:sz w:val="24"/>
                <w:szCs w:val="24"/>
                <w:highlight w:val="none"/>
                <w:lang w:val="en-US" w:eastAsia="zh-CN"/>
              </w:rPr>
              <w:t>6.225</w:t>
            </w:r>
            <w:r>
              <w:rPr>
                <w:rFonts w:hint="eastAsia" w:ascii="Times New Roman" w:eastAsia="宋体"/>
                <w:color w:val="auto"/>
                <w:sz w:val="24"/>
                <w:szCs w:val="24"/>
                <w:highlight w:val="none"/>
                <w:lang w:eastAsia="zh-CN"/>
              </w:rPr>
              <w:t>t/a，红冲废气经集气罩收集，</w:t>
            </w:r>
            <w:r>
              <w:rPr>
                <w:rFonts w:hint="eastAsia"/>
                <w:color w:val="auto"/>
                <w:sz w:val="24"/>
                <w:szCs w:val="24"/>
                <w:highlight w:val="none"/>
                <w:lang w:val="en-US" w:eastAsia="zh-CN"/>
              </w:rPr>
              <w:t>与抛丸打磨废气一同经袋式除尘器处理后15m排气筒排放</w:t>
            </w:r>
            <w:r>
              <w:rPr>
                <w:rFonts w:hint="eastAsia" w:ascii="Times New Roman" w:eastAsia="宋体"/>
                <w:color w:val="auto"/>
                <w:sz w:val="24"/>
                <w:szCs w:val="24"/>
                <w:highlight w:val="none"/>
                <w:lang w:eastAsia="zh-CN"/>
              </w:rPr>
              <w:t>，收集效率可达</w:t>
            </w:r>
            <w:r>
              <w:rPr>
                <w:rFonts w:hint="eastAsia"/>
                <w:color w:val="auto"/>
                <w:sz w:val="24"/>
                <w:szCs w:val="24"/>
                <w:highlight w:val="none"/>
                <w:lang w:val="en-US" w:eastAsia="zh-CN"/>
              </w:rPr>
              <w:t>8</w:t>
            </w:r>
            <w:r>
              <w:rPr>
                <w:rFonts w:hint="eastAsia" w:ascii="Times New Roman" w:eastAsia="宋体"/>
                <w:color w:val="auto"/>
                <w:sz w:val="24"/>
                <w:szCs w:val="24"/>
                <w:highlight w:val="none"/>
                <w:lang w:eastAsia="zh-CN"/>
              </w:rPr>
              <w:t>0%</w:t>
            </w:r>
            <w:r>
              <w:rPr>
                <w:rFonts w:hint="eastAsia"/>
                <w:color w:val="auto"/>
                <w:sz w:val="24"/>
                <w:szCs w:val="24"/>
                <w:highlight w:val="none"/>
                <w:lang w:eastAsia="zh-CN"/>
              </w:rPr>
              <w:t>。</w:t>
            </w:r>
            <w:r>
              <w:rPr>
                <w:rFonts w:hint="eastAsia" w:ascii="Times New Roman" w:eastAsia="宋体"/>
                <w:color w:val="auto"/>
                <w:sz w:val="24"/>
                <w:szCs w:val="24"/>
                <w:highlight w:val="none"/>
                <w:lang w:eastAsia="zh-CN"/>
              </w:rPr>
              <w:t>项目红冲废气排放源强详见表4-</w:t>
            </w:r>
            <w:r>
              <w:rPr>
                <w:rFonts w:hint="eastAsia"/>
                <w:color w:val="auto"/>
                <w:sz w:val="24"/>
                <w:szCs w:val="24"/>
                <w:highlight w:val="none"/>
                <w:lang w:val="en-US" w:eastAsia="zh-CN"/>
              </w:rPr>
              <w:t>18</w:t>
            </w:r>
            <w:r>
              <w:rPr>
                <w:rFonts w:hint="eastAsia" w:ascii="Times New Roman" w:eastAsia="宋体"/>
                <w:color w:val="auto"/>
                <w:sz w:val="24"/>
                <w:szCs w:val="24"/>
                <w:highlight w:val="none"/>
                <w:lang w:eastAsia="zh-CN"/>
              </w:rPr>
              <w:t>。</w:t>
            </w:r>
          </w:p>
          <w:p w14:paraId="1F4BBF57">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表4-1</w:t>
            </w:r>
            <w:r>
              <w:rPr>
                <w:rFonts w:hint="eastAsia"/>
                <w:b/>
                <w:bCs/>
                <w:color w:val="auto"/>
                <w:sz w:val="24"/>
                <w:szCs w:val="24"/>
                <w:highlight w:val="none"/>
                <w:lang w:val="en-US" w:eastAsia="zh-CN"/>
              </w:rPr>
              <w:t>8</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冲压</w:t>
            </w:r>
            <w:r>
              <w:rPr>
                <w:rFonts w:hint="eastAsia" w:ascii="Times New Roman" w:eastAsia="宋体"/>
                <w:b/>
                <w:bCs/>
                <w:color w:val="auto"/>
                <w:sz w:val="24"/>
                <w:szCs w:val="24"/>
                <w:highlight w:val="none"/>
                <w:lang w:eastAsia="zh-CN"/>
              </w:rPr>
              <w:t>废气产生情况一览表</w:t>
            </w:r>
          </w:p>
          <w:tbl>
            <w:tblPr>
              <w:tblStyle w:val="29"/>
              <w:tblW w:w="83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19"/>
              <w:gridCol w:w="632"/>
              <w:gridCol w:w="890"/>
              <w:gridCol w:w="675"/>
              <w:gridCol w:w="728"/>
              <w:gridCol w:w="718"/>
              <w:gridCol w:w="557"/>
              <w:gridCol w:w="600"/>
              <w:gridCol w:w="525"/>
              <w:gridCol w:w="493"/>
              <w:gridCol w:w="536"/>
              <w:gridCol w:w="589"/>
              <w:gridCol w:w="514"/>
            </w:tblGrid>
            <w:tr w14:paraId="44649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vMerge w:val="restart"/>
                  <w:tcBorders>
                    <w:tl2br w:val="nil"/>
                    <w:tr2bl w:val="nil"/>
                  </w:tcBorders>
                  <w:vAlign w:val="center"/>
                </w:tcPr>
                <w:p w14:paraId="044E51C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ascii="Times New Roman" w:hAnsi="Times New Roman"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632" w:type="dxa"/>
                  <w:vMerge w:val="restart"/>
                  <w:tcBorders>
                    <w:tl2br w:val="nil"/>
                    <w:tr2bl w:val="nil"/>
                  </w:tcBorders>
                  <w:vAlign w:val="center"/>
                </w:tcPr>
                <w:p w14:paraId="1647179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890" w:type="dxa"/>
                  <w:vMerge w:val="restart"/>
                  <w:tcBorders>
                    <w:tl2br w:val="nil"/>
                    <w:tr2bl w:val="nil"/>
                  </w:tcBorders>
                  <w:vAlign w:val="center"/>
                </w:tcPr>
                <w:p w14:paraId="52C49E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675" w:type="dxa"/>
                  <w:vMerge w:val="restart"/>
                  <w:tcBorders>
                    <w:tl2br w:val="nil"/>
                    <w:tr2bl w:val="nil"/>
                  </w:tcBorders>
                  <w:vAlign w:val="center"/>
                </w:tcPr>
                <w:p w14:paraId="19B7425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w:t>
                  </w:r>
                </w:p>
                <w:p w14:paraId="1C5141F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(h/a)</w:t>
                  </w:r>
                </w:p>
              </w:tc>
              <w:tc>
                <w:tcPr>
                  <w:tcW w:w="728" w:type="dxa"/>
                  <w:vMerge w:val="restart"/>
                  <w:tcBorders>
                    <w:tl2br w:val="nil"/>
                    <w:tr2bl w:val="nil"/>
                  </w:tcBorders>
                  <w:vAlign w:val="center"/>
                </w:tcPr>
                <w:p w14:paraId="1AB757F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718" w:type="dxa"/>
                  <w:vMerge w:val="restart"/>
                  <w:tcBorders>
                    <w:tl2br w:val="nil"/>
                    <w:tr2bl w:val="nil"/>
                  </w:tcBorders>
                  <w:vAlign w:val="center"/>
                </w:tcPr>
                <w:p w14:paraId="548B23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w:t>
                  </w:r>
                </w:p>
                <w:p w14:paraId="4E84EA6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(kg/t·产品)</w:t>
                  </w:r>
                </w:p>
              </w:tc>
              <w:tc>
                <w:tcPr>
                  <w:tcW w:w="3300" w:type="dxa"/>
                  <w:gridSpan w:val="6"/>
                  <w:tcBorders>
                    <w:tl2br w:val="nil"/>
                    <w:tr2bl w:val="nil"/>
                  </w:tcBorders>
                  <w:vAlign w:val="center"/>
                </w:tcPr>
                <w:p w14:paraId="3E00DC1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514" w:type="dxa"/>
                  <w:vMerge w:val="restart"/>
                  <w:tcBorders>
                    <w:tl2br w:val="nil"/>
                    <w:tr2bl w:val="nil"/>
                  </w:tcBorders>
                  <w:vAlign w:val="center"/>
                </w:tcPr>
                <w:p w14:paraId="5EACA75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504E25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vMerge w:val="continue"/>
                  <w:tcBorders>
                    <w:tl2br w:val="nil"/>
                    <w:tr2bl w:val="nil"/>
                  </w:tcBorders>
                  <w:vAlign w:val="center"/>
                </w:tcPr>
                <w:p w14:paraId="0A192A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2" w:type="dxa"/>
                  <w:vMerge w:val="continue"/>
                  <w:tcBorders>
                    <w:tl2br w:val="nil"/>
                    <w:tr2bl w:val="nil"/>
                  </w:tcBorders>
                  <w:vAlign w:val="center"/>
                </w:tcPr>
                <w:p w14:paraId="7D45EC5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2EAAFDD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2B1247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43D888D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1FE284D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57" w:type="dxa"/>
                  <w:gridSpan w:val="2"/>
                  <w:tcBorders>
                    <w:tl2br w:val="nil"/>
                    <w:tr2bl w:val="nil"/>
                  </w:tcBorders>
                  <w:vAlign w:val="center"/>
                </w:tcPr>
                <w:p w14:paraId="5C8320F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018" w:type="dxa"/>
                  <w:gridSpan w:val="2"/>
                  <w:tcBorders>
                    <w:tl2br w:val="nil"/>
                    <w:tr2bl w:val="nil"/>
                  </w:tcBorders>
                  <w:vAlign w:val="center"/>
                </w:tcPr>
                <w:p w14:paraId="08375AE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125" w:type="dxa"/>
                  <w:gridSpan w:val="2"/>
                  <w:tcBorders>
                    <w:tl2br w:val="nil"/>
                    <w:tr2bl w:val="nil"/>
                  </w:tcBorders>
                  <w:vAlign w:val="center"/>
                </w:tcPr>
                <w:p w14:paraId="37FB4DE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514" w:type="dxa"/>
                  <w:vMerge w:val="continue"/>
                  <w:tcBorders>
                    <w:tl2br w:val="nil"/>
                    <w:tr2bl w:val="nil"/>
                  </w:tcBorders>
                  <w:vAlign w:val="center"/>
                </w:tcPr>
                <w:p w14:paraId="3E6CD94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796743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vMerge w:val="continue"/>
                  <w:tcBorders>
                    <w:tl2br w:val="nil"/>
                    <w:tr2bl w:val="nil"/>
                  </w:tcBorders>
                  <w:vAlign w:val="center"/>
                </w:tcPr>
                <w:p w14:paraId="6272BD8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2" w:type="dxa"/>
                  <w:vMerge w:val="continue"/>
                  <w:tcBorders>
                    <w:tl2br w:val="nil"/>
                    <w:tr2bl w:val="nil"/>
                  </w:tcBorders>
                  <w:vAlign w:val="center"/>
                </w:tcPr>
                <w:p w14:paraId="451E302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7DF83DA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1BD1457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5D287D9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617BF38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7" w:type="dxa"/>
                  <w:tcBorders>
                    <w:right w:val="single" w:color="auto" w:sz="4" w:space="0"/>
                    <w:tl2br w:val="nil"/>
                    <w:tr2bl w:val="nil"/>
                  </w:tcBorders>
                  <w:shd w:val="clear" w:color="auto" w:fill="auto"/>
                  <w:vAlign w:val="center"/>
                </w:tcPr>
                <w:p w14:paraId="14F7081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00" w:type="dxa"/>
                  <w:tcBorders>
                    <w:left w:val="single" w:color="auto" w:sz="4" w:space="0"/>
                    <w:tl2br w:val="nil"/>
                    <w:tr2bl w:val="nil"/>
                  </w:tcBorders>
                  <w:shd w:val="clear" w:color="auto" w:fill="auto"/>
                  <w:vAlign w:val="center"/>
                </w:tcPr>
                <w:p w14:paraId="3955C0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5" w:type="dxa"/>
                  <w:tcBorders>
                    <w:right w:val="single" w:color="auto" w:sz="4" w:space="0"/>
                    <w:tl2br w:val="nil"/>
                    <w:tr2bl w:val="nil"/>
                  </w:tcBorders>
                  <w:shd w:val="clear" w:color="auto" w:fill="auto"/>
                  <w:vAlign w:val="center"/>
                </w:tcPr>
                <w:p w14:paraId="7D6A29C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493" w:type="dxa"/>
                  <w:tcBorders>
                    <w:left w:val="single" w:color="auto" w:sz="4" w:space="0"/>
                    <w:tl2br w:val="nil"/>
                    <w:tr2bl w:val="nil"/>
                  </w:tcBorders>
                  <w:shd w:val="clear" w:color="auto" w:fill="auto"/>
                  <w:vAlign w:val="center"/>
                </w:tcPr>
                <w:p w14:paraId="51BF846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36" w:type="dxa"/>
                  <w:tcBorders>
                    <w:right w:val="single" w:color="auto" w:sz="4" w:space="0"/>
                    <w:tl2br w:val="nil"/>
                    <w:tr2bl w:val="nil"/>
                  </w:tcBorders>
                  <w:shd w:val="clear" w:color="auto" w:fill="auto"/>
                  <w:vAlign w:val="center"/>
                </w:tcPr>
                <w:p w14:paraId="303B9B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589" w:type="dxa"/>
                  <w:tcBorders>
                    <w:left w:val="single" w:color="auto" w:sz="4" w:space="0"/>
                    <w:tl2br w:val="nil"/>
                    <w:tr2bl w:val="nil"/>
                  </w:tcBorders>
                  <w:shd w:val="clear" w:color="auto" w:fill="auto"/>
                  <w:vAlign w:val="center"/>
                </w:tcPr>
                <w:p w14:paraId="09893ED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14" w:type="dxa"/>
                  <w:vMerge w:val="continue"/>
                  <w:tcBorders>
                    <w:tl2br w:val="nil"/>
                    <w:tr2bl w:val="nil"/>
                  </w:tcBorders>
                  <w:vAlign w:val="center"/>
                </w:tcPr>
                <w:p w14:paraId="4E2344F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09E0E1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tcBorders>
                    <w:tl2br w:val="nil"/>
                    <w:tr2bl w:val="nil"/>
                  </w:tcBorders>
                  <w:vAlign w:val="center"/>
                </w:tcPr>
                <w:p w14:paraId="031B27F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冲压</w:t>
                  </w:r>
                </w:p>
              </w:tc>
              <w:tc>
                <w:tcPr>
                  <w:tcW w:w="632" w:type="dxa"/>
                  <w:tcBorders>
                    <w:tl2br w:val="nil"/>
                    <w:tr2bl w:val="nil"/>
                  </w:tcBorders>
                  <w:vAlign w:val="center"/>
                </w:tcPr>
                <w:p w14:paraId="27228D8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红冲铜件</w:t>
                  </w:r>
                </w:p>
              </w:tc>
              <w:tc>
                <w:tcPr>
                  <w:tcW w:w="890" w:type="dxa"/>
                  <w:tcBorders>
                    <w:tl2br w:val="nil"/>
                    <w:tr2bl w:val="nil"/>
                  </w:tcBorders>
                  <w:vAlign w:val="center"/>
                </w:tcPr>
                <w:p w14:paraId="09FCB96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ascii="Times New Roman" w:hAnsi="Times New Roman" w:cs="Times New Roman"/>
                      <w:color w:val="auto"/>
                      <w:spacing w:val="-1"/>
                      <w:sz w:val="18"/>
                      <w:szCs w:val="18"/>
                      <w:lang w:val="en-US" w:eastAsia="zh-CN"/>
                    </w:rPr>
                    <w:t>1500</w:t>
                  </w:r>
                </w:p>
              </w:tc>
              <w:tc>
                <w:tcPr>
                  <w:tcW w:w="675" w:type="dxa"/>
                  <w:tcBorders>
                    <w:tl2br w:val="nil"/>
                    <w:tr2bl w:val="nil"/>
                  </w:tcBorders>
                  <w:vAlign w:val="center"/>
                </w:tcPr>
                <w:p w14:paraId="25F0BF2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24</w:t>
                  </w:r>
                  <w:r>
                    <w:rPr>
                      <w:rFonts w:hint="default" w:ascii="Times New Roman" w:hAnsi="Times New Roman" w:eastAsia="宋体" w:cs="Times New Roman"/>
                      <w:color w:val="auto"/>
                      <w:spacing w:val="-1"/>
                      <w:sz w:val="18"/>
                      <w:szCs w:val="18"/>
                    </w:rPr>
                    <w:t>00</w:t>
                  </w:r>
                </w:p>
              </w:tc>
              <w:tc>
                <w:tcPr>
                  <w:tcW w:w="728" w:type="dxa"/>
                  <w:tcBorders>
                    <w:tl2br w:val="nil"/>
                    <w:tr2bl w:val="nil"/>
                  </w:tcBorders>
                  <w:vAlign w:val="center"/>
                </w:tcPr>
                <w:p w14:paraId="53A1D31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vAlign w:val="center"/>
                </w:tcPr>
                <w:p w14:paraId="20E6805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4.15</w:t>
                  </w:r>
                </w:p>
              </w:tc>
              <w:tc>
                <w:tcPr>
                  <w:tcW w:w="557" w:type="dxa"/>
                  <w:tcBorders>
                    <w:right w:val="single" w:color="auto" w:sz="4" w:space="0"/>
                    <w:tl2br w:val="nil"/>
                    <w:tr2bl w:val="nil"/>
                  </w:tcBorders>
                  <w:vAlign w:val="center"/>
                </w:tcPr>
                <w:p w14:paraId="1480D8DF">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lang w:val="en-US"/>
                    </w:rPr>
                  </w:pPr>
                  <w:r>
                    <w:rPr>
                      <w:rFonts w:hint="eastAsia" w:cs="Times New Roman"/>
                      <w:i w:val="0"/>
                      <w:iCs w:val="0"/>
                      <w:color w:val="auto"/>
                      <w:kern w:val="0"/>
                      <w:sz w:val="18"/>
                      <w:szCs w:val="18"/>
                      <w:u w:val="none"/>
                      <w:lang w:val="en-US" w:eastAsia="zh-CN" w:bidi="ar"/>
                    </w:rPr>
                    <w:t>4.980</w:t>
                  </w:r>
                </w:p>
              </w:tc>
              <w:tc>
                <w:tcPr>
                  <w:tcW w:w="600" w:type="dxa"/>
                  <w:tcBorders>
                    <w:left w:val="single" w:color="auto" w:sz="4" w:space="0"/>
                    <w:tl2br w:val="nil"/>
                    <w:tr2bl w:val="nil"/>
                  </w:tcBorders>
                  <w:vAlign w:val="center"/>
                </w:tcPr>
                <w:p w14:paraId="2C348B57">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lang w:val="en-US"/>
                    </w:rPr>
                  </w:pPr>
                  <w:r>
                    <w:rPr>
                      <w:rFonts w:hint="eastAsia" w:cs="Times New Roman"/>
                      <w:i w:val="0"/>
                      <w:iCs w:val="0"/>
                      <w:color w:val="auto"/>
                      <w:kern w:val="0"/>
                      <w:sz w:val="18"/>
                      <w:szCs w:val="18"/>
                      <w:u w:val="none"/>
                      <w:lang w:val="en-US" w:eastAsia="zh-CN" w:bidi="ar"/>
                    </w:rPr>
                    <w:t>2.075</w:t>
                  </w:r>
                </w:p>
              </w:tc>
              <w:tc>
                <w:tcPr>
                  <w:tcW w:w="525" w:type="dxa"/>
                  <w:tcBorders>
                    <w:right w:val="single" w:color="auto" w:sz="4" w:space="0"/>
                    <w:tl2br w:val="nil"/>
                    <w:tr2bl w:val="nil"/>
                  </w:tcBorders>
                  <w:vAlign w:val="center"/>
                </w:tcPr>
                <w:p w14:paraId="2A732543">
                  <w:pPr>
                    <w:jc w:val="center"/>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1.245</w:t>
                  </w:r>
                </w:p>
              </w:tc>
              <w:tc>
                <w:tcPr>
                  <w:tcW w:w="493" w:type="dxa"/>
                  <w:tcBorders>
                    <w:left w:val="single" w:color="auto" w:sz="4" w:space="0"/>
                    <w:tl2br w:val="nil"/>
                    <w:tr2bl w:val="nil"/>
                  </w:tcBorders>
                  <w:vAlign w:val="center"/>
                </w:tcPr>
                <w:p w14:paraId="0715242A">
                  <w:pPr>
                    <w:jc w:val="center"/>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0.519</w:t>
                  </w:r>
                </w:p>
              </w:tc>
              <w:tc>
                <w:tcPr>
                  <w:tcW w:w="536" w:type="dxa"/>
                  <w:tcBorders>
                    <w:right w:val="single" w:color="auto" w:sz="4" w:space="0"/>
                    <w:tl2br w:val="nil"/>
                    <w:tr2bl w:val="nil"/>
                  </w:tcBorders>
                  <w:vAlign w:val="center"/>
                </w:tcPr>
                <w:p w14:paraId="0A9C97D6">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lang w:val="en-US"/>
                    </w:rPr>
                  </w:pPr>
                  <w:r>
                    <w:rPr>
                      <w:rFonts w:hint="eastAsia" w:cs="Times New Roman"/>
                      <w:i w:val="0"/>
                      <w:iCs w:val="0"/>
                      <w:color w:val="auto"/>
                      <w:kern w:val="0"/>
                      <w:sz w:val="18"/>
                      <w:szCs w:val="18"/>
                      <w:u w:val="none"/>
                      <w:lang w:val="en-US" w:eastAsia="zh-CN" w:bidi="ar"/>
                    </w:rPr>
                    <w:t>6.225</w:t>
                  </w:r>
                </w:p>
              </w:tc>
              <w:tc>
                <w:tcPr>
                  <w:tcW w:w="589" w:type="dxa"/>
                  <w:tcBorders>
                    <w:left w:val="single" w:color="auto" w:sz="4" w:space="0"/>
                    <w:tl2br w:val="nil"/>
                    <w:tr2bl w:val="nil"/>
                  </w:tcBorders>
                  <w:vAlign w:val="center"/>
                </w:tcPr>
                <w:p w14:paraId="0C86B320">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lang w:val="en-US"/>
                    </w:rPr>
                  </w:pPr>
                  <w:r>
                    <w:rPr>
                      <w:rFonts w:hint="eastAsia" w:cs="Times New Roman"/>
                      <w:i w:val="0"/>
                      <w:iCs w:val="0"/>
                      <w:color w:val="auto"/>
                      <w:kern w:val="0"/>
                      <w:sz w:val="18"/>
                      <w:szCs w:val="18"/>
                      <w:u w:val="none"/>
                      <w:lang w:val="en-US" w:eastAsia="zh-CN" w:bidi="ar"/>
                    </w:rPr>
                    <w:t>2.594</w:t>
                  </w:r>
                </w:p>
              </w:tc>
              <w:tc>
                <w:tcPr>
                  <w:tcW w:w="514" w:type="dxa"/>
                  <w:tcBorders>
                    <w:tl2br w:val="nil"/>
                    <w:tr2bl w:val="nil"/>
                  </w:tcBorders>
                  <w:vAlign w:val="center"/>
                </w:tcPr>
                <w:p w14:paraId="60B3F75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#厂房</w:t>
                  </w:r>
                </w:p>
              </w:tc>
            </w:tr>
          </w:tbl>
          <w:p w14:paraId="7F1DE88C">
            <w:pPr>
              <w:pStyle w:val="10"/>
              <w:keepNext w:val="0"/>
              <w:keepLines w:val="0"/>
              <w:pageBreakBefore w:val="0"/>
              <w:widowControl w:val="0"/>
              <w:numPr>
                <w:ilvl w:val="0"/>
                <w:numId w:val="11"/>
              </w:numPr>
              <w:kinsoku/>
              <w:wordWrap/>
              <w:overflowPunct/>
              <w:topLinePunct w:val="0"/>
              <w:autoSpaceDE/>
              <w:autoSpaceDN/>
              <w:bidi w:val="0"/>
              <w:adjustRightInd/>
              <w:snapToGrid/>
              <w:spacing w:before="157" w:beforeLines="50" w:line="360" w:lineRule="auto"/>
              <w:ind w:left="0" w:leftChars="0" w:firstLine="482" w:firstLineChars="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抛丸废气</w:t>
            </w:r>
          </w:p>
          <w:p w14:paraId="2C508E72">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铜棒经加热冲压成型后需要抛丸处理，抛丸机为密闭设施，粉尘收集效率按100%计。项目抛丸打磨运行时间为</w:t>
            </w:r>
            <w:r>
              <w:rPr>
                <w:rFonts w:hint="eastAsia"/>
                <w:color w:val="auto"/>
                <w:sz w:val="24"/>
                <w:szCs w:val="24"/>
                <w:highlight w:val="none"/>
                <w:lang w:val="en-US" w:eastAsia="zh-CN"/>
              </w:rPr>
              <w:t>24</w:t>
            </w:r>
            <w:r>
              <w:rPr>
                <w:rFonts w:hint="eastAsia" w:ascii="Times New Roman" w:eastAsia="宋体"/>
                <w:color w:val="auto"/>
                <w:sz w:val="24"/>
                <w:szCs w:val="24"/>
                <w:highlight w:val="none"/>
                <w:lang w:eastAsia="zh-CN"/>
              </w:rPr>
              <w:t>00h/a，参考《排放源统计调查产排污核算方法和系数手册》，项目抛丸粉尘产生情况见下表。</w:t>
            </w:r>
          </w:p>
          <w:p w14:paraId="1EB39082">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表4-1</w:t>
            </w:r>
            <w:r>
              <w:rPr>
                <w:rFonts w:hint="eastAsia"/>
                <w:b/>
                <w:bCs/>
                <w:color w:val="auto"/>
                <w:sz w:val="24"/>
                <w:szCs w:val="24"/>
                <w:highlight w:val="none"/>
                <w:lang w:val="en-US" w:eastAsia="zh-CN"/>
              </w:rPr>
              <w:t>9</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w:t>
            </w:r>
            <w:r>
              <w:rPr>
                <w:rFonts w:hint="eastAsia" w:ascii="Times New Roman" w:eastAsia="宋体"/>
                <w:b/>
                <w:bCs/>
                <w:color w:val="auto"/>
                <w:sz w:val="24"/>
                <w:szCs w:val="24"/>
                <w:highlight w:val="none"/>
                <w:lang w:eastAsia="zh-CN"/>
              </w:rPr>
              <w:t>抛丸打磨粉尘废气产生情况一览表</w:t>
            </w:r>
          </w:p>
          <w:tbl>
            <w:tblPr>
              <w:tblStyle w:val="29"/>
              <w:tblW w:w="83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19"/>
              <w:gridCol w:w="632"/>
              <w:gridCol w:w="890"/>
              <w:gridCol w:w="675"/>
              <w:gridCol w:w="728"/>
              <w:gridCol w:w="718"/>
              <w:gridCol w:w="557"/>
              <w:gridCol w:w="600"/>
              <w:gridCol w:w="525"/>
              <w:gridCol w:w="493"/>
              <w:gridCol w:w="536"/>
              <w:gridCol w:w="589"/>
              <w:gridCol w:w="514"/>
            </w:tblGrid>
            <w:tr w14:paraId="05F4F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vMerge w:val="restart"/>
                  <w:tcBorders>
                    <w:tl2br w:val="nil"/>
                    <w:tr2bl w:val="nil"/>
                  </w:tcBorders>
                  <w:vAlign w:val="center"/>
                </w:tcPr>
                <w:p w14:paraId="4314FBF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ascii="Times New Roman" w:hAnsi="Times New Roman"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632" w:type="dxa"/>
                  <w:vMerge w:val="restart"/>
                  <w:tcBorders>
                    <w:tl2br w:val="nil"/>
                    <w:tr2bl w:val="nil"/>
                  </w:tcBorders>
                  <w:vAlign w:val="center"/>
                </w:tcPr>
                <w:p w14:paraId="174D32E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890" w:type="dxa"/>
                  <w:vMerge w:val="restart"/>
                  <w:tcBorders>
                    <w:tl2br w:val="nil"/>
                    <w:tr2bl w:val="nil"/>
                  </w:tcBorders>
                  <w:vAlign w:val="center"/>
                </w:tcPr>
                <w:p w14:paraId="2D1BF3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675" w:type="dxa"/>
                  <w:vMerge w:val="restart"/>
                  <w:tcBorders>
                    <w:tl2br w:val="nil"/>
                    <w:tr2bl w:val="nil"/>
                  </w:tcBorders>
                  <w:vAlign w:val="center"/>
                </w:tcPr>
                <w:p w14:paraId="1720215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w:t>
                  </w:r>
                </w:p>
                <w:p w14:paraId="70433AA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(h/a)</w:t>
                  </w:r>
                </w:p>
              </w:tc>
              <w:tc>
                <w:tcPr>
                  <w:tcW w:w="728" w:type="dxa"/>
                  <w:vMerge w:val="restart"/>
                  <w:tcBorders>
                    <w:tl2br w:val="nil"/>
                    <w:tr2bl w:val="nil"/>
                  </w:tcBorders>
                  <w:vAlign w:val="center"/>
                </w:tcPr>
                <w:p w14:paraId="358221E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718" w:type="dxa"/>
                  <w:vMerge w:val="restart"/>
                  <w:tcBorders>
                    <w:tl2br w:val="nil"/>
                    <w:tr2bl w:val="nil"/>
                  </w:tcBorders>
                  <w:vAlign w:val="center"/>
                </w:tcPr>
                <w:p w14:paraId="351AF54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w:t>
                  </w:r>
                </w:p>
                <w:p w14:paraId="6D7BE6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(kg/t·产品)</w:t>
                  </w:r>
                </w:p>
              </w:tc>
              <w:tc>
                <w:tcPr>
                  <w:tcW w:w="3300" w:type="dxa"/>
                  <w:gridSpan w:val="6"/>
                  <w:tcBorders>
                    <w:tl2br w:val="nil"/>
                    <w:tr2bl w:val="nil"/>
                  </w:tcBorders>
                  <w:vAlign w:val="center"/>
                </w:tcPr>
                <w:p w14:paraId="77C777D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514" w:type="dxa"/>
                  <w:vMerge w:val="restart"/>
                  <w:tcBorders>
                    <w:tl2br w:val="nil"/>
                    <w:tr2bl w:val="nil"/>
                  </w:tcBorders>
                  <w:vAlign w:val="center"/>
                </w:tcPr>
                <w:p w14:paraId="5E69BF3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5FFCF2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vMerge w:val="continue"/>
                  <w:tcBorders>
                    <w:tl2br w:val="nil"/>
                    <w:tr2bl w:val="nil"/>
                  </w:tcBorders>
                  <w:vAlign w:val="center"/>
                </w:tcPr>
                <w:p w14:paraId="25E6A77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2" w:type="dxa"/>
                  <w:vMerge w:val="continue"/>
                  <w:tcBorders>
                    <w:tl2br w:val="nil"/>
                    <w:tr2bl w:val="nil"/>
                  </w:tcBorders>
                  <w:vAlign w:val="center"/>
                </w:tcPr>
                <w:p w14:paraId="0289718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6B0B1BC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4E8948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7330348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750C71C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57" w:type="dxa"/>
                  <w:gridSpan w:val="2"/>
                  <w:tcBorders>
                    <w:tl2br w:val="nil"/>
                    <w:tr2bl w:val="nil"/>
                  </w:tcBorders>
                  <w:vAlign w:val="center"/>
                </w:tcPr>
                <w:p w14:paraId="1723C1D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018" w:type="dxa"/>
                  <w:gridSpan w:val="2"/>
                  <w:tcBorders>
                    <w:tl2br w:val="nil"/>
                    <w:tr2bl w:val="nil"/>
                  </w:tcBorders>
                  <w:vAlign w:val="center"/>
                </w:tcPr>
                <w:p w14:paraId="07720A2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125" w:type="dxa"/>
                  <w:gridSpan w:val="2"/>
                  <w:tcBorders>
                    <w:tl2br w:val="nil"/>
                    <w:tr2bl w:val="nil"/>
                  </w:tcBorders>
                  <w:vAlign w:val="center"/>
                </w:tcPr>
                <w:p w14:paraId="3CAD22A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514" w:type="dxa"/>
                  <w:vMerge w:val="continue"/>
                  <w:tcBorders>
                    <w:tl2br w:val="nil"/>
                    <w:tr2bl w:val="nil"/>
                  </w:tcBorders>
                  <w:vAlign w:val="center"/>
                </w:tcPr>
                <w:p w14:paraId="10AA7E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5704E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vMerge w:val="continue"/>
                  <w:tcBorders>
                    <w:tl2br w:val="nil"/>
                    <w:tr2bl w:val="nil"/>
                  </w:tcBorders>
                  <w:vAlign w:val="center"/>
                </w:tcPr>
                <w:p w14:paraId="0B57B3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2" w:type="dxa"/>
                  <w:vMerge w:val="continue"/>
                  <w:tcBorders>
                    <w:tl2br w:val="nil"/>
                    <w:tr2bl w:val="nil"/>
                  </w:tcBorders>
                  <w:vAlign w:val="center"/>
                </w:tcPr>
                <w:p w14:paraId="14554F6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7227777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5A63A46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06BCD55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1FADB7F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7" w:type="dxa"/>
                  <w:tcBorders>
                    <w:right w:val="single" w:color="auto" w:sz="4" w:space="0"/>
                    <w:tl2br w:val="nil"/>
                    <w:tr2bl w:val="nil"/>
                  </w:tcBorders>
                  <w:shd w:val="clear" w:color="auto" w:fill="auto"/>
                  <w:vAlign w:val="center"/>
                </w:tcPr>
                <w:p w14:paraId="68549C0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00" w:type="dxa"/>
                  <w:tcBorders>
                    <w:left w:val="single" w:color="auto" w:sz="4" w:space="0"/>
                    <w:tl2br w:val="nil"/>
                    <w:tr2bl w:val="nil"/>
                  </w:tcBorders>
                  <w:shd w:val="clear" w:color="auto" w:fill="auto"/>
                  <w:vAlign w:val="center"/>
                </w:tcPr>
                <w:p w14:paraId="05081E1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5" w:type="dxa"/>
                  <w:tcBorders>
                    <w:right w:val="single" w:color="auto" w:sz="4" w:space="0"/>
                    <w:tl2br w:val="nil"/>
                    <w:tr2bl w:val="nil"/>
                  </w:tcBorders>
                  <w:shd w:val="clear" w:color="auto" w:fill="auto"/>
                  <w:vAlign w:val="center"/>
                </w:tcPr>
                <w:p w14:paraId="40B04E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493" w:type="dxa"/>
                  <w:tcBorders>
                    <w:left w:val="single" w:color="auto" w:sz="4" w:space="0"/>
                    <w:tl2br w:val="nil"/>
                    <w:tr2bl w:val="nil"/>
                  </w:tcBorders>
                  <w:shd w:val="clear" w:color="auto" w:fill="auto"/>
                  <w:vAlign w:val="center"/>
                </w:tcPr>
                <w:p w14:paraId="233E228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36" w:type="dxa"/>
                  <w:tcBorders>
                    <w:right w:val="single" w:color="auto" w:sz="4" w:space="0"/>
                    <w:tl2br w:val="nil"/>
                    <w:tr2bl w:val="nil"/>
                  </w:tcBorders>
                  <w:shd w:val="clear" w:color="auto" w:fill="auto"/>
                  <w:vAlign w:val="center"/>
                </w:tcPr>
                <w:p w14:paraId="1677E41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589" w:type="dxa"/>
                  <w:tcBorders>
                    <w:left w:val="single" w:color="auto" w:sz="4" w:space="0"/>
                    <w:tl2br w:val="nil"/>
                    <w:tr2bl w:val="nil"/>
                  </w:tcBorders>
                  <w:shd w:val="clear" w:color="auto" w:fill="auto"/>
                  <w:vAlign w:val="center"/>
                </w:tcPr>
                <w:p w14:paraId="62C054E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14" w:type="dxa"/>
                  <w:vMerge w:val="continue"/>
                  <w:tcBorders>
                    <w:tl2br w:val="nil"/>
                    <w:tr2bl w:val="nil"/>
                  </w:tcBorders>
                  <w:vAlign w:val="center"/>
                </w:tcPr>
                <w:p w14:paraId="0CC0A3C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656BBB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9" w:type="dxa"/>
                  <w:tcBorders>
                    <w:tl2br w:val="nil"/>
                    <w:tr2bl w:val="nil"/>
                  </w:tcBorders>
                  <w:vAlign w:val="center"/>
                </w:tcPr>
                <w:p w14:paraId="6E8511E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抛丸打磨</w:t>
                  </w:r>
                </w:p>
              </w:tc>
              <w:tc>
                <w:tcPr>
                  <w:tcW w:w="632" w:type="dxa"/>
                  <w:tcBorders>
                    <w:tl2br w:val="nil"/>
                    <w:tr2bl w:val="nil"/>
                  </w:tcBorders>
                  <w:vAlign w:val="center"/>
                </w:tcPr>
                <w:p w14:paraId="7F9D23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红冲铜件</w:t>
                  </w:r>
                </w:p>
              </w:tc>
              <w:tc>
                <w:tcPr>
                  <w:tcW w:w="890" w:type="dxa"/>
                  <w:tcBorders>
                    <w:tl2br w:val="nil"/>
                    <w:tr2bl w:val="nil"/>
                  </w:tcBorders>
                  <w:vAlign w:val="center"/>
                </w:tcPr>
                <w:p w14:paraId="68A1FE9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ascii="Times New Roman" w:hAnsi="Times New Roman" w:cs="Times New Roman"/>
                      <w:color w:val="auto"/>
                      <w:spacing w:val="-1"/>
                      <w:sz w:val="18"/>
                      <w:szCs w:val="18"/>
                      <w:lang w:val="en-US" w:eastAsia="zh-CN"/>
                    </w:rPr>
                    <w:t>1500</w:t>
                  </w:r>
                </w:p>
              </w:tc>
              <w:tc>
                <w:tcPr>
                  <w:tcW w:w="675" w:type="dxa"/>
                  <w:tcBorders>
                    <w:tl2br w:val="nil"/>
                    <w:tr2bl w:val="nil"/>
                  </w:tcBorders>
                  <w:vAlign w:val="center"/>
                </w:tcPr>
                <w:p w14:paraId="70F2BBD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cs="Times New Roman"/>
                      <w:color w:val="auto"/>
                      <w:spacing w:val="-1"/>
                      <w:sz w:val="18"/>
                      <w:szCs w:val="18"/>
                      <w:lang w:val="en-US" w:eastAsia="zh-CN"/>
                    </w:rPr>
                    <w:t>24</w:t>
                  </w:r>
                  <w:r>
                    <w:rPr>
                      <w:rFonts w:hint="default" w:ascii="Times New Roman" w:hAnsi="Times New Roman" w:eastAsia="宋体" w:cs="Times New Roman"/>
                      <w:color w:val="auto"/>
                      <w:spacing w:val="-1"/>
                      <w:sz w:val="18"/>
                      <w:szCs w:val="18"/>
                    </w:rPr>
                    <w:t>00</w:t>
                  </w:r>
                </w:p>
              </w:tc>
              <w:tc>
                <w:tcPr>
                  <w:tcW w:w="728" w:type="dxa"/>
                  <w:tcBorders>
                    <w:tl2br w:val="nil"/>
                    <w:tr2bl w:val="nil"/>
                  </w:tcBorders>
                  <w:vAlign w:val="center"/>
                </w:tcPr>
                <w:p w14:paraId="45984F0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vAlign w:val="center"/>
                </w:tcPr>
                <w:p w14:paraId="498C5CB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2.19</w:t>
                  </w:r>
                </w:p>
              </w:tc>
              <w:tc>
                <w:tcPr>
                  <w:tcW w:w="557" w:type="dxa"/>
                  <w:tcBorders>
                    <w:right w:val="single" w:color="auto" w:sz="4" w:space="0"/>
                    <w:tl2br w:val="nil"/>
                    <w:tr2bl w:val="nil"/>
                  </w:tcBorders>
                  <w:vAlign w:val="center"/>
                </w:tcPr>
                <w:p w14:paraId="4CE7CB59">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0.685</w:t>
                  </w:r>
                </w:p>
              </w:tc>
              <w:tc>
                <w:tcPr>
                  <w:tcW w:w="600" w:type="dxa"/>
                  <w:tcBorders>
                    <w:left w:val="single" w:color="auto" w:sz="4" w:space="0"/>
                    <w:tl2br w:val="nil"/>
                    <w:tr2bl w:val="nil"/>
                  </w:tcBorders>
                  <w:vAlign w:val="center"/>
                </w:tcPr>
                <w:p w14:paraId="7C2AA6A4">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285</w:t>
                  </w:r>
                </w:p>
              </w:tc>
              <w:tc>
                <w:tcPr>
                  <w:tcW w:w="525" w:type="dxa"/>
                  <w:tcBorders>
                    <w:right w:val="single" w:color="auto" w:sz="4" w:space="0"/>
                    <w:tl2br w:val="nil"/>
                    <w:tr2bl w:val="nil"/>
                  </w:tcBorders>
                  <w:vAlign w:val="center"/>
                </w:tcPr>
                <w:p w14:paraId="7472210A">
                  <w:pPr>
                    <w:jc w:val="center"/>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493" w:type="dxa"/>
                  <w:tcBorders>
                    <w:left w:val="single" w:color="auto" w:sz="4" w:space="0"/>
                    <w:tl2br w:val="nil"/>
                    <w:tr2bl w:val="nil"/>
                  </w:tcBorders>
                  <w:vAlign w:val="center"/>
                </w:tcPr>
                <w:p w14:paraId="6FF90676">
                  <w:pPr>
                    <w:jc w:val="center"/>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0</w:t>
                  </w:r>
                </w:p>
              </w:tc>
              <w:tc>
                <w:tcPr>
                  <w:tcW w:w="536" w:type="dxa"/>
                  <w:tcBorders>
                    <w:right w:val="single" w:color="auto" w:sz="4" w:space="0"/>
                    <w:tl2br w:val="nil"/>
                    <w:tr2bl w:val="nil"/>
                  </w:tcBorders>
                  <w:vAlign w:val="center"/>
                </w:tcPr>
                <w:p w14:paraId="24DDE225">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0.685</w:t>
                  </w:r>
                </w:p>
              </w:tc>
              <w:tc>
                <w:tcPr>
                  <w:tcW w:w="589" w:type="dxa"/>
                  <w:tcBorders>
                    <w:left w:val="single" w:color="auto" w:sz="4" w:space="0"/>
                    <w:tl2br w:val="nil"/>
                    <w:tr2bl w:val="nil"/>
                  </w:tcBorders>
                  <w:vAlign w:val="center"/>
                </w:tcPr>
                <w:p w14:paraId="0915152B">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285</w:t>
                  </w:r>
                </w:p>
              </w:tc>
              <w:tc>
                <w:tcPr>
                  <w:tcW w:w="514" w:type="dxa"/>
                  <w:tcBorders>
                    <w:tl2br w:val="nil"/>
                    <w:tr2bl w:val="nil"/>
                  </w:tcBorders>
                  <w:vAlign w:val="center"/>
                </w:tcPr>
                <w:p w14:paraId="5EB630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#厂房</w:t>
                  </w:r>
                </w:p>
              </w:tc>
            </w:tr>
          </w:tbl>
          <w:p w14:paraId="4B57AA0E">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②压铸工序废气</w:t>
            </w:r>
          </w:p>
          <w:p w14:paraId="2039998B">
            <w:pPr>
              <w:pStyle w:val="10"/>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2" w:firstLineChars="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熔化废气</w:t>
            </w:r>
          </w:p>
          <w:p w14:paraId="2F94339D">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参考《排放源统计调查产排污核算方法和系数手册》：以铝合金锭等原料进行熔化的产污系数为：颗粒物0.525kg/t·产品。熔化废气采用集气罩收集，收集效率按80%计，则压铸熔化废气污染物产生情况详见下表。</w:t>
            </w:r>
          </w:p>
          <w:p w14:paraId="0B380B83">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20 </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铝合金锭</w:t>
            </w:r>
            <w:r>
              <w:rPr>
                <w:rFonts w:hint="eastAsia" w:ascii="Times New Roman" w:eastAsia="宋体"/>
                <w:b/>
                <w:bCs/>
                <w:color w:val="auto"/>
                <w:sz w:val="24"/>
                <w:szCs w:val="24"/>
                <w:highlight w:val="none"/>
                <w:lang w:eastAsia="zh-CN"/>
              </w:rPr>
              <w:t>熔化废气产生情况一览表</w:t>
            </w:r>
          </w:p>
          <w:tbl>
            <w:tblPr>
              <w:tblStyle w:val="29"/>
              <w:tblW w:w="851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16"/>
              <w:gridCol w:w="669"/>
              <w:gridCol w:w="771"/>
              <w:gridCol w:w="697"/>
              <w:gridCol w:w="874"/>
              <w:gridCol w:w="557"/>
              <w:gridCol w:w="600"/>
              <w:gridCol w:w="525"/>
              <w:gridCol w:w="493"/>
              <w:gridCol w:w="536"/>
              <w:gridCol w:w="679"/>
              <w:gridCol w:w="997"/>
            </w:tblGrid>
            <w:tr w14:paraId="2DE09E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6" w:type="dxa"/>
                  <w:vMerge w:val="restart"/>
                  <w:tcBorders>
                    <w:tl2br w:val="nil"/>
                    <w:tr2bl w:val="nil"/>
                  </w:tcBorders>
                  <w:vAlign w:val="center"/>
                </w:tcPr>
                <w:p w14:paraId="5277A6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ascii="Times New Roman" w:hAnsi="Times New Roman"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669" w:type="dxa"/>
                  <w:vMerge w:val="restart"/>
                  <w:tcBorders>
                    <w:tl2br w:val="nil"/>
                    <w:tr2bl w:val="nil"/>
                  </w:tcBorders>
                  <w:vAlign w:val="center"/>
                </w:tcPr>
                <w:p w14:paraId="526A7F6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771" w:type="dxa"/>
                  <w:vMerge w:val="restart"/>
                  <w:tcBorders>
                    <w:tl2br w:val="nil"/>
                    <w:tr2bl w:val="nil"/>
                  </w:tcBorders>
                  <w:vAlign w:val="center"/>
                </w:tcPr>
                <w:p w14:paraId="0A9D8C3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697" w:type="dxa"/>
                  <w:vMerge w:val="restart"/>
                  <w:tcBorders>
                    <w:tl2br w:val="nil"/>
                    <w:tr2bl w:val="nil"/>
                  </w:tcBorders>
                  <w:vAlign w:val="center"/>
                </w:tcPr>
                <w:p w14:paraId="1307DB3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874" w:type="dxa"/>
                  <w:vMerge w:val="restart"/>
                  <w:tcBorders>
                    <w:tl2br w:val="nil"/>
                    <w:tr2bl w:val="nil"/>
                  </w:tcBorders>
                  <w:vAlign w:val="center"/>
                </w:tcPr>
                <w:p w14:paraId="074BF73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90" w:type="dxa"/>
                  <w:gridSpan w:val="6"/>
                  <w:tcBorders>
                    <w:tl2br w:val="nil"/>
                    <w:tr2bl w:val="nil"/>
                  </w:tcBorders>
                  <w:vAlign w:val="center"/>
                </w:tcPr>
                <w:p w14:paraId="62B5B2D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997" w:type="dxa"/>
                  <w:vMerge w:val="restart"/>
                  <w:tcBorders>
                    <w:tl2br w:val="nil"/>
                    <w:tr2bl w:val="nil"/>
                  </w:tcBorders>
                  <w:vAlign w:val="center"/>
                </w:tcPr>
                <w:p w14:paraId="783680D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6C4C04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6" w:type="dxa"/>
                  <w:vMerge w:val="continue"/>
                  <w:tcBorders>
                    <w:tl2br w:val="nil"/>
                    <w:tr2bl w:val="nil"/>
                  </w:tcBorders>
                  <w:vAlign w:val="center"/>
                </w:tcPr>
                <w:p w14:paraId="661763A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9" w:type="dxa"/>
                  <w:vMerge w:val="continue"/>
                  <w:tcBorders>
                    <w:tl2br w:val="nil"/>
                    <w:tr2bl w:val="nil"/>
                  </w:tcBorders>
                  <w:vAlign w:val="center"/>
                </w:tcPr>
                <w:p w14:paraId="746A199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71" w:type="dxa"/>
                  <w:vMerge w:val="continue"/>
                  <w:tcBorders>
                    <w:tl2br w:val="nil"/>
                    <w:tr2bl w:val="nil"/>
                  </w:tcBorders>
                  <w:vAlign w:val="center"/>
                </w:tcPr>
                <w:p w14:paraId="4F0D20C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97" w:type="dxa"/>
                  <w:vMerge w:val="continue"/>
                  <w:tcBorders>
                    <w:tl2br w:val="nil"/>
                    <w:tr2bl w:val="nil"/>
                  </w:tcBorders>
                  <w:vAlign w:val="center"/>
                </w:tcPr>
                <w:p w14:paraId="2F31427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74" w:type="dxa"/>
                  <w:vMerge w:val="continue"/>
                  <w:tcBorders>
                    <w:tl2br w:val="nil"/>
                    <w:tr2bl w:val="nil"/>
                  </w:tcBorders>
                  <w:vAlign w:val="center"/>
                </w:tcPr>
                <w:p w14:paraId="7B96414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57" w:type="dxa"/>
                  <w:gridSpan w:val="2"/>
                  <w:tcBorders>
                    <w:tl2br w:val="nil"/>
                    <w:tr2bl w:val="nil"/>
                  </w:tcBorders>
                  <w:vAlign w:val="center"/>
                </w:tcPr>
                <w:p w14:paraId="7F7A2C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018" w:type="dxa"/>
                  <w:gridSpan w:val="2"/>
                  <w:tcBorders>
                    <w:tl2br w:val="nil"/>
                    <w:tr2bl w:val="nil"/>
                  </w:tcBorders>
                  <w:vAlign w:val="center"/>
                </w:tcPr>
                <w:p w14:paraId="3DE1C0A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215" w:type="dxa"/>
                  <w:gridSpan w:val="2"/>
                  <w:tcBorders>
                    <w:tl2br w:val="nil"/>
                    <w:tr2bl w:val="nil"/>
                  </w:tcBorders>
                  <w:vAlign w:val="center"/>
                </w:tcPr>
                <w:p w14:paraId="7DC0DE1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997" w:type="dxa"/>
                  <w:vMerge w:val="continue"/>
                  <w:tcBorders>
                    <w:tl2br w:val="nil"/>
                    <w:tr2bl w:val="nil"/>
                  </w:tcBorders>
                  <w:vAlign w:val="center"/>
                </w:tcPr>
                <w:p w14:paraId="3F8BE5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1F07BD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6" w:type="dxa"/>
                  <w:vMerge w:val="continue"/>
                  <w:tcBorders>
                    <w:tl2br w:val="nil"/>
                    <w:tr2bl w:val="nil"/>
                  </w:tcBorders>
                  <w:vAlign w:val="center"/>
                </w:tcPr>
                <w:p w14:paraId="3C2196C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9" w:type="dxa"/>
                  <w:vMerge w:val="continue"/>
                  <w:tcBorders>
                    <w:tl2br w:val="nil"/>
                    <w:tr2bl w:val="nil"/>
                  </w:tcBorders>
                  <w:vAlign w:val="center"/>
                </w:tcPr>
                <w:p w14:paraId="3D96C5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71" w:type="dxa"/>
                  <w:vMerge w:val="continue"/>
                  <w:tcBorders>
                    <w:tl2br w:val="nil"/>
                    <w:tr2bl w:val="nil"/>
                  </w:tcBorders>
                  <w:vAlign w:val="center"/>
                </w:tcPr>
                <w:p w14:paraId="4FEAB9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97" w:type="dxa"/>
                  <w:vMerge w:val="continue"/>
                  <w:tcBorders>
                    <w:tl2br w:val="nil"/>
                    <w:tr2bl w:val="nil"/>
                  </w:tcBorders>
                  <w:vAlign w:val="center"/>
                </w:tcPr>
                <w:p w14:paraId="4B1677E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74" w:type="dxa"/>
                  <w:vMerge w:val="continue"/>
                  <w:tcBorders>
                    <w:tl2br w:val="nil"/>
                    <w:tr2bl w:val="nil"/>
                  </w:tcBorders>
                  <w:vAlign w:val="center"/>
                </w:tcPr>
                <w:p w14:paraId="45E1398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7" w:type="dxa"/>
                  <w:tcBorders>
                    <w:right w:val="single" w:color="auto" w:sz="4" w:space="0"/>
                    <w:tl2br w:val="nil"/>
                    <w:tr2bl w:val="nil"/>
                  </w:tcBorders>
                  <w:shd w:val="clear" w:color="auto" w:fill="auto"/>
                  <w:vAlign w:val="center"/>
                </w:tcPr>
                <w:p w14:paraId="552D1BA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00" w:type="dxa"/>
                  <w:tcBorders>
                    <w:left w:val="single" w:color="auto" w:sz="4" w:space="0"/>
                    <w:tl2br w:val="nil"/>
                    <w:tr2bl w:val="nil"/>
                  </w:tcBorders>
                  <w:shd w:val="clear" w:color="auto" w:fill="auto"/>
                  <w:vAlign w:val="center"/>
                </w:tcPr>
                <w:p w14:paraId="4DC980B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5" w:type="dxa"/>
                  <w:tcBorders>
                    <w:right w:val="single" w:color="auto" w:sz="4" w:space="0"/>
                    <w:tl2br w:val="nil"/>
                    <w:tr2bl w:val="nil"/>
                  </w:tcBorders>
                  <w:shd w:val="clear" w:color="auto" w:fill="auto"/>
                  <w:vAlign w:val="center"/>
                </w:tcPr>
                <w:p w14:paraId="29F512B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493" w:type="dxa"/>
                  <w:tcBorders>
                    <w:left w:val="single" w:color="auto" w:sz="4" w:space="0"/>
                    <w:tl2br w:val="nil"/>
                    <w:tr2bl w:val="nil"/>
                  </w:tcBorders>
                  <w:shd w:val="clear" w:color="auto" w:fill="auto"/>
                  <w:vAlign w:val="center"/>
                </w:tcPr>
                <w:p w14:paraId="692B423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36" w:type="dxa"/>
                  <w:tcBorders>
                    <w:right w:val="single" w:color="auto" w:sz="4" w:space="0"/>
                    <w:tl2br w:val="nil"/>
                    <w:tr2bl w:val="nil"/>
                  </w:tcBorders>
                  <w:shd w:val="clear" w:color="auto" w:fill="auto"/>
                  <w:vAlign w:val="center"/>
                </w:tcPr>
                <w:p w14:paraId="60EF6D1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79" w:type="dxa"/>
                  <w:tcBorders>
                    <w:left w:val="single" w:color="auto" w:sz="4" w:space="0"/>
                    <w:tl2br w:val="nil"/>
                    <w:tr2bl w:val="nil"/>
                  </w:tcBorders>
                  <w:shd w:val="clear" w:color="auto" w:fill="auto"/>
                  <w:vAlign w:val="center"/>
                </w:tcPr>
                <w:p w14:paraId="39A240F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997" w:type="dxa"/>
                  <w:vMerge w:val="continue"/>
                  <w:tcBorders>
                    <w:tl2br w:val="nil"/>
                    <w:tr2bl w:val="nil"/>
                  </w:tcBorders>
                  <w:vAlign w:val="center"/>
                </w:tcPr>
                <w:p w14:paraId="4893016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7818BD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6" w:type="dxa"/>
                  <w:tcBorders>
                    <w:tl2br w:val="nil"/>
                    <w:tr2bl w:val="nil"/>
                  </w:tcBorders>
                  <w:vAlign w:val="center"/>
                </w:tcPr>
                <w:p w14:paraId="40F4732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铝合金锭熔化</w:t>
                  </w:r>
                </w:p>
              </w:tc>
              <w:tc>
                <w:tcPr>
                  <w:tcW w:w="669" w:type="dxa"/>
                  <w:tcBorders>
                    <w:tl2br w:val="nil"/>
                    <w:tr2bl w:val="nil"/>
                  </w:tcBorders>
                  <w:vAlign w:val="center"/>
                </w:tcPr>
                <w:p w14:paraId="442269D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ascii="Times New Roman" w:hAnsi="Times New Roman" w:cs="Times New Roman"/>
                      <w:color w:val="auto"/>
                      <w:spacing w:val="-1"/>
                      <w:sz w:val="18"/>
                      <w:szCs w:val="18"/>
                      <w:lang w:val="en-US" w:eastAsia="zh-CN"/>
                    </w:rPr>
                    <w:t>3150</w:t>
                  </w:r>
                </w:p>
              </w:tc>
              <w:tc>
                <w:tcPr>
                  <w:tcW w:w="771" w:type="dxa"/>
                  <w:tcBorders>
                    <w:tl2br w:val="nil"/>
                    <w:tr2bl w:val="nil"/>
                  </w:tcBorders>
                  <w:vAlign w:val="center"/>
                </w:tcPr>
                <w:p w14:paraId="64BF477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2100</w:t>
                  </w:r>
                </w:p>
              </w:tc>
              <w:tc>
                <w:tcPr>
                  <w:tcW w:w="697" w:type="dxa"/>
                  <w:tcBorders>
                    <w:tl2br w:val="nil"/>
                    <w:tr2bl w:val="nil"/>
                  </w:tcBorders>
                  <w:vAlign w:val="center"/>
                </w:tcPr>
                <w:p w14:paraId="5F419FC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874" w:type="dxa"/>
                  <w:tcBorders>
                    <w:tl2br w:val="nil"/>
                    <w:tr2bl w:val="nil"/>
                  </w:tcBorders>
                  <w:vAlign w:val="center"/>
                </w:tcPr>
                <w:p w14:paraId="6D2DDF4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0.525</w:t>
                  </w:r>
                </w:p>
              </w:tc>
              <w:tc>
                <w:tcPr>
                  <w:tcW w:w="557" w:type="dxa"/>
                  <w:tcBorders>
                    <w:right w:val="single" w:color="auto" w:sz="4" w:space="0"/>
                    <w:tl2br w:val="nil"/>
                    <w:tr2bl w:val="nil"/>
                  </w:tcBorders>
                  <w:vAlign w:val="center"/>
                </w:tcPr>
                <w:p w14:paraId="630CC8F6">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1.323 </w:t>
                  </w:r>
                </w:p>
              </w:tc>
              <w:tc>
                <w:tcPr>
                  <w:tcW w:w="600" w:type="dxa"/>
                  <w:tcBorders>
                    <w:left w:val="single" w:color="auto" w:sz="4" w:space="0"/>
                    <w:tl2br w:val="nil"/>
                    <w:tr2bl w:val="nil"/>
                  </w:tcBorders>
                  <w:vAlign w:val="center"/>
                </w:tcPr>
                <w:p w14:paraId="2B1AFB5E">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0.630 </w:t>
                  </w:r>
                </w:p>
              </w:tc>
              <w:tc>
                <w:tcPr>
                  <w:tcW w:w="525" w:type="dxa"/>
                  <w:tcBorders>
                    <w:right w:val="single" w:color="auto" w:sz="4" w:space="0"/>
                    <w:tl2br w:val="nil"/>
                    <w:tr2bl w:val="nil"/>
                  </w:tcBorders>
                  <w:vAlign w:val="center"/>
                </w:tcPr>
                <w:p w14:paraId="65BD9744">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0.331 </w:t>
                  </w:r>
                </w:p>
              </w:tc>
              <w:tc>
                <w:tcPr>
                  <w:tcW w:w="493" w:type="dxa"/>
                  <w:tcBorders>
                    <w:left w:val="single" w:color="auto" w:sz="4" w:space="0"/>
                    <w:tl2br w:val="nil"/>
                    <w:tr2bl w:val="nil"/>
                  </w:tcBorders>
                  <w:vAlign w:val="center"/>
                </w:tcPr>
                <w:p w14:paraId="2250CD9F">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0.158 </w:t>
                  </w:r>
                </w:p>
              </w:tc>
              <w:tc>
                <w:tcPr>
                  <w:tcW w:w="536" w:type="dxa"/>
                  <w:tcBorders>
                    <w:right w:val="single" w:color="auto" w:sz="4" w:space="0"/>
                    <w:tl2br w:val="nil"/>
                    <w:tr2bl w:val="nil"/>
                  </w:tcBorders>
                  <w:vAlign w:val="center"/>
                </w:tcPr>
                <w:p w14:paraId="0ECFEEA2">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1.654 </w:t>
                  </w:r>
                </w:p>
              </w:tc>
              <w:tc>
                <w:tcPr>
                  <w:tcW w:w="679" w:type="dxa"/>
                  <w:tcBorders>
                    <w:left w:val="single" w:color="auto" w:sz="4" w:space="0"/>
                    <w:tl2br w:val="nil"/>
                    <w:tr2bl w:val="nil"/>
                  </w:tcBorders>
                  <w:vAlign w:val="center"/>
                </w:tcPr>
                <w:p w14:paraId="52CB4B71">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0.788 </w:t>
                  </w:r>
                </w:p>
              </w:tc>
              <w:tc>
                <w:tcPr>
                  <w:tcW w:w="997" w:type="dxa"/>
                  <w:tcBorders>
                    <w:tl2br w:val="nil"/>
                    <w:tr2bl w:val="nil"/>
                  </w:tcBorders>
                  <w:vAlign w:val="center"/>
                </w:tcPr>
                <w:p w14:paraId="0E6FCA5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#厂房</w:t>
                  </w:r>
                </w:p>
              </w:tc>
            </w:tr>
          </w:tbl>
          <w:p w14:paraId="253BB683">
            <w:pPr>
              <w:pStyle w:val="10"/>
              <w:keepNext w:val="0"/>
              <w:keepLines w:val="0"/>
              <w:pageBreakBefore w:val="0"/>
              <w:widowControl w:val="0"/>
              <w:numPr>
                <w:ilvl w:val="0"/>
                <w:numId w:val="11"/>
              </w:numPr>
              <w:kinsoku/>
              <w:wordWrap/>
              <w:overflowPunct/>
              <w:topLinePunct w:val="0"/>
              <w:autoSpaceDE/>
              <w:autoSpaceDN/>
              <w:bidi w:val="0"/>
              <w:adjustRightInd/>
              <w:snapToGrid/>
              <w:spacing w:before="157" w:beforeLines="50" w:line="360" w:lineRule="auto"/>
              <w:ind w:left="0" w:leftChars="0" w:firstLine="482" w:firstLineChars="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压铸废气</w:t>
            </w:r>
          </w:p>
          <w:p w14:paraId="20F9E300">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参考《排放源统计调查产排污核算方法和系数手册》：压铸工序废气的产污系数为：颗粒物0.247kg/t·产品。压铸废气采用集气罩进行收集，收集效率按80%计，则压铸废气产生情况详见下表。</w:t>
            </w:r>
          </w:p>
          <w:p w14:paraId="683DB8A3">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21 </w:t>
            </w:r>
            <w:r>
              <w:rPr>
                <w:rFonts w:hint="eastAsia" w:ascii="Times New Roman" w:eastAsia="宋体"/>
                <w:b/>
                <w:bCs/>
                <w:color w:val="auto"/>
                <w:sz w:val="24"/>
                <w:szCs w:val="24"/>
                <w:highlight w:val="none"/>
                <w:lang w:eastAsia="zh-CN"/>
              </w:rPr>
              <w:t xml:space="preserve"> 压铸废气产生情况一览表</w:t>
            </w:r>
          </w:p>
          <w:tbl>
            <w:tblPr>
              <w:tblStyle w:val="29"/>
              <w:tblW w:w="83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890"/>
              <w:gridCol w:w="675"/>
              <w:gridCol w:w="728"/>
              <w:gridCol w:w="718"/>
              <w:gridCol w:w="557"/>
              <w:gridCol w:w="600"/>
              <w:gridCol w:w="525"/>
              <w:gridCol w:w="493"/>
              <w:gridCol w:w="536"/>
              <w:gridCol w:w="589"/>
              <w:gridCol w:w="920"/>
            </w:tblGrid>
            <w:tr w14:paraId="15DD3A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restart"/>
                  <w:tcBorders>
                    <w:tl2br w:val="nil"/>
                    <w:tr2bl w:val="nil"/>
                  </w:tcBorders>
                  <w:vAlign w:val="center"/>
                </w:tcPr>
                <w:p w14:paraId="54E9DB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ascii="Times New Roman" w:hAnsi="Times New Roman"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890" w:type="dxa"/>
                  <w:vMerge w:val="restart"/>
                  <w:tcBorders>
                    <w:tl2br w:val="nil"/>
                    <w:tr2bl w:val="nil"/>
                  </w:tcBorders>
                  <w:vAlign w:val="center"/>
                </w:tcPr>
                <w:p w14:paraId="3A60F11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675" w:type="dxa"/>
                  <w:vMerge w:val="restart"/>
                  <w:tcBorders>
                    <w:tl2br w:val="nil"/>
                    <w:tr2bl w:val="nil"/>
                  </w:tcBorders>
                  <w:vAlign w:val="center"/>
                </w:tcPr>
                <w:p w14:paraId="456458B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728" w:type="dxa"/>
                  <w:vMerge w:val="restart"/>
                  <w:tcBorders>
                    <w:tl2br w:val="nil"/>
                    <w:tr2bl w:val="nil"/>
                  </w:tcBorders>
                  <w:vAlign w:val="center"/>
                </w:tcPr>
                <w:p w14:paraId="4F192D5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718" w:type="dxa"/>
                  <w:vMerge w:val="restart"/>
                  <w:tcBorders>
                    <w:tl2br w:val="nil"/>
                    <w:tr2bl w:val="nil"/>
                  </w:tcBorders>
                  <w:vAlign w:val="center"/>
                </w:tcPr>
                <w:p w14:paraId="21C67A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00" w:type="dxa"/>
                  <w:gridSpan w:val="6"/>
                  <w:tcBorders>
                    <w:tl2br w:val="nil"/>
                    <w:tr2bl w:val="nil"/>
                  </w:tcBorders>
                  <w:vAlign w:val="center"/>
                </w:tcPr>
                <w:p w14:paraId="7A4417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920" w:type="dxa"/>
                  <w:vMerge w:val="restart"/>
                  <w:tcBorders>
                    <w:tl2br w:val="nil"/>
                    <w:tr2bl w:val="nil"/>
                  </w:tcBorders>
                  <w:vAlign w:val="center"/>
                </w:tcPr>
                <w:p w14:paraId="7D71672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51D2A5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l2br w:val="nil"/>
                    <w:tr2bl w:val="nil"/>
                  </w:tcBorders>
                  <w:vAlign w:val="center"/>
                </w:tcPr>
                <w:p w14:paraId="793BD2F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3D1279A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43D5923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5FAFA80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57D98BF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57" w:type="dxa"/>
                  <w:gridSpan w:val="2"/>
                  <w:tcBorders>
                    <w:tl2br w:val="nil"/>
                    <w:tr2bl w:val="nil"/>
                  </w:tcBorders>
                  <w:vAlign w:val="center"/>
                </w:tcPr>
                <w:p w14:paraId="5B84A9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018" w:type="dxa"/>
                  <w:gridSpan w:val="2"/>
                  <w:tcBorders>
                    <w:tl2br w:val="nil"/>
                    <w:tr2bl w:val="nil"/>
                  </w:tcBorders>
                  <w:vAlign w:val="center"/>
                </w:tcPr>
                <w:p w14:paraId="054A32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125" w:type="dxa"/>
                  <w:gridSpan w:val="2"/>
                  <w:tcBorders>
                    <w:tl2br w:val="nil"/>
                    <w:tr2bl w:val="nil"/>
                  </w:tcBorders>
                  <w:vAlign w:val="center"/>
                </w:tcPr>
                <w:p w14:paraId="24D7DF4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920" w:type="dxa"/>
                  <w:vMerge w:val="continue"/>
                  <w:tcBorders>
                    <w:tl2br w:val="nil"/>
                    <w:tr2bl w:val="nil"/>
                  </w:tcBorders>
                  <w:vAlign w:val="center"/>
                </w:tcPr>
                <w:p w14:paraId="782575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7F72BA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l2br w:val="nil"/>
                    <w:tr2bl w:val="nil"/>
                  </w:tcBorders>
                  <w:vAlign w:val="center"/>
                </w:tcPr>
                <w:p w14:paraId="694FF6F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30BE9E6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0FF90B2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249C142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2B1CBEC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7" w:type="dxa"/>
                  <w:tcBorders>
                    <w:right w:val="single" w:color="auto" w:sz="4" w:space="0"/>
                    <w:tl2br w:val="nil"/>
                    <w:tr2bl w:val="nil"/>
                  </w:tcBorders>
                  <w:shd w:val="clear" w:color="auto" w:fill="auto"/>
                  <w:vAlign w:val="center"/>
                </w:tcPr>
                <w:p w14:paraId="26F73D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00" w:type="dxa"/>
                  <w:tcBorders>
                    <w:left w:val="single" w:color="auto" w:sz="4" w:space="0"/>
                    <w:tl2br w:val="nil"/>
                    <w:tr2bl w:val="nil"/>
                  </w:tcBorders>
                  <w:shd w:val="clear" w:color="auto" w:fill="auto"/>
                  <w:vAlign w:val="center"/>
                </w:tcPr>
                <w:p w14:paraId="21D2DB5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5" w:type="dxa"/>
                  <w:tcBorders>
                    <w:right w:val="single" w:color="auto" w:sz="4" w:space="0"/>
                    <w:tl2br w:val="nil"/>
                    <w:tr2bl w:val="nil"/>
                  </w:tcBorders>
                  <w:shd w:val="clear" w:color="auto" w:fill="auto"/>
                  <w:vAlign w:val="center"/>
                </w:tcPr>
                <w:p w14:paraId="6E250C7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493" w:type="dxa"/>
                  <w:tcBorders>
                    <w:left w:val="single" w:color="auto" w:sz="4" w:space="0"/>
                    <w:tl2br w:val="nil"/>
                    <w:tr2bl w:val="nil"/>
                  </w:tcBorders>
                  <w:shd w:val="clear" w:color="auto" w:fill="auto"/>
                  <w:vAlign w:val="center"/>
                </w:tcPr>
                <w:p w14:paraId="78D9775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36" w:type="dxa"/>
                  <w:tcBorders>
                    <w:right w:val="single" w:color="auto" w:sz="4" w:space="0"/>
                    <w:tl2br w:val="nil"/>
                    <w:tr2bl w:val="nil"/>
                  </w:tcBorders>
                  <w:shd w:val="clear" w:color="auto" w:fill="auto"/>
                  <w:vAlign w:val="center"/>
                </w:tcPr>
                <w:p w14:paraId="3E2DE91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589" w:type="dxa"/>
                  <w:tcBorders>
                    <w:left w:val="single" w:color="auto" w:sz="4" w:space="0"/>
                    <w:tl2br w:val="nil"/>
                    <w:tr2bl w:val="nil"/>
                  </w:tcBorders>
                  <w:shd w:val="clear" w:color="auto" w:fill="auto"/>
                  <w:vAlign w:val="center"/>
                </w:tcPr>
                <w:p w14:paraId="7717E5D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920" w:type="dxa"/>
                  <w:vMerge w:val="continue"/>
                  <w:tcBorders>
                    <w:tl2br w:val="nil"/>
                    <w:tr2bl w:val="nil"/>
                  </w:tcBorders>
                  <w:vAlign w:val="center"/>
                </w:tcPr>
                <w:p w14:paraId="1C390F4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23C450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tcBorders>
                    <w:tl2br w:val="nil"/>
                    <w:tr2bl w:val="nil"/>
                  </w:tcBorders>
                  <w:vAlign w:val="center"/>
                </w:tcPr>
                <w:p w14:paraId="5430217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铝合金锭熔化</w:t>
                  </w:r>
                </w:p>
              </w:tc>
              <w:tc>
                <w:tcPr>
                  <w:tcW w:w="890" w:type="dxa"/>
                  <w:tcBorders>
                    <w:tl2br w:val="nil"/>
                    <w:tr2bl w:val="nil"/>
                  </w:tcBorders>
                  <w:vAlign w:val="center"/>
                </w:tcPr>
                <w:p w14:paraId="699AE9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ascii="Times New Roman" w:hAnsi="Times New Roman" w:cs="Times New Roman"/>
                      <w:color w:val="auto"/>
                      <w:spacing w:val="-1"/>
                      <w:sz w:val="18"/>
                      <w:szCs w:val="18"/>
                      <w:lang w:val="en-US" w:eastAsia="zh-CN"/>
                    </w:rPr>
                    <w:t>3150</w:t>
                  </w:r>
                </w:p>
              </w:tc>
              <w:tc>
                <w:tcPr>
                  <w:tcW w:w="675" w:type="dxa"/>
                  <w:tcBorders>
                    <w:tl2br w:val="nil"/>
                    <w:tr2bl w:val="nil"/>
                  </w:tcBorders>
                  <w:vAlign w:val="center"/>
                </w:tcPr>
                <w:p w14:paraId="0DEE3D4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2100</w:t>
                  </w:r>
                </w:p>
              </w:tc>
              <w:tc>
                <w:tcPr>
                  <w:tcW w:w="728" w:type="dxa"/>
                  <w:tcBorders>
                    <w:tl2br w:val="nil"/>
                    <w:tr2bl w:val="nil"/>
                  </w:tcBorders>
                  <w:vAlign w:val="center"/>
                </w:tcPr>
                <w:p w14:paraId="59A469A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vAlign w:val="center"/>
                </w:tcPr>
                <w:p w14:paraId="360838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0.247</w:t>
                  </w:r>
                </w:p>
              </w:tc>
              <w:tc>
                <w:tcPr>
                  <w:tcW w:w="557" w:type="dxa"/>
                  <w:tcBorders>
                    <w:right w:val="single" w:color="auto" w:sz="4" w:space="0"/>
                    <w:tl2br w:val="nil"/>
                    <w:tr2bl w:val="nil"/>
                  </w:tcBorders>
                  <w:vAlign w:val="center"/>
                </w:tcPr>
                <w:p w14:paraId="12F72670">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0.622 </w:t>
                  </w:r>
                </w:p>
              </w:tc>
              <w:tc>
                <w:tcPr>
                  <w:tcW w:w="600" w:type="dxa"/>
                  <w:tcBorders>
                    <w:left w:val="single" w:color="auto" w:sz="4" w:space="0"/>
                    <w:tl2br w:val="nil"/>
                    <w:tr2bl w:val="nil"/>
                  </w:tcBorders>
                  <w:vAlign w:val="center"/>
                </w:tcPr>
                <w:p w14:paraId="4C73416E">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0.296 </w:t>
                  </w:r>
                </w:p>
              </w:tc>
              <w:tc>
                <w:tcPr>
                  <w:tcW w:w="525" w:type="dxa"/>
                  <w:tcBorders>
                    <w:right w:val="single" w:color="auto" w:sz="4" w:space="0"/>
                    <w:tl2br w:val="nil"/>
                    <w:tr2bl w:val="nil"/>
                  </w:tcBorders>
                  <w:vAlign w:val="center"/>
                </w:tcPr>
                <w:p w14:paraId="36CB2447">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0.156 </w:t>
                  </w:r>
                </w:p>
              </w:tc>
              <w:tc>
                <w:tcPr>
                  <w:tcW w:w="493" w:type="dxa"/>
                  <w:tcBorders>
                    <w:left w:val="single" w:color="auto" w:sz="4" w:space="0"/>
                    <w:tl2br w:val="nil"/>
                    <w:tr2bl w:val="nil"/>
                  </w:tcBorders>
                  <w:vAlign w:val="center"/>
                </w:tcPr>
                <w:p w14:paraId="3ABFB404">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0.074 </w:t>
                  </w:r>
                </w:p>
              </w:tc>
              <w:tc>
                <w:tcPr>
                  <w:tcW w:w="536" w:type="dxa"/>
                  <w:tcBorders>
                    <w:right w:val="single" w:color="auto" w:sz="4" w:space="0"/>
                    <w:tl2br w:val="nil"/>
                    <w:tr2bl w:val="nil"/>
                  </w:tcBorders>
                  <w:vAlign w:val="center"/>
                </w:tcPr>
                <w:p w14:paraId="678CDE25">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0.778 </w:t>
                  </w:r>
                </w:p>
              </w:tc>
              <w:tc>
                <w:tcPr>
                  <w:tcW w:w="589" w:type="dxa"/>
                  <w:tcBorders>
                    <w:left w:val="single" w:color="auto" w:sz="4" w:space="0"/>
                    <w:tl2br w:val="nil"/>
                    <w:tr2bl w:val="nil"/>
                  </w:tcBorders>
                  <w:vAlign w:val="center"/>
                </w:tcPr>
                <w:p w14:paraId="223E814B">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0.371 </w:t>
                  </w:r>
                </w:p>
              </w:tc>
              <w:tc>
                <w:tcPr>
                  <w:tcW w:w="920" w:type="dxa"/>
                  <w:tcBorders>
                    <w:tl2br w:val="nil"/>
                    <w:tr2bl w:val="nil"/>
                  </w:tcBorders>
                  <w:vAlign w:val="center"/>
                </w:tcPr>
                <w:p w14:paraId="3B35DBB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#厂房</w:t>
                  </w:r>
                </w:p>
              </w:tc>
            </w:tr>
          </w:tbl>
          <w:p w14:paraId="6ABC5982">
            <w:pPr>
              <w:pStyle w:val="10"/>
              <w:keepNext w:val="0"/>
              <w:keepLines w:val="0"/>
              <w:pageBreakBefore w:val="0"/>
              <w:widowControl w:val="0"/>
              <w:numPr>
                <w:ilvl w:val="0"/>
                <w:numId w:val="11"/>
              </w:numPr>
              <w:kinsoku/>
              <w:wordWrap/>
              <w:overflowPunct/>
              <w:topLinePunct w:val="0"/>
              <w:autoSpaceDE/>
              <w:autoSpaceDN/>
              <w:bidi w:val="0"/>
              <w:adjustRightInd/>
              <w:snapToGrid/>
              <w:spacing w:before="157" w:beforeLines="50" w:line="360" w:lineRule="auto"/>
              <w:ind w:left="0" w:leftChars="0" w:firstLine="482" w:firstLineChars="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压铸</w:t>
            </w:r>
            <w:r>
              <w:rPr>
                <w:rFonts w:hint="eastAsia" w:ascii="Times New Roman" w:hAnsi="Times New Roman" w:eastAsia="宋体" w:cs="Times New Roman"/>
                <w:color w:val="auto"/>
                <w:sz w:val="24"/>
                <w:szCs w:val="24"/>
                <w:highlight w:val="none"/>
                <w:lang w:val="en-US" w:eastAsia="zh-CN"/>
              </w:rPr>
              <w:t>件打磨</w:t>
            </w:r>
            <w:r>
              <w:rPr>
                <w:rFonts w:hint="eastAsia" w:ascii="Times New Roman" w:hAnsi="Times New Roman" w:eastAsia="宋体" w:cs="Times New Roman"/>
                <w:color w:val="auto"/>
                <w:sz w:val="24"/>
                <w:szCs w:val="24"/>
                <w:highlight w:val="none"/>
                <w:lang w:eastAsia="zh-CN"/>
              </w:rPr>
              <w:t>废气</w:t>
            </w:r>
          </w:p>
          <w:p w14:paraId="635E8C1E">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压铸后的半成品采用抛光机进行抛光打磨，抛光工位设置集气罩进行粉尘收集，粉尘收集率按80%计。项目打磨设备运行时间为</w:t>
            </w:r>
            <w:r>
              <w:rPr>
                <w:rFonts w:hint="eastAsia"/>
                <w:color w:val="auto"/>
                <w:sz w:val="24"/>
                <w:szCs w:val="24"/>
                <w:highlight w:val="none"/>
                <w:lang w:val="en-US" w:eastAsia="zh-CN"/>
              </w:rPr>
              <w:t>21</w:t>
            </w:r>
            <w:r>
              <w:rPr>
                <w:rFonts w:hint="eastAsia" w:ascii="Times New Roman" w:eastAsia="宋体"/>
                <w:color w:val="auto"/>
                <w:sz w:val="24"/>
                <w:szCs w:val="24"/>
                <w:highlight w:val="none"/>
                <w:lang w:eastAsia="zh-CN"/>
              </w:rPr>
              <w:t>00h/a，参考《排放源统计调查产排污核算方法和系数手册》，项目打磨废气产生情况见下表。</w:t>
            </w:r>
          </w:p>
          <w:p w14:paraId="37F11A41">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22 </w:t>
            </w:r>
            <w:r>
              <w:rPr>
                <w:rFonts w:hint="eastAsia" w:ascii="Times New Roman" w:eastAsia="宋体"/>
                <w:b/>
                <w:bCs/>
                <w:color w:val="auto"/>
                <w:sz w:val="24"/>
                <w:szCs w:val="24"/>
                <w:highlight w:val="none"/>
                <w:lang w:eastAsia="zh-CN"/>
              </w:rPr>
              <w:t xml:space="preserve"> 压铸</w:t>
            </w:r>
            <w:r>
              <w:rPr>
                <w:rFonts w:hint="eastAsia" w:ascii="Times New Roman" w:eastAsia="宋体"/>
                <w:b/>
                <w:bCs/>
                <w:color w:val="auto"/>
                <w:sz w:val="24"/>
                <w:szCs w:val="24"/>
                <w:highlight w:val="none"/>
                <w:lang w:val="en-US" w:eastAsia="zh-CN"/>
              </w:rPr>
              <w:t>件抛光打磨</w:t>
            </w:r>
            <w:r>
              <w:rPr>
                <w:rFonts w:hint="eastAsia" w:ascii="Times New Roman" w:eastAsia="宋体"/>
                <w:b/>
                <w:bCs/>
                <w:color w:val="auto"/>
                <w:sz w:val="24"/>
                <w:szCs w:val="24"/>
                <w:highlight w:val="none"/>
                <w:lang w:eastAsia="zh-CN"/>
              </w:rPr>
              <w:t>废气产生情况一览表</w:t>
            </w:r>
          </w:p>
          <w:tbl>
            <w:tblPr>
              <w:tblStyle w:val="29"/>
              <w:tblW w:w="83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890"/>
              <w:gridCol w:w="675"/>
              <w:gridCol w:w="728"/>
              <w:gridCol w:w="718"/>
              <w:gridCol w:w="557"/>
              <w:gridCol w:w="600"/>
              <w:gridCol w:w="525"/>
              <w:gridCol w:w="493"/>
              <w:gridCol w:w="536"/>
              <w:gridCol w:w="589"/>
              <w:gridCol w:w="920"/>
            </w:tblGrid>
            <w:tr w14:paraId="4AA61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restart"/>
                  <w:tcBorders>
                    <w:tl2br w:val="nil"/>
                    <w:tr2bl w:val="nil"/>
                  </w:tcBorders>
                  <w:vAlign w:val="center"/>
                </w:tcPr>
                <w:p w14:paraId="124D02B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ascii="Times New Roman" w:hAnsi="Times New Roman"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890" w:type="dxa"/>
                  <w:vMerge w:val="restart"/>
                  <w:tcBorders>
                    <w:tl2br w:val="nil"/>
                    <w:tr2bl w:val="nil"/>
                  </w:tcBorders>
                  <w:vAlign w:val="center"/>
                </w:tcPr>
                <w:p w14:paraId="6E0843E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675" w:type="dxa"/>
                  <w:vMerge w:val="restart"/>
                  <w:tcBorders>
                    <w:tl2br w:val="nil"/>
                    <w:tr2bl w:val="nil"/>
                  </w:tcBorders>
                  <w:vAlign w:val="center"/>
                </w:tcPr>
                <w:p w14:paraId="24668B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728" w:type="dxa"/>
                  <w:vMerge w:val="restart"/>
                  <w:tcBorders>
                    <w:tl2br w:val="nil"/>
                    <w:tr2bl w:val="nil"/>
                  </w:tcBorders>
                  <w:vAlign w:val="center"/>
                </w:tcPr>
                <w:p w14:paraId="109D51E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718" w:type="dxa"/>
                  <w:vMerge w:val="restart"/>
                  <w:tcBorders>
                    <w:tl2br w:val="nil"/>
                    <w:tr2bl w:val="nil"/>
                  </w:tcBorders>
                  <w:vAlign w:val="center"/>
                </w:tcPr>
                <w:p w14:paraId="462BAE9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00" w:type="dxa"/>
                  <w:gridSpan w:val="6"/>
                  <w:tcBorders>
                    <w:tl2br w:val="nil"/>
                    <w:tr2bl w:val="nil"/>
                  </w:tcBorders>
                  <w:vAlign w:val="center"/>
                </w:tcPr>
                <w:p w14:paraId="64B4E7E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920" w:type="dxa"/>
                  <w:vMerge w:val="restart"/>
                  <w:tcBorders>
                    <w:tl2br w:val="nil"/>
                    <w:tr2bl w:val="nil"/>
                  </w:tcBorders>
                  <w:vAlign w:val="center"/>
                </w:tcPr>
                <w:p w14:paraId="7F441C2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252AEC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l2br w:val="nil"/>
                    <w:tr2bl w:val="nil"/>
                  </w:tcBorders>
                  <w:vAlign w:val="center"/>
                </w:tcPr>
                <w:p w14:paraId="029E258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20A1CF3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34103E6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54DE26F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14B3C63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57" w:type="dxa"/>
                  <w:gridSpan w:val="2"/>
                  <w:tcBorders>
                    <w:tl2br w:val="nil"/>
                    <w:tr2bl w:val="nil"/>
                  </w:tcBorders>
                  <w:vAlign w:val="center"/>
                </w:tcPr>
                <w:p w14:paraId="515F5A4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018" w:type="dxa"/>
                  <w:gridSpan w:val="2"/>
                  <w:tcBorders>
                    <w:tl2br w:val="nil"/>
                    <w:tr2bl w:val="nil"/>
                  </w:tcBorders>
                  <w:vAlign w:val="center"/>
                </w:tcPr>
                <w:p w14:paraId="79F4B83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125" w:type="dxa"/>
                  <w:gridSpan w:val="2"/>
                  <w:tcBorders>
                    <w:tl2br w:val="nil"/>
                    <w:tr2bl w:val="nil"/>
                  </w:tcBorders>
                  <w:vAlign w:val="center"/>
                </w:tcPr>
                <w:p w14:paraId="0B9FBE4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920" w:type="dxa"/>
                  <w:vMerge w:val="continue"/>
                  <w:tcBorders>
                    <w:tl2br w:val="nil"/>
                    <w:tr2bl w:val="nil"/>
                  </w:tcBorders>
                  <w:vAlign w:val="center"/>
                </w:tcPr>
                <w:p w14:paraId="102B59B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17CF66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vMerge w:val="continue"/>
                  <w:tcBorders>
                    <w:tl2br w:val="nil"/>
                    <w:tr2bl w:val="nil"/>
                  </w:tcBorders>
                  <w:vAlign w:val="center"/>
                </w:tcPr>
                <w:p w14:paraId="7DA4617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90" w:type="dxa"/>
                  <w:vMerge w:val="continue"/>
                  <w:tcBorders>
                    <w:tl2br w:val="nil"/>
                    <w:tr2bl w:val="nil"/>
                  </w:tcBorders>
                  <w:vAlign w:val="center"/>
                </w:tcPr>
                <w:p w14:paraId="79EAFC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5" w:type="dxa"/>
                  <w:vMerge w:val="continue"/>
                  <w:tcBorders>
                    <w:tl2br w:val="nil"/>
                    <w:tr2bl w:val="nil"/>
                  </w:tcBorders>
                  <w:vAlign w:val="center"/>
                </w:tcPr>
                <w:p w14:paraId="70FCD2F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8" w:type="dxa"/>
                  <w:vMerge w:val="continue"/>
                  <w:tcBorders>
                    <w:tl2br w:val="nil"/>
                    <w:tr2bl w:val="nil"/>
                  </w:tcBorders>
                  <w:vAlign w:val="center"/>
                </w:tcPr>
                <w:p w14:paraId="6A0DEE0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18" w:type="dxa"/>
                  <w:vMerge w:val="continue"/>
                  <w:tcBorders>
                    <w:tl2br w:val="nil"/>
                    <w:tr2bl w:val="nil"/>
                  </w:tcBorders>
                  <w:vAlign w:val="center"/>
                </w:tcPr>
                <w:p w14:paraId="1C2DF14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7" w:type="dxa"/>
                  <w:tcBorders>
                    <w:right w:val="single" w:color="auto" w:sz="4" w:space="0"/>
                    <w:tl2br w:val="nil"/>
                    <w:tr2bl w:val="nil"/>
                  </w:tcBorders>
                  <w:shd w:val="clear" w:color="auto" w:fill="auto"/>
                  <w:vAlign w:val="center"/>
                </w:tcPr>
                <w:p w14:paraId="39AB07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00" w:type="dxa"/>
                  <w:tcBorders>
                    <w:left w:val="single" w:color="auto" w:sz="4" w:space="0"/>
                    <w:tl2br w:val="nil"/>
                    <w:tr2bl w:val="nil"/>
                  </w:tcBorders>
                  <w:shd w:val="clear" w:color="auto" w:fill="auto"/>
                  <w:vAlign w:val="center"/>
                </w:tcPr>
                <w:p w14:paraId="36935B0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5" w:type="dxa"/>
                  <w:tcBorders>
                    <w:right w:val="single" w:color="auto" w:sz="4" w:space="0"/>
                    <w:tl2br w:val="nil"/>
                    <w:tr2bl w:val="nil"/>
                  </w:tcBorders>
                  <w:shd w:val="clear" w:color="auto" w:fill="auto"/>
                  <w:vAlign w:val="center"/>
                </w:tcPr>
                <w:p w14:paraId="189FD6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493" w:type="dxa"/>
                  <w:tcBorders>
                    <w:left w:val="single" w:color="auto" w:sz="4" w:space="0"/>
                    <w:tl2br w:val="nil"/>
                    <w:tr2bl w:val="nil"/>
                  </w:tcBorders>
                  <w:shd w:val="clear" w:color="auto" w:fill="auto"/>
                  <w:vAlign w:val="center"/>
                </w:tcPr>
                <w:p w14:paraId="5BA9F67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36" w:type="dxa"/>
                  <w:tcBorders>
                    <w:right w:val="single" w:color="auto" w:sz="4" w:space="0"/>
                    <w:tl2br w:val="nil"/>
                    <w:tr2bl w:val="nil"/>
                  </w:tcBorders>
                  <w:shd w:val="clear" w:color="auto" w:fill="auto"/>
                  <w:vAlign w:val="center"/>
                </w:tcPr>
                <w:p w14:paraId="3648661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589" w:type="dxa"/>
                  <w:tcBorders>
                    <w:left w:val="single" w:color="auto" w:sz="4" w:space="0"/>
                    <w:tl2br w:val="nil"/>
                    <w:tr2bl w:val="nil"/>
                  </w:tcBorders>
                  <w:shd w:val="clear" w:color="auto" w:fill="auto"/>
                  <w:vAlign w:val="center"/>
                </w:tcPr>
                <w:p w14:paraId="6EBF57D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920" w:type="dxa"/>
                  <w:vMerge w:val="continue"/>
                  <w:tcBorders>
                    <w:tl2br w:val="nil"/>
                    <w:tr2bl w:val="nil"/>
                  </w:tcBorders>
                  <w:vAlign w:val="center"/>
                </w:tcPr>
                <w:p w14:paraId="4983067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1F1D0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7" w:type="dxa"/>
                  <w:tcBorders>
                    <w:tl2br w:val="nil"/>
                    <w:tr2bl w:val="nil"/>
                  </w:tcBorders>
                  <w:vAlign w:val="center"/>
                </w:tcPr>
                <w:p w14:paraId="1C54B05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抛光打磨</w:t>
                  </w:r>
                </w:p>
              </w:tc>
              <w:tc>
                <w:tcPr>
                  <w:tcW w:w="890" w:type="dxa"/>
                  <w:tcBorders>
                    <w:tl2br w:val="nil"/>
                    <w:tr2bl w:val="nil"/>
                  </w:tcBorders>
                  <w:vAlign w:val="center"/>
                </w:tcPr>
                <w:p w14:paraId="222A703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ascii="Times New Roman" w:hAnsi="Times New Roman" w:cs="Times New Roman"/>
                      <w:color w:val="auto"/>
                      <w:spacing w:val="-1"/>
                      <w:sz w:val="18"/>
                      <w:szCs w:val="18"/>
                      <w:lang w:val="en-US" w:eastAsia="zh-CN"/>
                    </w:rPr>
                    <w:t>3150</w:t>
                  </w:r>
                </w:p>
              </w:tc>
              <w:tc>
                <w:tcPr>
                  <w:tcW w:w="675" w:type="dxa"/>
                  <w:tcBorders>
                    <w:tl2br w:val="nil"/>
                    <w:tr2bl w:val="nil"/>
                  </w:tcBorders>
                  <w:vAlign w:val="center"/>
                </w:tcPr>
                <w:p w14:paraId="307DD92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2100</w:t>
                  </w:r>
                </w:p>
              </w:tc>
              <w:tc>
                <w:tcPr>
                  <w:tcW w:w="728" w:type="dxa"/>
                  <w:tcBorders>
                    <w:tl2br w:val="nil"/>
                    <w:tr2bl w:val="nil"/>
                  </w:tcBorders>
                  <w:vAlign w:val="center"/>
                </w:tcPr>
                <w:p w14:paraId="54ADF1E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718" w:type="dxa"/>
                  <w:tcBorders>
                    <w:tl2br w:val="nil"/>
                    <w:tr2bl w:val="nil"/>
                  </w:tcBorders>
                  <w:vAlign w:val="center"/>
                </w:tcPr>
                <w:p w14:paraId="4341F39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2.19</w:t>
                  </w:r>
                </w:p>
              </w:tc>
              <w:tc>
                <w:tcPr>
                  <w:tcW w:w="557" w:type="dxa"/>
                  <w:tcBorders>
                    <w:right w:val="single" w:color="auto" w:sz="4" w:space="0"/>
                    <w:tl2br w:val="nil"/>
                    <w:tr2bl w:val="nil"/>
                  </w:tcBorders>
                  <w:vAlign w:val="center"/>
                </w:tcPr>
                <w:p w14:paraId="1A2A6B31">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6.899</w:t>
                  </w:r>
                </w:p>
              </w:tc>
              <w:tc>
                <w:tcPr>
                  <w:tcW w:w="600" w:type="dxa"/>
                  <w:tcBorders>
                    <w:left w:val="single" w:color="auto" w:sz="4" w:space="0"/>
                    <w:tl2br w:val="nil"/>
                    <w:tr2bl w:val="nil"/>
                  </w:tcBorders>
                  <w:vAlign w:val="center"/>
                </w:tcPr>
                <w:p w14:paraId="577433C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3.285</w:t>
                  </w:r>
                </w:p>
              </w:tc>
              <w:tc>
                <w:tcPr>
                  <w:tcW w:w="525" w:type="dxa"/>
                  <w:tcBorders>
                    <w:right w:val="single" w:color="auto" w:sz="4" w:space="0"/>
                    <w:tl2br w:val="nil"/>
                    <w:tr2bl w:val="nil"/>
                  </w:tcBorders>
                  <w:vAlign w:val="center"/>
                </w:tcPr>
                <w:p w14:paraId="461D2BCA">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1.380</w:t>
                  </w:r>
                </w:p>
              </w:tc>
              <w:tc>
                <w:tcPr>
                  <w:tcW w:w="493" w:type="dxa"/>
                  <w:tcBorders>
                    <w:left w:val="single" w:color="auto" w:sz="4" w:space="0"/>
                    <w:tl2br w:val="nil"/>
                    <w:tr2bl w:val="nil"/>
                  </w:tcBorders>
                  <w:vAlign w:val="center"/>
                </w:tcPr>
                <w:p w14:paraId="2D920A4F">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0.657</w:t>
                  </w:r>
                </w:p>
              </w:tc>
              <w:tc>
                <w:tcPr>
                  <w:tcW w:w="536" w:type="dxa"/>
                  <w:tcBorders>
                    <w:right w:val="single" w:color="auto" w:sz="4" w:space="0"/>
                    <w:tl2br w:val="nil"/>
                    <w:tr2bl w:val="nil"/>
                  </w:tcBorders>
                  <w:vAlign w:val="center"/>
                </w:tcPr>
                <w:p w14:paraId="16139A48">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6.899</w:t>
                  </w:r>
                </w:p>
              </w:tc>
              <w:tc>
                <w:tcPr>
                  <w:tcW w:w="589" w:type="dxa"/>
                  <w:tcBorders>
                    <w:left w:val="single" w:color="auto" w:sz="4" w:space="0"/>
                    <w:tl2br w:val="nil"/>
                    <w:tr2bl w:val="nil"/>
                  </w:tcBorders>
                  <w:vAlign w:val="center"/>
                </w:tcPr>
                <w:p w14:paraId="31139550">
                  <w:pPr>
                    <w:keepNext w:val="0"/>
                    <w:keepLines w:val="0"/>
                    <w:widowControl/>
                    <w:suppressLineNumbers w:val="0"/>
                    <w:jc w:val="center"/>
                    <w:textAlignment w:val="center"/>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3.285</w:t>
                  </w:r>
                </w:p>
              </w:tc>
              <w:tc>
                <w:tcPr>
                  <w:tcW w:w="920" w:type="dxa"/>
                  <w:tcBorders>
                    <w:tl2br w:val="nil"/>
                    <w:tr2bl w:val="nil"/>
                  </w:tcBorders>
                  <w:vAlign w:val="center"/>
                </w:tcPr>
                <w:p w14:paraId="081ED3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#厂房</w:t>
                  </w:r>
                </w:p>
              </w:tc>
            </w:tr>
          </w:tbl>
          <w:p w14:paraId="43962CB6">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w:t>
            </w:r>
            <w:r>
              <w:rPr>
                <w:rFonts w:hint="eastAsia" w:ascii="Times New Roman" w:eastAsia="宋体"/>
                <w:b/>
                <w:bCs/>
                <w:color w:val="auto"/>
                <w:sz w:val="24"/>
                <w:szCs w:val="24"/>
                <w:highlight w:val="none"/>
                <w:lang w:val="en-US" w:eastAsia="zh-CN"/>
              </w:rPr>
              <w:t>4</w:t>
            </w:r>
            <w:r>
              <w:rPr>
                <w:rFonts w:hint="eastAsia" w:ascii="Times New Roman" w:eastAsia="宋体"/>
                <w:b/>
                <w:bCs/>
                <w:color w:val="auto"/>
                <w:sz w:val="24"/>
                <w:szCs w:val="24"/>
                <w:highlight w:val="none"/>
                <w:lang w:eastAsia="zh-CN"/>
              </w:rPr>
              <w:t>）</w:t>
            </w:r>
            <w:r>
              <w:rPr>
                <w:rFonts w:hint="eastAsia" w:ascii="Times New Roman" w:eastAsia="宋体"/>
                <w:b/>
                <w:bCs/>
                <w:color w:val="auto"/>
                <w:sz w:val="24"/>
                <w:szCs w:val="24"/>
                <w:highlight w:val="none"/>
                <w:lang w:val="en-US" w:eastAsia="zh-CN"/>
              </w:rPr>
              <w:t>灭火器</w:t>
            </w:r>
            <w:r>
              <w:rPr>
                <w:rFonts w:hint="eastAsia" w:ascii="Times New Roman" w:eastAsia="宋体"/>
                <w:b/>
                <w:bCs/>
                <w:color w:val="auto"/>
                <w:sz w:val="24"/>
                <w:szCs w:val="24"/>
                <w:highlight w:val="none"/>
                <w:lang w:eastAsia="zh-CN"/>
              </w:rPr>
              <w:t>生产涉及的废气源强核算</w:t>
            </w:r>
          </w:p>
          <w:p w14:paraId="5B3EBA09">
            <w:pPr>
              <w:pStyle w:val="10"/>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①灭火器筒体</w:t>
            </w:r>
          </w:p>
          <w:p w14:paraId="2E1FC94E">
            <w:pPr>
              <w:pStyle w:val="10"/>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2" w:firstLineChars="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冷轧板切割</w:t>
            </w:r>
            <w:r>
              <w:rPr>
                <w:rFonts w:hint="eastAsia" w:ascii="Times New Roman" w:hAnsi="Times New Roman" w:eastAsia="宋体" w:cs="Times New Roman"/>
                <w:color w:val="auto"/>
                <w:sz w:val="24"/>
                <w:szCs w:val="24"/>
                <w:highlight w:val="none"/>
                <w:lang w:eastAsia="zh-CN"/>
              </w:rPr>
              <w:t>废气</w:t>
            </w:r>
          </w:p>
          <w:p w14:paraId="103016FB">
            <w:pPr>
              <w:pStyle w:val="10"/>
              <w:spacing w:line="360" w:lineRule="auto"/>
              <w:ind w:firstLine="480"/>
              <w:rPr>
                <w:rFonts w:hint="eastAsia" w:ascii="Times New Roman" w:eastAsia="宋体"/>
                <w:color w:val="auto"/>
                <w:sz w:val="24"/>
                <w:szCs w:val="24"/>
                <w:highlight w:val="none"/>
                <w:lang w:val="en-US" w:eastAsia="zh-CN"/>
              </w:rPr>
            </w:pPr>
            <w:r>
              <w:rPr>
                <w:rFonts w:hint="eastAsia"/>
                <w:b w:val="0"/>
                <w:bCs w:val="0"/>
                <w:color w:val="auto"/>
                <w:sz w:val="24"/>
                <w:szCs w:val="24"/>
                <w:highlight w:val="none"/>
                <w:lang w:val="en-US" w:eastAsia="zh-CN"/>
              </w:rPr>
              <w:t>灭火器生产过程冷轧板切割采用激光切割机，此过程产生切割烟尘。</w:t>
            </w:r>
            <w:r>
              <w:rPr>
                <w:rFonts w:hint="eastAsia" w:ascii="Times New Roman" w:eastAsia="宋体"/>
                <w:color w:val="auto"/>
                <w:sz w:val="24"/>
                <w:szCs w:val="24"/>
                <w:highlight w:val="none"/>
                <w:lang w:eastAsia="zh-CN"/>
              </w:rPr>
              <w:t>抛光工位设置</w:t>
            </w:r>
            <w:r>
              <w:rPr>
                <w:rFonts w:hint="eastAsia" w:ascii="Times New Roman" w:eastAsia="宋体"/>
                <w:color w:val="auto"/>
                <w:sz w:val="24"/>
                <w:szCs w:val="24"/>
                <w:highlight w:val="none"/>
                <w:lang w:val="en-US" w:eastAsia="zh-CN"/>
              </w:rPr>
              <w:t>移动式</w:t>
            </w:r>
            <w:r>
              <w:rPr>
                <w:rFonts w:hint="eastAsia" w:ascii="Times New Roman" w:eastAsia="宋体"/>
                <w:color w:val="auto"/>
                <w:sz w:val="24"/>
                <w:szCs w:val="24"/>
                <w:highlight w:val="none"/>
                <w:lang w:eastAsia="zh-CN"/>
              </w:rPr>
              <w:t>集气罩进行粉尘收集，粉尘收集率按80%计，</w:t>
            </w:r>
            <w:r>
              <w:rPr>
                <w:rFonts w:hint="eastAsia" w:ascii="Times New Roman" w:eastAsia="宋体"/>
                <w:color w:val="auto"/>
                <w:sz w:val="24"/>
                <w:szCs w:val="24"/>
                <w:highlight w:val="none"/>
                <w:lang w:val="en-US" w:eastAsia="zh-CN"/>
              </w:rPr>
              <w:t>收集粉尘采用移动烟尘净化器处理</w:t>
            </w:r>
            <w:r>
              <w:rPr>
                <w:rFonts w:hint="eastAsia" w:ascii="Times New Roman" w:eastAsia="宋体"/>
                <w:color w:val="auto"/>
                <w:sz w:val="24"/>
                <w:szCs w:val="24"/>
                <w:highlight w:val="none"/>
                <w:lang w:eastAsia="zh-CN"/>
              </w:rPr>
              <w:t>。项目打磨设备运行时间为7200h/a，参考《排放源统计调查产排污核算方法和系数手册》，</w:t>
            </w:r>
            <w:r>
              <w:rPr>
                <w:rFonts w:hint="eastAsia" w:ascii="Times New Roman" w:eastAsia="宋体"/>
                <w:color w:val="auto"/>
                <w:sz w:val="24"/>
                <w:szCs w:val="24"/>
                <w:highlight w:val="none"/>
                <w:lang w:val="en-US" w:eastAsia="zh-CN"/>
              </w:rPr>
              <w:t>激光切割烟尘源强参等离子切割</w:t>
            </w:r>
            <w:r>
              <w:rPr>
                <w:rFonts w:hint="eastAsia" w:ascii="Times New Roman" w:eastAsia="宋体"/>
                <w:color w:val="auto"/>
                <w:sz w:val="24"/>
                <w:szCs w:val="24"/>
                <w:highlight w:val="none"/>
                <w:lang w:eastAsia="zh-CN"/>
              </w:rPr>
              <w:t>工序废气的产污系数为：颗粒物</w:t>
            </w:r>
            <w:r>
              <w:rPr>
                <w:rFonts w:hint="eastAsia" w:ascii="Times New Roman" w:eastAsia="宋体"/>
                <w:color w:val="auto"/>
                <w:sz w:val="24"/>
                <w:szCs w:val="24"/>
                <w:highlight w:val="none"/>
                <w:lang w:val="en-US" w:eastAsia="zh-CN"/>
              </w:rPr>
              <w:t>1.10</w:t>
            </w:r>
            <w:r>
              <w:rPr>
                <w:rFonts w:hint="eastAsia" w:ascii="Times New Roman" w:eastAsia="宋体"/>
                <w:color w:val="auto"/>
                <w:sz w:val="24"/>
                <w:szCs w:val="24"/>
                <w:highlight w:val="none"/>
                <w:lang w:eastAsia="zh-CN"/>
              </w:rPr>
              <w:t>kg/t·产品。</w:t>
            </w:r>
            <w:r>
              <w:rPr>
                <w:rFonts w:hint="eastAsia"/>
                <w:color w:val="auto"/>
                <w:sz w:val="24"/>
                <w:szCs w:val="24"/>
                <w:highlight w:val="none"/>
                <w:lang w:val="en-US" w:eastAsia="zh-CN"/>
              </w:rPr>
              <w:t>切割</w:t>
            </w:r>
            <w:r>
              <w:rPr>
                <w:rFonts w:hint="eastAsia" w:ascii="Times New Roman" w:eastAsia="宋体"/>
                <w:color w:val="auto"/>
                <w:sz w:val="24"/>
                <w:szCs w:val="24"/>
                <w:highlight w:val="none"/>
                <w:lang w:val="en-US" w:eastAsia="zh-CN"/>
              </w:rPr>
              <w:t>工位配备移动式烟尘净化器，烟尘收集效率以80%，烟尘净化效率以95%计。</w:t>
            </w:r>
          </w:p>
          <w:p w14:paraId="47F400A2">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项目</w:t>
            </w:r>
            <w:r>
              <w:rPr>
                <w:rFonts w:hint="eastAsia" w:ascii="Times New Roman" w:eastAsia="宋体"/>
                <w:color w:val="auto"/>
                <w:sz w:val="24"/>
                <w:szCs w:val="24"/>
                <w:highlight w:val="none"/>
                <w:lang w:val="en-US" w:eastAsia="zh-CN"/>
              </w:rPr>
              <w:t>激光切割</w:t>
            </w:r>
            <w:r>
              <w:rPr>
                <w:rFonts w:hint="eastAsia" w:ascii="Times New Roman" w:eastAsia="宋体"/>
                <w:color w:val="auto"/>
                <w:sz w:val="24"/>
                <w:szCs w:val="24"/>
                <w:highlight w:val="none"/>
                <w:lang w:eastAsia="zh-CN"/>
              </w:rPr>
              <w:t>废气产生情况见下表。</w:t>
            </w:r>
          </w:p>
          <w:p w14:paraId="7BEF21F0">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 xml:space="preserve">23 </w:t>
            </w:r>
            <w:r>
              <w:rPr>
                <w:rFonts w:hint="eastAsia" w:ascii="Times New Roman" w:eastAsia="宋体"/>
                <w:b/>
                <w:bCs/>
                <w:color w:val="auto"/>
                <w:sz w:val="24"/>
                <w:szCs w:val="24"/>
                <w:highlight w:val="none"/>
                <w:lang w:eastAsia="zh-CN"/>
              </w:rPr>
              <w:t xml:space="preserve"> </w:t>
            </w:r>
            <w:r>
              <w:rPr>
                <w:rFonts w:hint="eastAsia" w:ascii="Times New Roman" w:eastAsia="宋体"/>
                <w:b/>
                <w:bCs/>
                <w:color w:val="auto"/>
                <w:sz w:val="24"/>
                <w:szCs w:val="24"/>
                <w:highlight w:val="none"/>
                <w:lang w:val="en-US" w:eastAsia="zh-CN"/>
              </w:rPr>
              <w:t>冷轧板激光切割</w:t>
            </w:r>
            <w:r>
              <w:rPr>
                <w:rFonts w:hint="eastAsia" w:ascii="Times New Roman" w:eastAsia="宋体"/>
                <w:b/>
                <w:bCs/>
                <w:color w:val="auto"/>
                <w:sz w:val="24"/>
                <w:szCs w:val="24"/>
                <w:highlight w:val="none"/>
                <w:lang w:eastAsia="zh-CN"/>
              </w:rPr>
              <w:t>废气产生情况一览表</w:t>
            </w:r>
          </w:p>
          <w:tbl>
            <w:tblPr>
              <w:tblStyle w:val="29"/>
              <w:tblW w:w="83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726"/>
              <w:gridCol w:w="704"/>
              <w:gridCol w:w="738"/>
              <w:gridCol w:w="843"/>
              <w:gridCol w:w="557"/>
              <w:gridCol w:w="600"/>
              <w:gridCol w:w="525"/>
              <w:gridCol w:w="493"/>
              <w:gridCol w:w="536"/>
              <w:gridCol w:w="589"/>
              <w:gridCol w:w="920"/>
            </w:tblGrid>
            <w:tr w14:paraId="4DB2AD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1127" w:type="dxa"/>
                  <w:vMerge w:val="restart"/>
                  <w:tcBorders>
                    <w:tl2br w:val="nil"/>
                    <w:tr2bl w:val="nil"/>
                  </w:tcBorders>
                  <w:vAlign w:val="center"/>
                </w:tcPr>
                <w:p w14:paraId="7DA33EE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ascii="Times New Roman" w:hAnsi="Times New Roman"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726" w:type="dxa"/>
                  <w:vMerge w:val="restart"/>
                  <w:tcBorders>
                    <w:tl2br w:val="nil"/>
                    <w:tr2bl w:val="nil"/>
                  </w:tcBorders>
                  <w:vAlign w:val="center"/>
                </w:tcPr>
                <w:p w14:paraId="60B68D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对应产能(t/a)</w:t>
                  </w:r>
                </w:p>
              </w:tc>
              <w:tc>
                <w:tcPr>
                  <w:tcW w:w="704" w:type="dxa"/>
                  <w:vMerge w:val="restart"/>
                  <w:tcBorders>
                    <w:tl2br w:val="nil"/>
                    <w:tr2bl w:val="nil"/>
                  </w:tcBorders>
                  <w:vAlign w:val="center"/>
                </w:tcPr>
                <w:p w14:paraId="0B544C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738" w:type="dxa"/>
                  <w:vMerge w:val="restart"/>
                  <w:tcBorders>
                    <w:tl2br w:val="nil"/>
                    <w:tr2bl w:val="nil"/>
                  </w:tcBorders>
                  <w:vAlign w:val="center"/>
                </w:tcPr>
                <w:p w14:paraId="02569AF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843" w:type="dxa"/>
                  <w:vMerge w:val="restart"/>
                  <w:tcBorders>
                    <w:tl2br w:val="nil"/>
                    <w:tr2bl w:val="nil"/>
                  </w:tcBorders>
                  <w:vAlign w:val="center"/>
                </w:tcPr>
                <w:p w14:paraId="03BFA00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00" w:type="dxa"/>
                  <w:gridSpan w:val="6"/>
                  <w:tcBorders>
                    <w:tl2br w:val="nil"/>
                    <w:tr2bl w:val="nil"/>
                  </w:tcBorders>
                  <w:vAlign w:val="center"/>
                </w:tcPr>
                <w:p w14:paraId="254716A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920" w:type="dxa"/>
                  <w:vMerge w:val="restart"/>
                  <w:tcBorders>
                    <w:tl2br w:val="nil"/>
                    <w:tr2bl w:val="nil"/>
                  </w:tcBorders>
                  <w:vAlign w:val="center"/>
                </w:tcPr>
                <w:p w14:paraId="53DD4E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7207BB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127" w:type="dxa"/>
                  <w:vMerge w:val="continue"/>
                  <w:tcBorders>
                    <w:tl2br w:val="nil"/>
                    <w:tr2bl w:val="nil"/>
                  </w:tcBorders>
                  <w:vAlign w:val="center"/>
                </w:tcPr>
                <w:p w14:paraId="3BA3E8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6" w:type="dxa"/>
                  <w:vMerge w:val="continue"/>
                  <w:tcBorders>
                    <w:tl2br w:val="nil"/>
                    <w:tr2bl w:val="nil"/>
                  </w:tcBorders>
                  <w:vAlign w:val="center"/>
                </w:tcPr>
                <w:p w14:paraId="488ED65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4" w:type="dxa"/>
                  <w:vMerge w:val="continue"/>
                  <w:tcBorders>
                    <w:tl2br w:val="nil"/>
                    <w:tr2bl w:val="nil"/>
                  </w:tcBorders>
                  <w:vAlign w:val="center"/>
                </w:tcPr>
                <w:p w14:paraId="19EBF13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38" w:type="dxa"/>
                  <w:vMerge w:val="continue"/>
                  <w:tcBorders>
                    <w:tl2br w:val="nil"/>
                    <w:tr2bl w:val="nil"/>
                  </w:tcBorders>
                  <w:vAlign w:val="center"/>
                </w:tcPr>
                <w:p w14:paraId="1F68D94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43" w:type="dxa"/>
                  <w:vMerge w:val="continue"/>
                  <w:tcBorders>
                    <w:tl2br w:val="nil"/>
                    <w:tr2bl w:val="nil"/>
                  </w:tcBorders>
                  <w:vAlign w:val="center"/>
                </w:tcPr>
                <w:p w14:paraId="4687899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57" w:type="dxa"/>
                  <w:gridSpan w:val="2"/>
                  <w:tcBorders>
                    <w:tl2br w:val="nil"/>
                    <w:tr2bl w:val="nil"/>
                  </w:tcBorders>
                  <w:vAlign w:val="center"/>
                </w:tcPr>
                <w:p w14:paraId="30E7F5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018" w:type="dxa"/>
                  <w:gridSpan w:val="2"/>
                  <w:tcBorders>
                    <w:tl2br w:val="nil"/>
                    <w:tr2bl w:val="nil"/>
                  </w:tcBorders>
                  <w:vAlign w:val="center"/>
                </w:tcPr>
                <w:p w14:paraId="3FF31DE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125" w:type="dxa"/>
                  <w:gridSpan w:val="2"/>
                  <w:tcBorders>
                    <w:tl2br w:val="nil"/>
                    <w:tr2bl w:val="nil"/>
                  </w:tcBorders>
                  <w:vAlign w:val="center"/>
                </w:tcPr>
                <w:p w14:paraId="233C477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920" w:type="dxa"/>
                  <w:vMerge w:val="continue"/>
                  <w:tcBorders>
                    <w:tl2br w:val="nil"/>
                    <w:tr2bl w:val="nil"/>
                  </w:tcBorders>
                  <w:vAlign w:val="center"/>
                </w:tcPr>
                <w:p w14:paraId="7D354FF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23A35C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1127" w:type="dxa"/>
                  <w:vMerge w:val="continue"/>
                  <w:tcBorders>
                    <w:tl2br w:val="nil"/>
                    <w:tr2bl w:val="nil"/>
                  </w:tcBorders>
                  <w:vAlign w:val="center"/>
                </w:tcPr>
                <w:p w14:paraId="28B8B0C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26" w:type="dxa"/>
                  <w:vMerge w:val="continue"/>
                  <w:tcBorders>
                    <w:tl2br w:val="nil"/>
                    <w:tr2bl w:val="nil"/>
                  </w:tcBorders>
                  <w:vAlign w:val="center"/>
                </w:tcPr>
                <w:p w14:paraId="3155A2E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04" w:type="dxa"/>
                  <w:vMerge w:val="continue"/>
                  <w:tcBorders>
                    <w:tl2br w:val="nil"/>
                    <w:tr2bl w:val="nil"/>
                  </w:tcBorders>
                  <w:vAlign w:val="center"/>
                </w:tcPr>
                <w:p w14:paraId="6AFC9CA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738" w:type="dxa"/>
                  <w:vMerge w:val="continue"/>
                  <w:tcBorders>
                    <w:tl2br w:val="nil"/>
                    <w:tr2bl w:val="nil"/>
                  </w:tcBorders>
                  <w:vAlign w:val="center"/>
                </w:tcPr>
                <w:p w14:paraId="78C9B4F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43" w:type="dxa"/>
                  <w:vMerge w:val="continue"/>
                  <w:tcBorders>
                    <w:tl2br w:val="nil"/>
                    <w:tr2bl w:val="nil"/>
                  </w:tcBorders>
                  <w:vAlign w:val="center"/>
                </w:tcPr>
                <w:p w14:paraId="0CE7ED0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57" w:type="dxa"/>
                  <w:tcBorders>
                    <w:right w:val="single" w:color="auto" w:sz="4" w:space="0"/>
                    <w:tl2br w:val="nil"/>
                    <w:tr2bl w:val="nil"/>
                  </w:tcBorders>
                  <w:shd w:val="clear" w:color="auto" w:fill="auto"/>
                  <w:vAlign w:val="center"/>
                </w:tcPr>
                <w:p w14:paraId="3DD2138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600" w:type="dxa"/>
                  <w:tcBorders>
                    <w:left w:val="single" w:color="auto" w:sz="4" w:space="0"/>
                    <w:tl2br w:val="nil"/>
                    <w:tr2bl w:val="nil"/>
                  </w:tcBorders>
                  <w:shd w:val="clear" w:color="auto" w:fill="auto"/>
                  <w:vAlign w:val="center"/>
                </w:tcPr>
                <w:p w14:paraId="232C003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25" w:type="dxa"/>
                  <w:tcBorders>
                    <w:right w:val="single" w:color="auto" w:sz="4" w:space="0"/>
                    <w:tl2br w:val="nil"/>
                    <w:tr2bl w:val="nil"/>
                  </w:tcBorders>
                  <w:shd w:val="clear" w:color="auto" w:fill="auto"/>
                  <w:vAlign w:val="center"/>
                </w:tcPr>
                <w:p w14:paraId="7AA0CD7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493" w:type="dxa"/>
                  <w:tcBorders>
                    <w:left w:val="single" w:color="auto" w:sz="4" w:space="0"/>
                    <w:tl2br w:val="nil"/>
                    <w:tr2bl w:val="nil"/>
                  </w:tcBorders>
                  <w:shd w:val="clear" w:color="auto" w:fill="auto"/>
                  <w:vAlign w:val="center"/>
                </w:tcPr>
                <w:p w14:paraId="5C9D58D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536" w:type="dxa"/>
                  <w:tcBorders>
                    <w:right w:val="single" w:color="auto" w:sz="4" w:space="0"/>
                    <w:tl2br w:val="nil"/>
                    <w:tr2bl w:val="nil"/>
                  </w:tcBorders>
                  <w:shd w:val="clear" w:color="auto" w:fill="auto"/>
                  <w:vAlign w:val="center"/>
                </w:tcPr>
                <w:p w14:paraId="560AD8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t/a</w:t>
                  </w:r>
                </w:p>
              </w:tc>
              <w:tc>
                <w:tcPr>
                  <w:tcW w:w="589" w:type="dxa"/>
                  <w:tcBorders>
                    <w:left w:val="single" w:color="auto" w:sz="4" w:space="0"/>
                    <w:tl2br w:val="nil"/>
                    <w:tr2bl w:val="nil"/>
                  </w:tcBorders>
                  <w:shd w:val="clear" w:color="auto" w:fill="auto"/>
                  <w:vAlign w:val="center"/>
                </w:tcPr>
                <w:p w14:paraId="2971DB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lang w:val="en-US" w:eastAsia="zh-CN" w:bidi="ar-SA"/>
                    </w:rPr>
                  </w:pPr>
                  <w:r>
                    <w:rPr>
                      <w:rFonts w:hint="default" w:ascii="Times New Roman" w:hAnsi="Times New Roman" w:cs="Times New Roman"/>
                      <w:b/>
                      <w:bCs/>
                      <w:color w:val="auto"/>
                      <w:sz w:val="18"/>
                      <w:szCs w:val="18"/>
                      <w:lang w:val="en-US" w:eastAsia="zh-CN"/>
                    </w:rPr>
                    <w:t>kg/h</w:t>
                  </w:r>
                </w:p>
              </w:tc>
              <w:tc>
                <w:tcPr>
                  <w:tcW w:w="920" w:type="dxa"/>
                  <w:vMerge w:val="continue"/>
                  <w:tcBorders>
                    <w:tl2br w:val="nil"/>
                    <w:tr2bl w:val="nil"/>
                  </w:tcBorders>
                  <w:vAlign w:val="center"/>
                </w:tcPr>
                <w:p w14:paraId="47567EE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07D40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127" w:type="dxa"/>
                  <w:tcBorders>
                    <w:tl2br w:val="nil"/>
                    <w:tr2bl w:val="nil"/>
                  </w:tcBorders>
                  <w:vAlign w:val="center"/>
                </w:tcPr>
                <w:p w14:paraId="1C90FF9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激光切割</w:t>
                  </w:r>
                </w:p>
              </w:tc>
              <w:tc>
                <w:tcPr>
                  <w:tcW w:w="726" w:type="dxa"/>
                  <w:tcBorders>
                    <w:tl2br w:val="nil"/>
                    <w:tr2bl w:val="nil"/>
                  </w:tcBorders>
                  <w:vAlign w:val="center"/>
                </w:tcPr>
                <w:p w14:paraId="2E699E7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ascii="Times New Roman" w:hAnsi="Times New Roman" w:cs="Times New Roman"/>
                      <w:color w:val="auto"/>
                      <w:spacing w:val="-1"/>
                      <w:sz w:val="18"/>
                      <w:szCs w:val="18"/>
                      <w:lang w:val="en-US" w:eastAsia="zh-CN"/>
                    </w:rPr>
                    <w:t>3000</w:t>
                  </w:r>
                </w:p>
              </w:tc>
              <w:tc>
                <w:tcPr>
                  <w:tcW w:w="704" w:type="dxa"/>
                  <w:tcBorders>
                    <w:tl2br w:val="nil"/>
                    <w:tr2bl w:val="nil"/>
                  </w:tcBorders>
                  <w:vAlign w:val="center"/>
                </w:tcPr>
                <w:p w14:paraId="7D08EFE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7200</w:t>
                  </w:r>
                </w:p>
              </w:tc>
              <w:tc>
                <w:tcPr>
                  <w:tcW w:w="738" w:type="dxa"/>
                  <w:tcBorders>
                    <w:tl2br w:val="nil"/>
                    <w:tr2bl w:val="nil"/>
                  </w:tcBorders>
                  <w:vAlign w:val="center"/>
                </w:tcPr>
                <w:p w14:paraId="2650853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颗粒物</w:t>
                  </w:r>
                </w:p>
              </w:tc>
              <w:tc>
                <w:tcPr>
                  <w:tcW w:w="843" w:type="dxa"/>
                  <w:tcBorders>
                    <w:tl2br w:val="nil"/>
                    <w:tr2bl w:val="nil"/>
                  </w:tcBorders>
                  <w:vAlign w:val="center"/>
                </w:tcPr>
                <w:p w14:paraId="71D73C6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1.10</w:t>
                  </w:r>
                </w:p>
              </w:tc>
              <w:tc>
                <w:tcPr>
                  <w:tcW w:w="557" w:type="dxa"/>
                  <w:tcBorders>
                    <w:right w:val="single" w:color="auto" w:sz="4" w:space="0"/>
                    <w:tl2br w:val="nil"/>
                    <w:tr2bl w:val="nil"/>
                  </w:tcBorders>
                  <w:vAlign w:val="center"/>
                </w:tcPr>
                <w:p w14:paraId="0062FAB0">
                  <w:pPr>
                    <w:keepNext w:val="0"/>
                    <w:keepLines w:val="0"/>
                    <w:pageBreakBefore w:val="0"/>
                    <w:widowControl/>
                    <w:suppressLineNumbers w:val="0"/>
                    <w:kinsoku/>
                    <w:wordWrap/>
                    <w:overflowPunct/>
                    <w:topLinePunct w:val="0"/>
                    <w:bidi w:val="0"/>
                    <w:adjustRightInd/>
                    <w:snapToGrid/>
                    <w:spacing w:line="0" w:lineRule="atLeast"/>
                    <w:jc w:val="center"/>
                    <w:textAlignment w:val="auto"/>
                    <w:rPr>
                      <w:rFonts w:hint="default" w:ascii="Times New Roman" w:hAnsi="Times New Roman" w:eastAsia="宋体" w:cs="Times New Roman"/>
                      <w:color w:val="auto"/>
                      <w:spacing w:val="-1"/>
                      <w:sz w:val="18"/>
                      <w:szCs w:val="18"/>
                      <w:lang w:val="en-US"/>
                    </w:rPr>
                  </w:pPr>
                  <w:r>
                    <w:rPr>
                      <w:rFonts w:hint="eastAsia" w:ascii="Times New Roman" w:hAnsi="Times New Roman" w:eastAsia="宋体" w:cs="Times New Roman"/>
                      <w:i w:val="0"/>
                      <w:iCs w:val="0"/>
                      <w:color w:val="auto"/>
                      <w:kern w:val="0"/>
                      <w:sz w:val="18"/>
                      <w:szCs w:val="18"/>
                      <w:u w:val="none"/>
                      <w:lang w:val="en-US" w:eastAsia="zh-CN" w:bidi="ar"/>
                    </w:rPr>
                    <w:t>/</w:t>
                  </w:r>
                </w:p>
              </w:tc>
              <w:tc>
                <w:tcPr>
                  <w:tcW w:w="600" w:type="dxa"/>
                  <w:tcBorders>
                    <w:left w:val="single" w:color="auto" w:sz="4" w:space="0"/>
                    <w:tl2br w:val="nil"/>
                    <w:tr2bl w:val="nil"/>
                  </w:tcBorders>
                  <w:vAlign w:val="center"/>
                </w:tcPr>
                <w:p w14:paraId="4FD84E6A">
                  <w:pPr>
                    <w:keepNext w:val="0"/>
                    <w:keepLines w:val="0"/>
                    <w:pageBreakBefore w:val="0"/>
                    <w:widowControl/>
                    <w:suppressLineNumbers w:val="0"/>
                    <w:kinsoku/>
                    <w:wordWrap/>
                    <w:overflowPunct/>
                    <w:topLinePunct w:val="0"/>
                    <w:bidi w:val="0"/>
                    <w:adjustRightInd/>
                    <w:snapToGrid/>
                    <w:spacing w:line="0" w:lineRule="atLeast"/>
                    <w:jc w:val="center"/>
                    <w:textAlignment w:val="auto"/>
                    <w:rPr>
                      <w:rFonts w:hint="eastAsia"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w:t>
                  </w:r>
                </w:p>
              </w:tc>
              <w:tc>
                <w:tcPr>
                  <w:tcW w:w="525" w:type="dxa"/>
                  <w:tcBorders>
                    <w:right w:val="single" w:color="auto" w:sz="4" w:space="0"/>
                    <w:tl2br w:val="nil"/>
                    <w:tr2bl w:val="nil"/>
                  </w:tcBorders>
                  <w:vAlign w:val="center"/>
                </w:tcPr>
                <w:p w14:paraId="1FBA384B">
                  <w:pPr>
                    <w:keepNext w:val="0"/>
                    <w:keepLines w:val="0"/>
                    <w:pageBreakBefore w:val="0"/>
                    <w:widowControl/>
                    <w:suppressLineNumbers w:val="0"/>
                    <w:kinsoku/>
                    <w:wordWrap/>
                    <w:overflowPunct/>
                    <w:topLinePunct w:val="0"/>
                    <w:bidi w:val="0"/>
                    <w:adjustRightInd/>
                    <w:snapToGrid/>
                    <w:spacing w:line="0" w:lineRule="atLeast"/>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0.792</w:t>
                  </w:r>
                </w:p>
              </w:tc>
              <w:tc>
                <w:tcPr>
                  <w:tcW w:w="493" w:type="dxa"/>
                  <w:tcBorders>
                    <w:left w:val="single" w:color="auto" w:sz="4" w:space="0"/>
                    <w:tl2br w:val="nil"/>
                    <w:tr2bl w:val="nil"/>
                  </w:tcBorders>
                  <w:vAlign w:val="center"/>
                </w:tcPr>
                <w:p w14:paraId="4544197C">
                  <w:pPr>
                    <w:keepNext w:val="0"/>
                    <w:keepLines w:val="0"/>
                    <w:pageBreakBefore w:val="0"/>
                    <w:widowControl/>
                    <w:suppressLineNumbers w:val="0"/>
                    <w:kinsoku/>
                    <w:wordWrap/>
                    <w:overflowPunct/>
                    <w:topLinePunct w:val="0"/>
                    <w:bidi w:val="0"/>
                    <w:adjustRightInd/>
                    <w:snapToGrid/>
                    <w:spacing w:line="0" w:lineRule="atLeast"/>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0.110</w:t>
                  </w:r>
                </w:p>
              </w:tc>
              <w:tc>
                <w:tcPr>
                  <w:tcW w:w="536" w:type="dxa"/>
                  <w:tcBorders>
                    <w:right w:val="single" w:color="auto" w:sz="4" w:space="0"/>
                    <w:tl2br w:val="nil"/>
                    <w:tr2bl w:val="nil"/>
                  </w:tcBorders>
                  <w:vAlign w:val="center"/>
                </w:tcPr>
                <w:p w14:paraId="5F1450B0">
                  <w:pPr>
                    <w:keepNext w:val="0"/>
                    <w:keepLines w:val="0"/>
                    <w:pageBreakBefore w:val="0"/>
                    <w:widowControl/>
                    <w:suppressLineNumbers w:val="0"/>
                    <w:kinsoku/>
                    <w:wordWrap/>
                    <w:overflowPunct/>
                    <w:topLinePunct w:val="0"/>
                    <w:bidi w:val="0"/>
                    <w:adjustRightInd/>
                    <w:snapToGrid/>
                    <w:spacing w:line="0" w:lineRule="atLeast"/>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589" w:type="dxa"/>
                  <w:tcBorders>
                    <w:left w:val="single" w:color="auto" w:sz="4" w:space="0"/>
                    <w:tl2br w:val="nil"/>
                    <w:tr2bl w:val="nil"/>
                  </w:tcBorders>
                  <w:vAlign w:val="center"/>
                </w:tcPr>
                <w:p w14:paraId="5FE4B9BB">
                  <w:pPr>
                    <w:keepNext w:val="0"/>
                    <w:keepLines w:val="0"/>
                    <w:pageBreakBefore w:val="0"/>
                    <w:widowControl/>
                    <w:suppressLineNumbers w:val="0"/>
                    <w:kinsoku/>
                    <w:wordWrap/>
                    <w:overflowPunct/>
                    <w:topLinePunct w:val="0"/>
                    <w:bidi w:val="0"/>
                    <w:adjustRightInd/>
                    <w:snapToGrid/>
                    <w:spacing w:line="0" w:lineRule="atLeast"/>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i w:val="0"/>
                      <w:iCs w:val="0"/>
                      <w:color w:val="auto"/>
                      <w:kern w:val="0"/>
                      <w:sz w:val="18"/>
                      <w:szCs w:val="18"/>
                      <w:u w:val="none"/>
                      <w:lang w:val="en-US" w:eastAsia="zh-CN" w:bidi="ar"/>
                    </w:rPr>
                    <w:t>0.458</w:t>
                  </w:r>
                </w:p>
              </w:tc>
              <w:tc>
                <w:tcPr>
                  <w:tcW w:w="920" w:type="dxa"/>
                  <w:tcBorders>
                    <w:tl2br w:val="nil"/>
                    <w:tr2bl w:val="nil"/>
                  </w:tcBorders>
                  <w:vAlign w:val="center"/>
                </w:tcPr>
                <w:p w14:paraId="7D6E92B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r>
                    <w:rPr>
                      <w:rFonts w:hint="eastAsia" w:ascii="Times New Roman" w:hAnsi="Times New Roman" w:cs="Times New Roman"/>
                      <w:color w:val="auto"/>
                      <w:spacing w:val="-1"/>
                      <w:sz w:val="18"/>
                      <w:szCs w:val="18"/>
                      <w:lang w:val="en-US" w:eastAsia="zh-CN"/>
                    </w:rPr>
                    <w:t>3</w:t>
                  </w:r>
                  <w:r>
                    <w:rPr>
                      <w:rFonts w:hint="default" w:ascii="Times New Roman" w:hAnsi="Times New Roman" w:eastAsia="宋体" w:cs="Times New Roman"/>
                      <w:color w:val="auto"/>
                      <w:spacing w:val="-1"/>
                      <w:sz w:val="18"/>
                      <w:szCs w:val="18"/>
                    </w:rPr>
                    <w:t>#厂房</w:t>
                  </w:r>
                </w:p>
              </w:tc>
            </w:tr>
          </w:tbl>
          <w:p w14:paraId="53DB1C38">
            <w:pPr>
              <w:pStyle w:val="10"/>
              <w:keepNext w:val="0"/>
              <w:keepLines w:val="0"/>
              <w:pageBreakBefore w:val="0"/>
              <w:widowControl w:val="0"/>
              <w:numPr>
                <w:ilvl w:val="0"/>
                <w:numId w:val="11"/>
              </w:numPr>
              <w:kinsoku/>
              <w:wordWrap/>
              <w:overflowPunct/>
              <w:topLinePunct w:val="0"/>
              <w:autoSpaceDE/>
              <w:autoSpaceDN/>
              <w:bidi w:val="0"/>
              <w:adjustRightInd/>
              <w:snapToGrid/>
              <w:spacing w:before="157" w:beforeLines="50" w:line="360" w:lineRule="auto"/>
              <w:ind w:left="0" w:leftChars="0" w:firstLine="482" w:firstLineChars="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焊接废气</w:t>
            </w:r>
          </w:p>
          <w:p w14:paraId="4E9EA7E6">
            <w:pPr>
              <w:pStyle w:val="10"/>
              <w:spacing w:line="360" w:lineRule="auto"/>
              <w:ind w:firstLine="480"/>
              <w:rPr>
                <w:rFonts w:hint="eastAsia" w:ascii="Times New Roman" w:eastAsia="宋体"/>
                <w:color w:val="auto"/>
                <w:sz w:val="24"/>
                <w:szCs w:val="24"/>
                <w:highlight w:val="none"/>
                <w:lang w:val="en-US" w:eastAsia="zh-CN"/>
              </w:rPr>
            </w:pPr>
            <w:r>
              <w:rPr>
                <w:rFonts w:hint="eastAsia"/>
                <w:color w:val="auto"/>
                <w:sz w:val="24"/>
                <w:szCs w:val="24"/>
                <w:highlight w:val="none"/>
                <w:lang w:val="en-US" w:eastAsia="zh-CN"/>
              </w:rPr>
              <w:t>本项目灭火器筒体封口焊接、上下封口焊接</w:t>
            </w:r>
            <w:r>
              <w:rPr>
                <w:rFonts w:hint="eastAsia" w:ascii="Times New Roman" w:eastAsia="宋体"/>
                <w:color w:val="auto"/>
                <w:sz w:val="24"/>
                <w:szCs w:val="24"/>
                <w:highlight w:val="none"/>
                <w:lang w:val="en-US" w:eastAsia="zh-CN"/>
              </w:rPr>
              <w:t>过程</w:t>
            </w:r>
            <w:r>
              <w:rPr>
                <w:rFonts w:hint="eastAsia"/>
                <w:color w:val="auto"/>
                <w:sz w:val="24"/>
                <w:szCs w:val="24"/>
                <w:highlight w:val="none"/>
                <w:lang w:val="en-US" w:eastAsia="zh-CN"/>
              </w:rPr>
              <w:t>产生焊接烟尘</w:t>
            </w:r>
            <w:r>
              <w:rPr>
                <w:rFonts w:hint="eastAsia" w:ascii="Times New Roman" w:eastAsia="宋体"/>
                <w:color w:val="auto"/>
                <w:sz w:val="24"/>
                <w:szCs w:val="24"/>
                <w:highlight w:val="none"/>
                <w:lang w:eastAsia="zh-CN"/>
              </w:rPr>
              <w:t>。项目</w:t>
            </w:r>
            <w:r>
              <w:rPr>
                <w:rFonts w:hint="eastAsia" w:ascii="Times New Roman" w:eastAsia="宋体"/>
                <w:color w:val="auto"/>
                <w:sz w:val="24"/>
                <w:szCs w:val="24"/>
                <w:highlight w:val="none"/>
                <w:lang w:val="en-US" w:eastAsia="zh-CN"/>
              </w:rPr>
              <w:t>焊接</w:t>
            </w:r>
            <w:r>
              <w:rPr>
                <w:rFonts w:hint="eastAsia" w:ascii="Times New Roman" w:eastAsia="宋体"/>
                <w:color w:val="auto"/>
                <w:sz w:val="24"/>
                <w:szCs w:val="24"/>
                <w:highlight w:val="none"/>
                <w:lang w:eastAsia="zh-CN"/>
              </w:rPr>
              <w:t>设备运行时间为</w:t>
            </w:r>
            <w:r>
              <w:rPr>
                <w:rFonts w:hint="eastAsia"/>
                <w:color w:val="auto"/>
                <w:sz w:val="24"/>
                <w:szCs w:val="24"/>
                <w:highlight w:val="none"/>
                <w:lang w:val="en-US" w:eastAsia="zh-CN"/>
              </w:rPr>
              <w:t>72</w:t>
            </w:r>
            <w:r>
              <w:rPr>
                <w:rFonts w:hint="eastAsia" w:ascii="Times New Roman" w:eastAsia="宋体"/>
                <w:color w:val="auto"/>
                <w:sz w:val="24"/>
                <w:szCs w:val="24"/>
                <w:highlight w:val="none"/>
                <w:lang w:val="en-US" w:eastAsia="zh-CN"/>
              </w:rPr>
              <w:t>0</w:t>
            </w:r>
            <w:r>
              <w:rPr>
                <w:rFonts w:hint="eastAsia" w:ascii="Times New Roman" w:eastAsia="宋体"/>
                <w:color w:val="auto"/>
                <w:sz w:val="24"/>
                <w:szCs w:val="24"/>
                <w:highlight w:val="none"/>
                <w:lang w:eastAsia="zh-CN"/>
              </w:rPr>
              <w:t>0h/a，参考《排放源统计调查产排污核算方法和系数手册》，项目</w:t>
            </w:r>
            <w:r>
              <w:rPr>
                <w:rFonts w:hint="eastAsia" w:ascii="Times New Roman" w:eastAsia="宋体"/>
                <w:color w:val="auto"/>
                <w:sz w:val="24"/>
                <w:szCs w:val="24"/>
                <w:highlight w:val="none"/>
                <w:lang w:val="en-US" w:eastAsia="zh-CN"/>
              </w:rPr>
              <w:t>焊接烟尘</w:t>
            </w:r>
            <w:r>
              <w:rPr>
                <w:rFonts w:hint="eastAsia" w:ascii="Times New Roman" w:eastAsia="宋体"/>
                <w:color w:val="auto"/>
                <w:sz w:val="24"/>
                <w:szCs w:val="24"/>
                <w:highlight w:val="none"/>
                <w:lang w:eastAsia="zh-CN"/>
              </w:rPr>
              <w:t>产生情况见下表。</w:t>
            </w:r>
            <w:r>
              <w:rPr>
                <w:rFonts w:hint="eastAsia" w:ascii="Times New Roman" w:eastAsia="宋体"/>
                <w:color w:val="auto"/>
                <w:sz w:val="24"/>
                <w:szCs w:val="24"/>
                <w:highlight w:val="none"/>
                <w:lang w:val="en-US" w:eastAsia="zh-CN"/>
              </w:rPr>
              <w:t>焊接工位配备移动式烟尘净化器，烟尘收集效率以80%，烟尘净化效率以95%计。</w:t>
            </w:r>
          </w:p>
          <w:p w14:paraId="2F787AEB">
            <w:pPr>
              <w:pStyle w:val="10"/>
              <w:spacing w:line="360" w:lineRule="auto"/>
              <w:ind w:firstLine="480"/>
              <w:rPr>
                <w:rFonts w:hint="eastAsia" w:ascii="Times New Roman" w:eastAsia="宋体"/>
                <w:color w:val="auto"/>
                <w:sz w:val="24"/>
                <w:szCs w:val="24"/>
                <w:highlight w:val="none"/>
                <w:lang w:val="en-US" w:eastAsia="zh-CN"/>
              </w:rPr>
            </w:pPr>
          </w:p>
          <w:p w14:paraId="5E899D7D">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24</w:t>
            </w:r>
            <w:r>
              <w:rPr>
                <w:rFonts w:hint="eastAsia" w:ascii="Times New Roman" w:eastAsia="宋体"/>
                <w:b/>
                <w:bCs/>
                <w:color w:val="auto"/>
                <w:sz w:val="24"/>
                <w:szCs w:val="24"/>
                <w:highlight w:val="none"/>
                <w:lang w:eastAsia="zh-CN"/>
              </w:rPr>
              <w:t xml:space="preserve"> </w:t>
            </w:r>
            <w:r>
              <w:rPr>
                <w:rFonts w:hint="eastAsia"/>
                <w:b/>
                <w:bCs/>
                <w:color w:val="auto"/>
                <w:sz w:val="24"/>
                <w:szCs w:val="24"/>
                <w:highlight w:val="none"/>
                <w:lang w:val="en-US" w:eastAsia="zh-CN"/>
              </w:rPr>
              <w:t xml:space="preserve"> 焊接烟尘</w:t>
            </w:r>
            <w:r>
              <w:rPr>
                <w:rFonts w:hint="eastAsia" w:ascii="Times New Roman" w:eastAsia="宋体"/>
                <w:b/>
                <w:bCs/>
                <w:color w:val="auto"/>
                <w:sz w:val="24"/>
                <w:szCs w:val="24"/>
                <w:highlight w:val="none"/>
                <w:lang w:eastAsia="zh-CN"/>
              </w:rPr>
              <w:t>产生情况一览表</w:t>
            </w:r>
          </w:p>
          <w:tbl>
            <w:tblPr>
              <w:tblStyle w:val="29"/>
              <w:tblW w:w="86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6"/>
              <w:gridCol w:w="663"/>
              <w:gridCol w:w="679"/>
              <w:gridCol w:w="633"/>
              <w:gridCol w:w="951"/>
              <w:gridCol w:w="865"/>
              <w:gridCol w:w="589"/>
              <w:gridCol w:w="609"/>
              <w:gridCol w:w="579"/>
              <w:gridCol w:w="525"/>
              <w:gridCol w:w="557"/>
              <w:gridCol w:w="514"/>
              <w:gridCol w:w="434"/>
            </w:tblGrid>
            <w:tr w14:paraId="43CF7A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6" w:type="dxa"/>
                  <w:vMerge w:val="restart"/>
                  <w:tcBorders>
                    <w:tl2br w:val="nil"/>
                    <w:tr2bl w:val="nil"/>
                  </w:tcBorders>
                  <w:vAlign w:val="center"/>
                </w:tcPr>
                <w:p w14:paraId="61987CA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eastAsia" w:cs="Times New Roman"/>
                      <w:b/>
                      <w:bCs/>
                      <w:color w:val="auto"/>
                      <w:spacing w:val="-1"/>
                      <w:sz w:val="18"/>
                      <w:szCs w:val="18"/>
                      <w:lang w:val="en-US" w:eastAsia="zh-CN"/>
                    </w:rPr>
                    <w:t>生产</w:t>
                  </w:r>
                  <w:r>
                    <w:rPr>
                      <w:rFonts w:hint="default" w:ascii="Times New Roman" w:hAnsi="Times New Roman" w:eastAsia="宋体" w:cs="Times New Roman"/>
                      <w:b/>
                      <w:bCs/>
                      <w:color w:val="auto"/>
                      <w:spacing w:val="-1"/>
                      <w:sz w:val="18"/>
                      <w:szCs w:val="18"/>
                    </w:rPr>
                    <w:t>工艺</w:t>
                  </w:r>
                </w:p>
              </w:tc>
              <w:tc>
                <w:tcPr>
                  <w:tcW w:w="663" w:type="dxa"/>
                  <w:vMerge w:val="restart"/>
                  <w:tcBorders>
                    <w:tl2br w:val="nil"/>
                    <w:tr2bl w:val="nil"/>
                  </w:tcBorders>
                  <w:vAlign w:val="center"/>
                </w:tcPr>
                <w:p w14:paraId="5BFAA20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产品</w:t>
                  </w:r>
                </w:p>
              </w:tc>
              <w:tc>
                <w:tcPr>
                  <w:tcW w:w="679" w:type="dxa"/>
                  <w:vMerge w:val="restart"/>
                  <w:tcBorders>
                    <w:tl2br w:val="nil"/>
                    <w:tr2bl w:val="nil"/>
                  </w:tcBorders>
                  <w:vAlign w:val="center"/>
                </w:tcPr>
                <w:p w14:paraId="714007A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对应</w:t>
                  </w:r>
                  <w:r>
                    <w:rPr>
                      <w:rFonts w:hint="eastAsia" w:ascii="Times New Roman" w:hAnsi="Times New Roman" w:eastAsia="宋体" w:cs="Times New Roman"/>
                      <w:b/>
                      <w:bCs/>
                      <w:color w:val="auto"/>
                      <w:spacing w:val="-1"/>
                      <w:sz w:val="18"/>
                      <w:szCs w:val="18"/>
                      <w:lang w:val="en-US" w:eastAsia="zh-CN"/>
                    </w:rPr>
                    <w:t>焊材用量</w:t>
                  </w:r>
                  <w:r>
                    <w:rPr>
                      <w:rFonts w:hint="default" w:ascii="Times New Roman" w:hAnsi="Times New Roman" w:eastAsia="宋体" w:cs="Times New Roman"/>
                      <w:b/>
                      <w:bCs/>
                      <w:color w:val="auto"/>
                      <w:spacing w:val="-1"/>
                      <w:sz w:val="18"/>
                      <w:szCs w:val="18"/>
                    </w:rPr>
                    <w:t>（t/a）</w:t>
                  </w:r>
                </w:p>
              </w:tc>
              <w:tc>
                <w:tcPr>
                  <w:tcW w:w="633" w:type="dxa"/>
                  <w:vMerge w:val="restart"/>
                  <w:tcBorders>
                    <w:tl2br w:val="nil"/>
                    <w:tr2bl w:val="nil"/>
                  </w:tcBorders>
                  <w:vAlign w:val="center"/>
                </w:tcPr>
                <w:p w14:paraId="3A281C2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工作时间（h/a）</w:t>
                  </w:r>
                </w:p>
              </w:tc>
              <w:tc>
                <w:tcPr>
                  <w:tcW w:w="951" w:type="dxa"/>
                  <w:vMerge w:val="restart"/>
                  <w:tcBorders>
                    <w:tl2br w:val="nil"/>
                    <w:tr2bl w:val="nil"/>
                  </w:tcBorders>
                  <w:vAlign w:val="center"/>
                </w:tcPr>
                <w:p w14:paraId="63955ED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污染物</w:t>
                  </w:r>
                </w:p>
              </w:tc>
              <w:tc>
                <w:tcPr>
                  <w:tcW w:w="865" w:type="dxa"/>
                  <w:vMerge w:val="restart"/>
                  <w:tcBorders>
                    <w:tl2br w:val="nil"/>
                    <w:tr2bl w:val="nil"/>
                  </w:tcBorders>
                  <w:vAlign w:val="center"/>
                </w:tcPr>
                <w:p w14:paraId="5F2EDE6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产污系数(kg/t·产品)</w:t>
                  </w:r>
                </w:p>
              </w:tc>
              <w:tc>
                <w:tcPr>
                  <w:tcW w:w="3373" w:type="dxa"/>
                  <w:gridSpan w:val="6"/>
                  <w:tcBorders>
                    <w:tl2br w:val="nil"/>
                    <w:tr2bl w:val="nil"/>
                  </w:tcBorders>
                  <w:vAlign w:val="center"/>
                </w:tcPr>
                <w:p w14:paraId="72605F8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产生量（kg/h）</w:t>
                  </w:r>
                </w:p>
              </w:tc>
              <w:tc>
                <w:tcPr>
                  <w:tcW w:w="434" w:type="dxa"/>
                  <w:vMerge w:val="restart"/>
                  <w:tcBorders>
                    <w:tl2br w:val="nil"/>
                    <w:tr2bl w:val="nil"/>
                  </w:tcBorders>
                  <w:vAlign w:val="center"/>
                </w:tcPr>
                <w:p w14:paraId="21D135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所在位置</w:t>
                  </w:r>
                </w:p>
              </w:tc>
            </w:tr>
            <w:tr w14:paraId="45C1CF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6" w:type="dxa"/>
                  <w:vMerge w:val="continue"/>
                  <w:tcBorders>
                    <w:tl2br w:val="nil"/>
                    <w:tr2bl w:val="nil"/>
                  </w:tcBorders>
                  <w:vAlign w:val="center"/>
                </w:tcPr>
                <w:p w14:paraId="083BE15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3" w:type="dxa"/>
                  <w:vMerge w:val="continue"/>
                  <w:tcBorders>
                    <w:tl2br w:val="nil"/>
                    <w:tr2bl w:val="nil"/>
                  </w:tcBorders>
                  <w:vAlign w:val="center"/>
                </w:tcPr>
                <w:p w14:paraId="0CA4393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4BA3F01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6AC47FD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24B771E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17FBB41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1198" w:type="dxa"/>
                  <w:gridSpan w:val="2"/>
                  <w:tcBorders>
                    <w:tl2br w:val="nil"/>
                    <w:tr2bl w:val="nil"/>
                  </w:tcBorders>
                  <w:vAlign w:val="center"/>
                </w:tcPr>
                <w:p w14:paraId="231AC09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有组织</w:t>
                  </w:r>
                </w:p>
              </w:tc>
              <w:tc>
                <w:tcPr>
                  <w:tcW w:w="1104" w:type="dxa"/>
                  <w:gridSpan w:val="2"/>
                  <w:tcBorders>
                    <w:tl2br w:val="nil"/>
                    <w:tr2bl w:val="nil"/>
                  </w:tcBorders>
                  <w:vAlign w:val="center"/>
                </w:tcPr>
                <w:p w14:paraId="61B403C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无组织</w:t>
                  </w:r>
                </w:p>
              </w:tc>
              <w:tc>
                <w:tcPr>
                  <w:tcW w:w="1071" w:type="dxa"/>
                  <w:gridSpan w:val="2"/>
                  <w:tcBorders>
                    <w:tl2br w:val="nil"/>
                    <w:tr2bl w:val="nil"/>
                  </w:tcBorders>
                  <w:vAlign w:val="center"/>
                </w:tcPr>
                <w:p w14:paraId="781BA49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eastAsia="宋体" w:cs="Times New Roman"/>
                      <w:b/>
                      <w:bCs/>
                      <w:color w:val="auto"/>
                      <w:spacing w:val="-1"/>
                      <w:sz w:val="18"/>
                      <w:szCs w:val="18"/>
                    </w:rPr>
                    <w:t>合计</w:t>
                  </w:r>
                </w:p>
              </w:tc>
              <w:tc>
                <w:tcPr>
                  <w:tcW w:w="434" w:type="dxa"/>
                  <w:vMerge w:val="continue"/>
                  <w:tcBorders>
                    <w:bottom w:val="single" w:color="auto" w:sz="4" w:space="0"/>
                    <w:tl2br w:val="nil"/>
                    <w:tr2bl w:val="nil"/>
                  </w:tcBorders>
                  <w:vAlign w:val="center"/>
                </w:tcPr>
                <w:p w14:paraId="7490CA4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r>
            <w:tr w14:paraId="3124E8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6" w:type="dxa"/>
                  <w:vMerge w:val="continue"/>
                  <w:tcBorders>
                    <w:tl2br w:val="nil"/>
                    <w:tr2bl w:val="nil"/>
                  </w:tcBorders>
                  <w:vAlign w:val="center"/>
                </w:tcPr>
                <w:p w14:paraId="626C9F3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63" w:type="dxa"/>
                  <w:vMerge w:val="continue"/>
                  <w:tcBorders>
                    <w:tl2br w:val="nil"/>
                    <w:tr2bl w:val="nil"/>
                  </w:tcBorders>
                  <w:vAlign w:val="center"/>
                </w:tcPr>
                <w:p w14:paraId="50B64FE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79" w:type="dxa"/>
                  <w:vMerge w:val="continue"/>
                  <w:tcBorders>
                    <w:tl2br w:val="nil"/>
                    <w:tr2bl w:val="nil"/>
                  </w:tcBorders>
                  <w:vAlign w:val="center"/>
                </w:tcPr>
                <w:p w14:paraId="72BE295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633" w:type="dxa"/>
                  <w:vMerge w:val="continue"/>
                  <w:tcBorders>
                    <w:tl2br w:val="nil"/>
                    <w:tr2bl w:val="nil"/>
                  </w:tcBorders>
                  <w:vAlign w:val="center"/>
                </w:tcPr>
                <w:p w14:paraId="14CC532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951" w:type="dxa"/>
                  <w:vMerge w:val="continue"/>
                  <w:tcBorders>
                    <w:tl2br w:val="nil"/>
                    <w:tr2bl w:val="nil"/>
                  </w:tcBorders>
                  <w:vAlign w:val="center"/>
                </w:tcPr>
                <w:p w14:paraId="76AC5C6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865" w:type="dxa"/>
                  <w:vMerge w:val="continue"/>
                  <w:tcBorders>
                    <w:tl2br w:val="nil"/>
                    <w:tr2bl w:val="nil"/>
                  </w:tcBorders>
                  <w:vAlign w:val="center"/>
                </w:tcPr>
                <w:p w14:paraId="7F878B4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rPr>
                  </w:pPr>
                </w:p>
              </w:tc>
              <w:tc>
                <w:tcPr>
                  <w:tcW w:w="589" w:type="dxa"/>
                  <w:tcBorders>
                    <w:tl2br w:val="nil"/>
                    <w:tr2bl w:val="nil"/>
                  </w:tcBorders>
                  <w:vAlign w:val="center"/>
                </w:tcPr>
                <w:p w14:paraId="2729F29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609" w:type="dxa"/>
                  <w:tcBorders>
                    <w:tl2br w:val="nil"/>
                    <w:tr2bl w:val="nil"/>
                  </w:tcBorders>
                  <w:vAlign w:val="center"/>
                </w:tcPr>
                <w:p w14:paraId="2BCE5F6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79" w:type="dxa"/>
                  <w:tcBorders>
                    <w:tl2br w:val="nil"/>
                    <w:tr2bl w:val="nil"/>
                  </w:tcBorders>
                  <w:vAlign w:val="center"/>
                </w:tcPr>
                <w:p w14:paraId="3F150DC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25" w:type="dxa"/>
                  <w:tcBorders>
                    <w:tl2br w:val="nil"/>
                    <w:tr2bl w:val="nil"/>
                  </w:tcBorders>
                  <w:vAlign w:val="center"/>
                </w:tcPr>
                <w:p w14:paraId="33A3390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557" w:type="dxa"/>
                  <w:tcBorders>
                    <w:tl2br w:val="nil"/>
                    <w:tr2bl w:val="nil"/>
                  </w:tcBorders>
                  <w:vAlign w:val="center"/>
                </w:tcPr>
                <w:p w14:paraId="012AA4A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t/a</w:t>
                  </w:r>
                </w:p>
              </w:tc>
              <w:tc>
                <w:tcPr>
                  <w:tcW w:w="514" w:type="dxa"/>
                  <w:tcBorders>
                    <w:tl2br w:val="nil"/>
                    <w:tr2bl w:val="nil"/>
                  </w:tcBorders>
                  <w:vAlign w:val="center"/>
                </w:tcPr>
                <w:p w14:paraId="41DDAAD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jc w:val="center"/>
                    <w:textAlignment w:val="auto"/>
                    <w:rPr>
                      <w:rFonts w:hint="default" w:ascii="Times New Roman" w:hAnsi="Times New Roman" w:eastAsia="宋体" w:cs="Times New Roman"/>
                      <w:b/>
                      <w:bCs/>
                      <w:color w:val="auto"/>
                      <w:spacing w:val="-1"/>
                      <w:sz w:val="18"/>
                      <w:szCs w:val="18"/>
                    </w:rPr>
                  </w:pPr>
                  <w:r>
                    <w:rPr>
                      <w:rFonts w:hint="default" w:ascii="Times New Roman" w:hAnsi="Times New Roman" w:cs="Times New Roman"/>
                      <w:b/>
                      <w:bCs/>
                      <w:color w:val="auto"/>
                      <w:sz w:val="18"/>
                      <w:szCs w:val="18"/>
                      <w:lang w:val="en-US" w:eastAsia="zh-CN"/>
                    </w:rPr>
                    <w:t>kg/h</w:t>
                  </w:r>
                </w:p>
              </w:tc>
              <w:tc>
                <w:tcPr>
                  <w:tcW w:w="434" w:type="dxa"/>
                  <w:vMerge w:val="restart"/>
                  <w:tcBorders>
                    <w:top w:val="single" w:color="auto" w:sz="4" w:space="0"/>
                    <w:tl2br w:val="nil"/>
                    <w:tr2bl w:val="nil"/>
                  </w:tcBorders>
                  <w:vAlign w:val="center"/>
                </w:tcPr>
                <w:p w14:paraId="2EE2977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b/>
                      <w:bCs/>
                      <w:color w:val="auto"/>
                      <w:spacing w:val="-1"/>
                      <w:sz w:val="18"/>
                      <w:szCs w:val="18"/>
                      <w:lang w:val="en-US" w:eastAsia="zh-CN"/>
                    </w:rPr>
                  </w:pPr>
                  <w:r>
                    <w:rPr>
                      <w:rFonts w:hint="eastAsia" w:cs="Times New Roman"/>
                      <w:b w:val="0"/>
                      <w:bCs w:val="0"/>
                      <w:color w:val="auto"/>
                      <w:spacing w:val="-1"/>
                      <w:sz w:val="18"/>
                      <w:szCs w:val="18"/>
                      <w:lang w:val="en-US" w:eastAsia="zh-CN"/>
                    </w:rPr>
                    <w:t>3#厂房</w:t>
                  </w:r>
                </w:p>
              </w:tc>
            </w:tr>
            <w:tr w14:paraId="38506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06" w:type="dxa"/>
                  <w:tcBorders>
                    <w:top w:val="single" w:color="auto" w:sz="4" w:space="0"/>
                    <w:tl2br w:val="nil"/>
                    <w:tr2bl w:val="nil"/>
                  </w:tcBorders>
                  <w:vAlign w:val="center"/>
                </w:tcPr>
                <w:p w14:paraId="2CE2D3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焊接</w:t>
                  </w:r>
                </w:p>
              </w:tc>
              <w:tc>
                <w:tcPr>
                  <w:tcW w:w="663" w:type="dxa"/>
                  <w:tcBorders>
                    <w:tl2br w:val="nil"/>
                    <w:tr2bl w:val="nil"/>
                  </w:tcBorders>
                  <w:vAlign w:val="center"/>
                </w:tcPr>
                <w:p w14:paraId="279BF34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灭火器筒体</w:t>
                  </w:r>
                </w:p>
              </w:tc>
              <w:tc>
                <w:tcPr>
                  <w:tcW w:w="679" w:type="dxa"/>
                  <w:tcBorders>
                    <w:top w:val="single" w:color="auto" w:sz="4" w:space="0"/>
                    <w:tl2br w:val="nil"/>
                    <w:tr2bl w:val="nil"/>
                  </w:tcBorders>
                  <w:vAlign w:val="center"/>
                </w:tcPr>
                <w:p w14:paraId="3D36FCB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rPr>
                  </w:pPr>
                  <w:r>
                    <w:rPr>
                      <w:rFonts w:hint="eastAsia" w:cs="Times New Roman"/>
                      <w:color w:val="auto"/>
                      <w:spacing w:val="-1"/>
                      <w:sz w:val="18"/>
                      <w:szCs w:val="18"/>
                      <w:lang w:val="en-US" w:eastAsia="zh-CN"/>
                    </w:rPr>
                    <w:t>4.0</w:t>
                  </w:r>
                </w:p>
              </w:tc>
              <w:tc>
                <w:tcPr>
                  <w:tcW w:w="633" w:type="dxa"/>
                  <w:tcBorders>
                    <w:tl2br w:val="nil"/>
                    <w:tr2bl w:val="nil"/>
                  </w:tcBorders>
                  <w:vAlign w:val="center"/>
                </w:tcPr>
                <w:p w14:paraId="113AED6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1000</w:t>
                  </w:r>
                </w:p>
              </w:tc>
              <w:tc>
                <w:tcPr>
                  <w:tcW w:w="951" w:type="dxa"/>
                  <w:tcBorders>
                    <w:tl2br w:val="nil"/>
                    <w:tr2bl w:val="nil"/>
                  </w:tcBorders>
                  <w:shd w:val="clear" w:color="auto" w:fill="auto"/>
                  <w:vAlign w:val="center"/>
                </w:tcPr>
                <w:p w14:paraId="3CBE335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ascii="Times New Roman" w:hAnsi="Times New Roman" w:eastAsia="宋体" w:cs="Times New Roman"/>
                      <w:color w:val="auto"/>
                      <w:spacing w:val="-1"/>
                      <w:sz w:val="18"/>
                      <w:szCs w:val="18"/>
                      <w:lang w:val="en-US" w:eastAsia="zh-CN"/>
                    </w:rPr>
                    <w:t>颗粒物</w:t>
                  </w:r>
                </w:p>
              </w:tc>
              <w:tc>
                <w:tcPr>
                  <w:tcW w:w="865" w:type="dxa"/>
                  <w:tcBorders>
                    <w:tl2br w:val="nil"/>
                    <w:tr2bl w:val="nil"/>
                  </w:tcBorders>
                  <w:shd w:val="clear" w:color="auto" w:fill="auto"/>
                  <w:vAlign w:val="center"/>
                </w:tcPr>
                <w:p w14:paraId="0B01279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20.2</w:t>
                  </w:r>
                </w:p>
              </w:tc>
              <w:tc>
                <w:tcPr>
                  <w:tcW w:w="589" w:type="dxa"/>
                  <w:tcBorders>
                    <w:tl2br w:val="nil"/>
                    <w:tr2bl w:val="nil"/>
                  </w:tcBorders>
                  <w:shd w:val="clear" w:color="auto" w:fill="auto"/>
                  <w:vAlign w:val="center"/>
                </w:tcPr>
                <w:p w14:paraId="7EDDE75C">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kern w:val="2"/>
                      <w:sz w:val="18"/>
                      <w:szCs w:val="18"/>
                      <w:lang w:val="en-US" w:eastAsia="zh-CN" w:bidi="ar-SA"/>
                    </w:rPr>
                    <w:t>0</w:t>
                  </w:r>
                </w:p>
              </w:tc>
              <w:tc>
                <w:tcPr>
                  <w:tcW w:w="609" w:type="dxa"/>
                  <w:tcBorders>
                    <w:tl2br w:val="nil"/>
                    <w:tr2bl w:val="nil"/>
                  </w:tcBorders>
                  <w:shd w:val="clear" w:color="auto" w:fill="auto"/>
                  <w:vAlign w:val="center"/>
                </w:tcPr>
                <w:p w14:paraId="4D2E1D33">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kern w:val="2"/>
                      <w:sz w:val="18"/>
                      <w:szCs w:val="18"/>
                      <w:lang w:val="en-US" w:eastAsia="zh-CN" w:bidi="ar-SA"/>
                    </w:rPr>
                    <w:t>0</w:t>
                  </w:r>
                </w:p>
              </w:tc>
              <w:tc>
                <w:tcPr>
                  <w:tcW w:w="579" w:type="dxa"/>
                  <w:tcBorders>
                    <w:tl2br w:val="nil"/>
                    <w:tr2bl w:val="nil"/>
                  </w:tcBorders>
                  <w:shd w:val="clear" w:color="auto" w:fill="auto"/>
                  <w:vAlign w:val="center"/>
                </w:tcPr>
                <w:p w14:paraId="4D6A1BEA">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0.019</w:t>
                  </w:r>
                </w:p>
              </w:tc>
              <w:tc>
                <w:tcPr>
                  <w:tcW w:w="525" w:type="dxa"/>
                  <w:tcBorders>
                    <w:tl2br w:val="nil"/>
                    <w:tr2bl w:val="nil"/>
                  </w:tcBorders>
                  <w:shd w:val="clear" w:color="auto" w:fill="auto"/>
                  <w:vAlign w:val="center"/>
                </w:tcPr>
                <w:p w14:paraId="24AFE23B">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0.003</w:t>
                  </w:r>
                </w:p>
              </w:tc>
              <w:tc>
                <w:tcPr>
                  <w:tcW w:w="557" w:type="dxa"/>
                  <w:tcBorders>
                    <w:tl2br w:val="nil"/>
                    <w:tr2bl w:val="nil"/>
                  </w:tcBorders>
                  <w:shd w:val="clear" w:color="auto" w:fill="auto"/>
                  <w:vAlign w:val="center"/>
                </w:tcPr>
                <w:p w14:paraId="00701295">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0.081</w:t>
                  </w:r>
                </w:p>
              </w:tc>
              <w:tc>
                <w:tcPr>
                  <w:tcW w:w="514" w:type="dxa"/>
                  <w:tcBorders>
                    <w:tl2br w:val="nil"/>
                    <w:tr2bl w:val="nil"/>
                  </w:tcBorders>
                  <w:shd w:val="clear" w:color="auto" w:fill="auto"/>
                  <w:vAlign w:val="center"/>
                </w:tcPr>
                <w:p w14:paraId="3651588A">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0.011</w:t>
                  </w:r>
                </w:p>
              </w:tc>
              <w:tc>
                <w:tcPr>
                  <w:tcW w:w="434" w:type="dxa"/>
                  <w:vMerge w:val="continue"/>
                  <w:tcBorders>
                    <w:tl2br w:val="nil"/>
                    <w:tr2bl w:val="nil"/>
                  </w:tcBorders>
                  <w:vAlign w:val="center"/>
                </w:tcPr>
                <w:p w14:paraId="0649BDA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eastAsia="宋体" w:cs="Times New Roman"/>
                      <w:color w:val="auto"/>
                      <w:spacing w:val="-1"/>
                      <w:sz w:val="18"/>
                      <w:szCs w:val="18"/>
                    </w:rPr>
                  </w:pPr>
                </w:p>
              </w:tc>
            </w:tr>
          </w:tbl>
          <w:p w14:paraId="1AE5B2B7">
            <w:pPr>
              <w:pStyle w:val="10"/>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w:t>
            </w:r>
            <w:r>
              <w:rPr>
                <w:rFonts w:hint="eastAsia"/>
                <w:b/>
                <w:bCs/>
                <w:color w:val="auto"/>
                <w:sz w:val="24"/>
                <w:szCs w:val="24"/>
                <w:highlight w:val="none"/>
                <w:lang w:val="en-US" w:eastAsia="zh-CN"/>
              </w:rPr>
              <w:t>5</w:t>
            </w:r>
            <w:r>
              <w:rPr>
                <w:rFonts w:hint="eastAsia" w:ascii="Times New Roman" w:eastAsia="宋体"/>
                <w:b/>
                <w:bCs/>
                <w:color w:val="auto"/>
                <w:sz w:val="24"/>
                <w:szCs w:val="24"/>
                <w:highlight w:val="none"/>
                <w:lang w:eastAsia="zh-CN"/>
              </w:rPr>
              <w:t>）小结</w:t>
            </w:r>
          </w:p>
          <w:p w14:paraId="7C5B788C">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本项目膨润土等粉状物料采用袋装并储存于料仓中，生铁、废钢和铁合金等粒状、块状散装物料储存于密闭料仓中，因此物料储存基本无粉尘排放至厂界外环境；旧砂回收、处理转移输送采取封闭措施，除尘灰采取袋装、灌装等密闭措施收集、存放和运输，因此物料转移和输送基本无粉尘排放至厂界外环境。因此本项目无组织废气主要为未被收集的中频炉熔化废气、制芯废气、造型浇注废气、投料拌料粉尘废气、造型挤出废气、压铸熔化废气、脱模废气、打磨废气等。</w:t>
            </w:r>
          </w:p>
          <w:p w14:paraId="6459E8F6">
            <w:pPr>
              <w:pStyle w:val="10"/>
              <w:spacing w:line="360" w:lineRule="auto"/>
              <w:ind w:firstLine="480"/>
              <w:rPr>
                <w:rFonts w:hint="eastAsia" w:ascii="Times New Roman" w:eastAsia="宋体"/>
                <w:color w:val="auto"/>
                <w:sz w:val="24"/>
                <w:szCs w:val="24"/>
                <w:highlight w:val="none"/>
                <w:lang w:eastAsia="zh-CN"/>
              </w:rPr>
            </w:pPr>
            <w:r>
              <w:rPr>
                <w:rFonts w:hint="eastAsia" w:ascii="Times New Roman" w:eastAsia="宋体"/>
                <w:color w:val="auto"/>
                <w:sz w:val="24"/>
                <w:szCs w:val="24"/>
                <w:highlight w:val="none"/>
                <w:lang w:eastAsia="zh-CN"/>
              </w:rPr>
              <w:t>根据工艺特点和生产安排，本项目各工序的工作时间有所不同，本项目各有组织废气和无组织废气排放按最不利的情况（即所有废气同时排放）进行核算，项目各废气排放情况详见下表。</w:t>
            </w:r>
          </w:p>
          <w:p w14:paraId="0B905501">
            <w:pPr>
              <w:pStyle w:val="10"/>
              <w:spacing w:line="360" w:lineRule="auto"/>
              <w:ind w:left="0" w:leftChars="0" w:firstLine="0" w:firstLineChars="0"/>
              <w:jc w:val="center"/>
              <w:rPr>
                <w:rFonts w:hint="eastAsia" w:ascii="Times New Roman" w:eastAsia="宋体"/>
                <w:b/>
                <w:bCs/>
                <w:color w:val="auto"/>
                <w:sz w:val="24"/>
                <w:szCs w:val="24"/>
                <w:highlight w:val="none"/>
                <w:lang w:eastAsia="zh-CN"/>
              </w:rPr>
            </w:pPr>
            <w:r>
              <w:rPr>
                <w:rFonts w:hint="eastAsia" w:ascii="Times New Roman" w:eastAsia="宋体"/>
                <w:b/>
                <w:bCs/>
                <w:color w:val="auto"/>
                <w:sz w:val="24"/>
                <w:szCs w:val="24"/>
                <w:highlight w:val="none"/>
                <w:lang w:eastAsia="zh-CN"/>
              </w:rPr>
              <w:t>表4-</w:t>
            </w:r>
            <w:r>
              <w:rPr>
                <w:rFonts w:hint="eastAsia"/>
                <w:b/>
                <w:bCs/>
                <w:color w:val="auto"/>
                <w:sz w:val="24"/>
                <w:szCs w:val="24"/>
                <w:highlight w:val="none"/>
                <w:lang w:val="en-US" w:eastAsia="zh-CN"/>
              </w:rPr>
              <w:t>25</w:t>
            </w:r>
            <w:r>
              <w:rPr>
                <w:rFonts w:hint="eastAsia" w:ascii="Times New Roman" w:eastAsia="宋体"/>
                <w:b/>
                <w:bCs/>
                <w:color w:val="auto"/>
                <w:sz w:val="24"/>
                <w:szCs w:val="24"/>
                <w:highlight w:val="none"/>
                <w:lang w:eastAsia="zh-CN"/>
              </w:rPr>
              <w:t xml:space="preserve"> 全厂废气无组织排放情况一览表</w:t>
            </w:r>
          </w:p>
          <w:tbl>
            <w:tblPr>
              <w:tblStyle w:val="29"/>
              <w:tblW w:w="848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10"/>
              <w:gridCol w:w="1868"/>
              <w:gridCol w:w="1188"/>
              <w:gridCol w:w="1389"/>
              <w:gridCol w:w="1303"/>
              <w:gridCol w:w="1327"/>
            </w:tblGrid>
            <w:tr w14:paraId="61739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78" w:type="dxa"/>
                  <w:gridSpan w:val="2"/>
                  <w:vMerge w:val="restart"/>
                  <w:tcBorders>
                    <w:tl2br w:val="nil"/>
                    <w:tr2bl w:val="nil"/>
                  </w:tcBorders>
                  <w:vAlign w:val="center"/>
                </w:tcPr>
                <w:p w14:paraId="2A44BB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面源污染源名称</w:t>
                  </w:r>
                </w:p>
              </w:tc>
              <w:tc>
                <w:tcPr>
                  <w:tcW w:w="1188" w:type="dxa"/>
                  <w:vMerge w:val="restart"/>
                  <w:tcBorders>
                    <w:tl2br w:val="nil"/>
                    <w:tr2bl w:val="nil"/>
                  </w:tcBorders>
                  <w:vAlign w:val="center"/>
                </w:tcPr>
                <w:p w14:paraId="26B4427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面源面积</w:t>
                  </w:r>
                </w:p>
                <w:p w14:paraId="55A250B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（m</w:t>
                  </w:r>
                  <w:r>
                    <w:rPr>
                      <w:rFonts w:hint="eastAsia" w:ascii="Times New Roman" w:hAnsi="Times New Roman" w:cs="Times New Roman"/>
                      <w:b/>
                      <w:bCs/>
                      <w:color w:val="auto"/>
                      <w:spacing w:val="-1"/>
                      <w:sz w:val="18"/>
                      <w:szCs w:val="18"/>
                      <w:vertAlign w:val="superscript"/>
                      <w:lang w:val="en-US" w:eastAsia="zh-CN"/>
                    </w:rPr>
                    <w:t>2</w:t>
                  </w:r>
                  <w:r>
                    <w:rPr>
                      <w:rFonts w:hint="eastAsia" w:ascii="Times New Roman" w:hAnsi="Times New Roman" w:cs="Times New Roman"/>
                      <w:b/>
                      <w:bCs/>
                      <w:color w:val="auto"/>
                      <w:spacing w:val="-1"/>
                      <w:sz w:val="18"/>
                      <w:szCs w:val="18"/>
                      <w:lang w:val="en-US" w:eastAsia="zh-CN"/>
                    </w:rPr>
                    <w:t>）</w:t>
                  </w:r>
                </w:p>
              </w:tc>
              <w:tc>
                <w:tcPr>
                  <w:tcW w:w="1389" w:type="dxa"/>
                  <w:vMerge w:val="restart"/>
                  <w:tcBorders>
                    <w:tl2br w:val="nil"/>
                    <w:tr2bl w:val="nil"/>
                  </w:tcBorders>
                  <w:vAlign w:val="center"/>
                </w:tcPr>
                <w:p w14:paraId="3AF307F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排放工况</w:t>
                  </w:r>
                </w:p>
              </w:tc>
              <w:tc>
                <w:tcPr>
                  <w:tcW w:w="2630" w:type="dxa"/>
                  <w:gridSpan w:val="2"/>
                  <w:tcBorders>
                    <w:tl2br w:val="nil"/>
                    <w:tr2bl w:val="nil"/>
                  </w:tcBorders>
                  <w:vAlign w:val="center"/>
                </w:tcPr>
                <w:p w14:paraId="40E9E42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排放源强</w:t>
                  </w:r>
                </w:p>
              </w:tc>
            </w:tr>
            <w:tr w14:paraId="42067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78" w:type="dxa"/>
                  <w:gridSpan w:val="2"/>
                  <w:vMerge w:val="continue"/>
                  <w:tcBorders>
                    <w:tl2br w:val="nil"/>
                    <w:tr2bl w:val="nil"/>
                  </w:tcBorders>
                  <w:vAlign w:val="center"/>
                </w:tcPr>
                <w:p w14:paraId="075299B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p>
              </w:tc>
              <w:tc>
                <w:tcPr>
                  <w:tcW w:w="1188" w:type="dxa"/>
                  <w:vMerge w:val="continue"/>
                  <w:tcBorders>
                    <w:tl2br w:val="nil"/>
                    <w:tr2bl w:val="nil"/>
                  </w:tcBorders>
                  <w:vAlign w:val="center"/>
                </w:tcPr>
                <w:p w14:paraId="5328DD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p>
              </w:tc>
              <w:tc>
                <w:tcPr>
                  <w:tcW w:w="1389" w:type="dxa"/>
                  <w:vMerge w:val="continue"/>
                  <w:tcBorders>
                    <w:tl2br w:val="nil"/>
                    <w:tr2bl w:val="nil"/>
                  </w:tcBorders>
                  <w:vAlign w:val="center"/>
                </w:tcPr>
                <w:p w14:paraId="44E8CEE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p>
              </w:tc>
              <w:tc>
                <w:tcPr>
                  <w:tcW w:w="1303" w:type="dxa"/>
                  <w:tcBorders>
                    <w:tl2br w:val="nil"/>
                    <w:tr2bl w:val="nil"/>
                  </w:tcBorders>
                  <w:vAlign w:val="center"/>
                </w:tcPr>
                <w:p w14:paraId="082AE4D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kg/h</w:t>
                  </w:r>
                </w:p>
              </w:tc>
              <w:tc>
                <w:tcPr>
                  <w:tcW w:w="1327" w:type="dxa"/>
                  <w:tcBorders>
                    <w:tl2br w:val="nil"/>
                    <w:tr2bl w:val="nil"/>
                  </w:tcBorders>
                  <w:vAlign w:val="center"/>
                </w:tcPr>
                <w:p w14:paraId="5B36B90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b/>
                      <w:bCs/>
                      <w:color w:val="auto"/>
                      <w:spacing w:val="-1"/>
                      <w:sz w:val="18"/>
                      <w:szCs w:val="18"/>
                      <w:lang w:val="en-US" w:eastAsia="zh-CN"/>
                    </w:rPr>
                  </w:pPr>
                  <w:r>
                    <w:rPr>
                      <w:rFonts w:hint="eastAsia" w:ascii="Times New Roman" w:hAnsi="Times New Roman" w:cs="Times New Roman"/>
                      <w:b/>
                      <w:bCs/>
                      <w:color w:val="auto"/>
                      <w:spacing w:val="-1"/>
                      <w:sz w:val="18"/>
                      <w:szCs w:val="18"/>
                      <w:lang w:val="en-US" w:eastAsia="zh-CN"/>
                    </w:rPr>
                    <w:t>t/a</w:t>
                  </w:r>
                </w:p>
              </w:tc>
            </w:tr>
            <w:tr w14:paraId="10B68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0" w:type="dxa"/>
                  <w:vMerge w:val="restart"/>
                  <w:tcBorders>
                    <w:tl2br w:val="nil"/>
                    <w:tr2bl w:val="nil"/>
                  </w:tcBorders>
                  <w:vAlign w:val="center"/>
                </w:tcPr>
                <w:p w14:paraId="441A9FD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1#厂房</w:t>
                  </w:r>
                </w:p>
              </w:tc>
              <w:tc>
                <w:tcPr>
                  <w:tcW w:w="1868" w:type="dxa"/>
                  <w:tcBorders>
                    <w:tl2br w:val="nil"/>
                    <w:tr2bl w:val="nil"/>
                  </w:tcBorders>
                  <w:vAlign w:val="center"/>
                </w:tcPr>
                <w:p w14:paraId="0AC6BC9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颗粒物</w:t>
                  </w:r>
                </w:p>
              </w:tc>
              <w:tc>
                <w:tcPr>
                  <w:tcW w:w="1188" w:type="dxa"/>
                  <w:vMerge w:val="restart"/>
                  <w:tcBorders>
                    <w:tl2br w:val="nil"/>
                    <w:tr2bl w:val="nil"/>
                  </w:tcBorders>
                  <w:vAlign w:val="center"/>
                </w:tcPr>
                <w:p w14:paraId="4D89F9C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6380</w:t>
                  </w:r>
                </w:p>
              </w:tc>
              <w:tc>
                <w:tcPr>
                  <w:tcW w:w="1389" w:type="dxa"/>
                  <w:tcBorders>
                    <w:tl2br w:val="nil"/>
                    <w:tr2bl w:val="nil"/>
                  </w:tcBorders>
                  <w:vAlign w:val="center"/>
                </w:tcPr>
                <w:p w14:paraId="27D557F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连续排放</w:t>
                  </w:r>
                </w:p>
              </w:tc>
              <w:tc>
                <w:tcPr>
                  <w:tcW w:w="1303" w:type="dxa"/>
                  <w:tcBorders>
                    <w:tl2br w:val="nil"/>
                    <w:tr2bl w:val="nil"/>
                  </w:tcBorders>
                  <w:vAlign w:val="center"/>
                </w:tcPr>
                <w:p w14:paraId="6762D6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cs="Times New Roman"/>
                      <w:color w:val="auto"/>
                      <w:spacing w:val="-1"/>
                      <w:sz w:val="18"/>
                      <w:szCs w:val="18"/>
                      <w:lang w:val="en-US" w:eastAsia="zh-CN"/>
                    </w:rPr>
                    <w:t>3.030</w:t>
                  </w:r>
                </w:p>
              </w:tc>
              <w:tc>
                <w:tcPr>
                  <w:tcW w:w="1327" w:type="dxa"/>
                  <w:tcBorders>
                    <w:tl2br w:val="nil"/>
                    <w:tr2bl w:val="nil"/>
                  </w:tcBorders>
                  <w:vAlign w:val="center"/>
                </w:tcPr>
                <w:p w14:paraId="6F8BF63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cs="Times New Roman"/>
                      <w:color w:val="auto"/>
                      <w:spacing w:val="-1"/>
                      <w:sz w:val="18"/>
                      <w:szCs w:val="18"/>
                      <w:lang w:val="en-US" w:eastAsia="zh-CN"/>
                    </w:rPr>
                    <w:t>9.077</w:t>
                  </w:r>
                </w:p>
              </w:tc>
            </w:tr>
            <w:tr w14:paraId="3B06FF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0" w:type="dxa"/>
                  <w:vMerge w:val="continue"/>
                  <w:tcBorders>
                    <w:tl2br w:val="nil"/>
                    <w:tr2bl w:val="nil"/>
                  </w:tcBorders>
                  <w:vAlign w:val="center"/>
                </w:tcPr>
                <w:p w14:paraId="7C92FC2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868" w:type="dxa"/>
                  <w:tcBorders>
                    <w:tl2br w:val="nil"/>
                    <w:tr2bl w:val="nil"/>
                  </w:tcBorders>
                  <w:vAlign w:val="center"/>
                </w:tcPr>
                <w:p w14:paraId="7B7637F7">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非甲烷总烃</w:t>
                  </w:r>
                </w:p>
              </w:tc>
              <w:tc>
                <w:tcPr>
                  <w:tcW w:w="1188" w:type="dxa"/>
                  <w:vMerge w:val="continue"/>
                  <w:tcBorders>
                    <w:tl2br w:val="nil"/>
                    <w:tr2bl w:val="nil"/>
                  </w:tcBorders>
                  <w:vAlign w:val="center"/>
                </w:tcPr>
                <w:p w14:paraId="72763E3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389" w:type="dxa"/>
                  <w:tcBorders>
                    <w:tl2br w:val="nil"/>
                    <w:tr2bl w:val="nil"/>
                  </w:tcBorders>
                  <w:vAlign w:val="center"/>
                </w:tcPr>
                <w:p w14:paraId="5E2C0F6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连续排放</w:t>
                  </w:r>
                </w:p>
              </w:tc>
              <w:tc>
                <w:tcPr>
                  <w:tcW w:w="1303" w:type="dxa"/>
                  <w:tcBorders>
                    <w:tl2br w:val="nil"/>
                    <w:tr2bl w:val="nil"/>
                  </w:tcBorders>
                  <w:vAlign w:val="center"/>
                </w:tcPr>
                <w:p w14:paraId="2DE9554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cs="Times New Roman"/>
                      <w:color w:val="auto"/>
                      <w:spacing w:val="-1"/>
                      <w:sz w:val="18"/>
                      <w:szCs w:val="18"/>
                      <w:lang w:val="en-US" w:eastAsia="zh-CN"/>
                    </w:rPr>
                    <w:t>0.429</w:t>
                  </w:r>
                </w:p>
              </w:tc>
              <w:tc>
                <w:tcPr>
                  <w:tcW w:w="1327" w:type="dxa"/>
                  <w:tcBorders>
                    <w:tl2br w:val="nil"/>
                    <w:tr2bl w:val="nil"/>
                  </w:tcBorders>
                  <w:vAlign w:val="center"/>
                </w:tcPr>
                <w:p w14:paraId="018FF5D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cs="Times New Roman"/>
                      <w:color w:val="auto"/>
                      <w:spacing w:val="-1"/>
                      <w:sz w:val="18"/>
                      <w:szCs w:val="18"/>
                      <w:lang w:val="en-US" w:eastAsia="zh-CN"/>
                    </w:rPr>
                    <w:t>1.236</w:t>
                  </w:r>
                </w:p>
              </w:tc>
            </w:tr>
            <w:tr w14:paraId="05ABE1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0" w:type="dxa"/>
                  <w:vMerge w:val="continue"/>
                  <w:tcBorders>
                    <w:tl2br w:val="nil"/>
                    <w:tr2bl w:val="nil"/>
                  </w:tcBorders>
                  <w:vAlign w:val="center"/>
                </w:tcPr>
                <w:p w14:paraId="3A2871E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868" w:type="dxa"/>
                  <w:tcBorders>
                    <w:tl2br w:val="nil"/>
                    <w:tr2bl w:val="nil"/>
                  </w:tcBorders>
                  <w:vAlign w:val="center"/>
                </w:tcPr>
                <w:p w14:paraId="5BDB80A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cs="Times New Roman"/>
                      <w:color w:val="auto"/>
                      <w:spacing w:val="-1"/>
                      <w:sz w:val="18"/>
                      <w:szCs w:val="18"/>
                      <w:lang w:val="en-US" w:eastAsia="zh-CN"/>
                    </w:rPr>
                    <w:t>甲醛</w:t>
                  </w:r>
                </w:p>
              </w:tc>
              <w:tc>
                <w:tcPr>
                  <w:tcW w:w="1188" w:type="dxa"/>
                  <w:vMerge w:val="continue"/>
                  <w:tcBorders>
                    <w:tl2br w:val="nil"/>
                    <w:tr2bl w:val="nil"/>
                  </w:tcBorders>
                  <w:vAlign w:val="center"/>
                </w:tcPr>
                <w:p w14:paraId="241D909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389" w:type="dxa"/>
                  <w:tcBorders>
                    <w:tl2br w:val="nil"/>
                    <w:tr2bl w:val="nil"/>
                  </w:tcBorders>
                  <w:vAlign w:val="center"/>
                </w:tcPr>
                <w:p w14:paraId="1EA19D1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连续排放</w:t>
                  </w:r>
                </w:p>
              </w:tc>
              <w:tc>
                <w:tcPr>
                  <w:tcW w:w="1303" w:type="dxa"/>
                  <w:tcBorders>
                    <w:tl2br w:val="nil"/>
                    <w:tr2bl w:val="nil"/>
                  </w:tcBorders>
                  <w:vAlign w:val="center"/>
                </w:tcPr>
                <w:p w14:paraId="3342B1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cs="Times New Roman"/>
                      <w:color w:val="auto"/>
                      <w:spacing w:val="-1"/>
                      <w:sz w:val="18"/>
                      <w:szCs w:val="18"/>
                      <w:lang w:val="en-US" w:eastAsia="zh-CN"/>
                    </w:rPr>
                    <w:t>0.020</w:t>
                  </w:r>
                </w:p>
              </w:tc>
              <w:tc>
                <w:tcPr>
                  <w:tcW w:w="1327" w:type="dxa"/>
                  <w:tcBorders>
                    <w:tl2br w:val="nil"/>
                    <w:tr2bl w:val="nil"/>
                  </w:tcBorders>
                  <w:vAlign w:val="center"/>
                </w:tcPr>
                <w:p w14:paraId="71AFA1B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cs="Times New Roman"/>
                      <w:color w:val="auto"/>
                      <w:spacing w:val="-1"/>
                      <w:sz w:val="18"/>
                      <w:szCs w:val="18"/>
                      <w:lang w:val="en-US" w:eastAsia="zh-CN"/>
                    </w:rPr>
                  </w:pPr>
                  <w:r>
                    <w:rPr>
                      <w:rFonts w:hint="eastAsia" w:cs="Times New Roman"/>
                      <w:color w:val="auto"/>
                      <w:spacing w:val="-1"/>
                      <w:sz w:val="18"/>
                      <w:szCs w:val="18"/>
                      <w:lang w:val="en-US" w:eastAsia="zh-CN"/>
                    </w:rPr>
                    <w:t>0.060</w:t>
                  </w:r>
                </w:p>
              </w:tc>
            </w:tr>
            <w:tr w14:paraId="1B3F4C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0" w:type="dxa"/>
                  <w:vMerge w:val="restart"/>
                  <w:tcBorders>
                    <w:tl2br w:val="nil"/>
                    <w:tr2bl w:val="nil"/>
                  </w:tcBorders>
                  <w:vAlign w:val="center"/>
                </w:tcPr>
                <w:p w14:paraId="090A608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2#厂房</w:t>
                  </w:r>
                </w:p>
              </w:tc>
              <w:tc>
                <w:tcPr>
                  <w:tcW w:w="1868" w:type="dxa"/>
                  <w:tcBorders>
                    <w:tl2br w:val="nil"/>
                    <w:tr2bl w:val="nil"/>
                  </w:tcBorders>
                  <w:shd w:val="clear" w:color="auto" w:fill="auto"/>
                  <w:vAlign w:val="center"/>
                </w:tcPr>
                <w:p w14:paraId="39E6627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bidi="ar-SA"/>
                    </w:rPr>
                  </w:pPr>
                  <w:r>
                    <w:rPr>
                      <w:rFonts w:hint="eastAsia" w:ascii="Times New Roman" w:hAnsi="Times New Roman" w:cs="Times New Roman"/>
                      <w:color w:val="auto"/>
                      <w:spacing w:val="-1"/>
                      <w:sz w:val="18"/>
                      <w:szCs w:val="18"/>
                      <w:lang w:val="en-US" w:eastAsia="zh-CN"/>
                    </w:rPr>
                    <w:t>颗粒物</w:t>
                  </w:r>
                </w:p>
              </w:tc>
              <w:tc>
                <w:tcPr>
                  <w:tcW w:w="1188" w:type="dxa"/>
                  <w:vMerge w:val="restart"/>
                  <w:tcBorders>
                    <w:tl2br w:val="nil"/>
                    <w:tr2bl w:val="nil"/>
                  </w:tcBorders>
                  <w:vAlign w:val="center"/>
                </w:tcPr>
                <w:p w14:paraId="0BA4694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default"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1280</w:t>
                  </w:r>
                </w:p>
              </w:tc>
              <w:tc>
                <w:tcPr>
                  <w:tcW w:w="1389" w:type="dxa"/>
                  <w:tcBorders>
                    <w:tl2br w:val="nil"/>
                    <w:tr2bl w:val="nil"/>
                  </w:tcBorders>
                  <w:shd w:val="clear" w:color="auto" w:fill="auto"/>
                  <w:vAlign w:val="center"/>
                </w:tcPr>
                <w:p w14:paraId="508BCBC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bidi="ar-SA"/>
                    </w:rPr>
                  </w:pPr>
                  <w:r>
                    <w:rPr>
                      <w:rFonts w:hint="eastAsia" w:ascii="Times New Roman" w:hAnsi="Times New Roman" w:cs="Times New Roman"/>
                      <w:color w:val="auto"/>
                      <w:spacing w:val="-1"/>
                      <w:sz w:val="18"/>
                      <w:szCs w:val="18"/>
                      <w:lang w:val="en-US" w:eastAsia="zh-CN"/>
                    </w:rPr>
                    <w:t>连续排放</w:t>
                  </w:r>
                </w:p>
              </w:tc>
              <w:tc>
                <w:tcPr>
                  <w:tcW w:w="1303" w:type="dxa"/>
                  <w:tcBorders>
                    <w:tl2br w:val="nil"/>
                    <w:tr2bl w:val="nil"/>
                  </w:tcBorders>
                  <w:vAlign w:val="center"/>
                </w:tcPr>
                <w:p w14:paraId="4CA454B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0.100</w:t>
                  </w:r>
                </w:p>
              </w:tc>
              <w:tc>
                <w:tcPr>
                  <w:tcW w:w="1327" w:type="dxa"/>
                  <w:tcBorders>
                    <w:tl2br w:val="nil"/>
                    <w:tr2bl w:val="nil"/>
                  </w:tcBorders>
                  <w:vAlign w:val="center"/>
                </w:tcPr>
                <w:p w14:paraId="6191C56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0.481</w:t>
                  </w:r>
                </w:p>
              </w:tc>
            </w:tr>
            <w:tr w14:paraId="46F97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0" w:type="dxa"/>
                  <w:vMerge w:val="continue"/>
                  <w:tcBorders>
                    <w:tl2br w:val="nil"/>
                    <w:tr2bl w:val="nil"/>
                  </w:tcBorders>
                  <w:vAlign w:val="center"/>
                </w:tcPr>
                <w:p w14:paraId="181494B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868" w:type="dxa"/>
                  <w:tcBorders>
                    <w:tl2br w:val="nil"/>
                    <w:tr2bl w:val="nil"/>
                  </w:tcBorders>
                  <w:shd w:val="clear" w:color="auto" w:fill="auto"/>
                  <w:vAlign w:val="center"/>
                </w:tcPr>
                <w:p w14:paraId="3921F2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bidi="ar-SA"/>
                    </w:rPr>
                  </w:pPr>
                  <w:r>
                    <w:rPr>
                      <w:rFonts w:hint="eastAsia" w:ascii="Times New Roman" w:hAnsi="Times New Roman" w:cs="Times New Roman"/>
                      <w:color w:val="auto"/>
                      <w:spacing w:val="-1"/>
                      <w:sz w:val="18"/>
                      <w:szCs w:val="18"/>
                      <w:lang w:val="en-US" w:eastAsia="zh-CN"/>
                    </w:rPr>
                    <w:t>非甲烷总烃</w:t>
                  </w:r>
                </w:p>
              </w:tc>
              <w:tc>
                <w:tcPr>
                  <w:tcW w:w="1188" w:type="dxa"/>
                  <w:vMerge w:val="continue"/>
                  <w:tcBorders>
                    <w:tl2br w:val="nil"/>
                    <w:tr2bl w:val="nil"/>
                  </w:tcBorders>
                  <w:vAlign w:val="center"/>
                </w:tcPr>
                <w:p w14:paraId="5D6354F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389" w:type="dxa"/>
                  <w:tcBorders>
                    <w:tl2br w:val="nil"/>
                    <w:tr2bl w:val="nil"/>
                  </w:tcBorders>
                  <w:shd w:val="clear" w:color="auto" w:fill="auto"/>
                  <w:vAlign w:val="center"/>
                </w:tcPr>
                <w:p w14:paraId="270376E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spacing w:val="-1"/>
                      <w:sz w:val="18"/>
                      <w:szCs w:val="18"/>
                      <w:lang w:val="en-US" w:eastAsia="zh-CN" w:bidi="ar-SA"/>
                    </w:rPr>
                  </w:pPr>
                  <w:r>
                    <w:rPr>
                      <w:rFonts w:hint="eastAsia" w:ascii="Times New Roman" w:hAnsi="Times New Roman" w:cs="Times New Roman"/>
                      <w:color w:val="auto"/>
                      <w:spacing w:val="-1"/>
                      <w:sz w:val="18"/>
                      <w:szCs w:val="18"/>
                      <w:lang w:val="en-US" w:eastAsia="zh-CN"/>
                    </w:rPr>
                    <w:t>连续排放</w:t>
                  </w:r>
                </w:p>
              </w:tc>
              <w:tc>
                <w:tcPr>
                  <w:tcW w:w="1303" w:type="dxa"/>
                  <w:tcBorders>
                    <w:tl2br w:val="nil"/>
                    <w:tr2bl w:val="nil"/>
                  </w:tcBorders>
                  <w:shd w:val="clear" w:color="auto" w:fill="auto"/>
                  <w:vAlign w:val="center"/>
                </w:tcPr>
                <w:p w14:paraId="21DB4FD7">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cs="Times New Roman"/>
                      <w:i w:val="0"/>
                      <w:iCs w:val="0"/>
                      <w:color w:val="auto"/>
                      <w:kern w:val="0"/>
                      <w:sz w:val="18"/>
                      <w:szCs w:val="18"/>
                      <w:u w:val="none"/>
                      <w:lang w:val="en-US" w:eastAsia="zh-CN" w:bidi="ar"/>
                    </w:rPr>
                    <w:t>50</w:t>
                  </w:r>
                </w:p>
              </w:tc>
              <w:tc>
                <w:tcPr>
                  <w:tcW w:w="1327" w:type="dxa"/>
                  <w:tcBorders>
                    <w:tl2br w:val="nil"/>
                    <w:tr2bl w:val="nil"/>
                  </w:tcBorders>
                  <w:shd w:val="clear" w:color="auto" w:fill="auto"/>
                  <w:vAlign w:val="center"/>
                </w:tcPr>
                <w:p w14:paraId="72010B63">
                  <w:pPr>
                    <w:keepNext w:val="0"/>
                    <w:keepLines w:val="0"/>
                    <w:widowControl/>
                    <w:suppressLineNumbers w:val="0"/>
                    <w:jc w:val="center"/>
                    <w:textAlignment w:val="center"/>
                    <w:rPr>
                      <w:rFonts w:hint="default" w:ascii="Times New Roman" w:hAnsi="Times New Roman" w:eastAsia="宋体" w:cs="Times New Roman"/>
                      <w:color w:val="auto"/>
                      <w:spacing w:val="-1"/>
                      <w:kern w:val="2"/>
                      <w:sz w:val="18"/>
                      <w:szCs w:val="18"/>
                      <w:lang w:val="en-US" w:eastAsia="zh-CN" w:bidi="ar-SA"/>
                    </w:rPr>
                  </w:pPr>
                  <w:r>
                    <w:rPr>
                      <w:rFonts w:hint="eastAsia" w:cs="Times New Roman"/>
                      <w:i w:val="0"/>
                      <w:iCs w:val="0"/>
                      <w:color w:val="auto"/>
                      <w:kern w:val="0"/>
                      <w:sz w:val="18"/>
                      <w:szCs w:val="18"/>
                      <w:u w:val="none"/>
                      <w:lang w:val="en-US" w:eastAsia="zh-CN" w:bidi="ar"/>
                    </w:rPr>
                    <w:t>0.239</w:t>
                  </w:r>
                </w:p>
              </w:tc>
            </w:tr>
            <w:tr w14:paraId="09577B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0" w:type="dxa"/>
                  <w:vMerge w:val="restart"/>
                  <w:tcBorders>
                    <w:tl2br w:val="nil"/>
                    <w:tr2bl w:val="nil"/>
                  </w:tcBorders>
                  <w:vAlign w:val="center"/>
                </w:tcPr>
                <w:p w14:paraId="5053F33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3#厂房</w:t>
                  </w:r>
                </w:p>
              </w:tc>
              <w:tc>
                <w:tcPr>
                  <w:tcW w:w="1868" w:type="dxa"/>
                  <w:tcBorders>
                    <w:tl2br w:val="nil"/>
                    <w:tr2bl w:val="nil"/>
                  </w:tcBorders>
                  <w:vAlign w:val="center"/>
                </w:tcPr>
                <w:p w14:paraId="589EDBB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颗粒物</w:t>
                  </w:r>
                </w:p>
              </w:tc>
              <w:tc>
                <w:tcPr>
                  <w:tcW w:w="1188" w:type="dxa"/>
                  <w:vMerge w:val="restart"/>
                  <w:tcBorders>
                    <w:tl2br w:val="nil"/>
                    <w:tr2bl w:val="nil"/>
                  </w:tcBorders>
                  <w:vAlign w:val="center"/>
                </w:tcPr>
                <w:p w14:paraId="24E35BC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5452</w:t>
                  </w:r>
                </w:p>
              </w:tc>
              <w:tc>
                <w:tcPr>
                  <w:tcW w:w="1389" w:type="dxa"/>
                  <w:tcBorders>
                    <w:tl2br w:val="nil"/>
                    <w:tr2bl w:val="nil"/>
                  </w:tcBorders>
                  <w:vAlign w:val="center"/>
                </w:tcPr>
                <w:p w14:paraId="54C38AF4">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连续排放</w:t>
                  </w:r>
                </w:p>
              </w:tc>
              <w:tc>
                <w:tcPr>
                  <w:tcW w:w="1303" w:type="dxa"/>
                  <w:tcBorders>
                    <w:tl2br w:val="nil"/>
                    <w:tr2bl w:val="nil"/>
                  </w:tcBorders>
                  <w:shd w:val="clear" w:color="auto" w:fill="auto"/>
                  <w:vAlign w:val="center"/>
                </w:tcPr>
                <w:p w14:paraId="5B296C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1.512</w:t>
                  </w:r>
                </w:p>
              </w:tc>
              <w:tc>
                <w:tcPr>
                  <w:tcW w:w="1327" w:type="dxa"/>
                  <w:tcBorders>
                    <w:tl2br w:val="nil"/>
                    <w:tr2bl w:val="nil"/>
                  </w:tcBorders>
                  <w:shd w:val="clear" w:color="auto" w:fill="auto"/>
                  <w:vAlign w:val="center"/>
                </w:tcPr>
                <w:p w14:paraId="69602E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3.923</w:t>
                  </w:r>
                </w:p>
              </w:tc>
            </w:tr>
            <w:tr w14:paraId="6BC028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10" w:type="dxa"/>
                  <w:vMerge w:val="continue"/>
                  <w:tcBorders>
                    <w:tl2br w:val="nil"/>
                    <w:tr2bl w:val="nil"/>
                  </w:tcBorders>
                  <w:vAlign w:val="center"/>
                </w:tcPr>
                <w:p w14:paraId="4F9A223A">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868" w:type="dxa"/>
                  <w:tcBorders>
                    <w:tl2br w:val="nil"/>
                    <w:tr2bl w:val="nil"/>
                  </w:tcBorders>
                  <w:vAlign w:val="center"/>
                </w:tcPr>
                <w:p w14:paraId="105894A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非甲烷总烃</w:t>
                  </w:r>
                </w:p>
              </w:tc>
              <w:tc>
                <w:tcPr>
                  <w:tcW w:w="1188" w:type="dxa"/>
                  <w:vMerge w:val="continue"/>
                  <w:tcBorders>
                    <w:tl2br w:val="nil"/>
                    <w:tr2bl w:val="nil"/>
                  </w:tcBorders>
                  <w:vAlign w:val="center"/>
                </w:tcPr>
                <w:p w14:paraId="01CF447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p>
              </w:tc>
              <w:tc>
                <w:tcPr>
                  <w:tcW w:w="1389" w:type="dxa"/>
                  <w:tcBorders>
                    <w:tl2br w:val="nil"/>
                    <w:tr2bl w:val="nil"/>
                  </w:tcBorders>
                  <w:vAlign w:val="center"/>
                </w:tcPr>
                <w:p w14:paraId="7F602D5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eastAsia" w:ascii="Times New Roman" w:hAnsi="Times New Roman" w:cs="Times New Roman"/>
                      <w:color w:val="auto"/>
                      <w:spacing w:val="-1"/>
                      <w:sz w:val="18"/>
                      <w:szCs w:val="18"/>
                      <w:lang w:val="en-US" w:eastAsia="zh-CN"/>
                    </w:rPr>
                    <w:t>连续排放</w:t>
                  </w:r>
                </w:p>
              </w:tc>
              <w:tc>
                <w:tcPr>
                  <w:tcW w:w="1303" w:type="dxa"/>
                  <w:tcBorders>
                    <w:tl2br w:val="nil"/>
                    <w:tr2bl w:val="nil"/>
                  </w:tcBorders>
                  <w:vAlign w:val="center"/>
                </w:tcPr>
                <w:p w14:paraId="31DC7398">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0.001</w:t>
                  </w:r>
                </w:p>
              </w:tc>
              <w:tc>
                <w:tcPr>
                  <w:tcW w:w="1327" w:type="dxa"/>
                  <w:tcBorders>
                    <w:tl2br w:val="nil"/>
                    <w:tr2bl w:val="nil"/>
                  </w:tcBorders>
                  <w:vAlign w:val="center"/>
                </w:tcPr>
                <w:p w14:paraId="57F30BB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right="0" w:firstLine="0"/>
                    <w:jc w:val="center"/>
                    <w:textAlignment w:val="auto"/>
                    <w:rPr>
                      <w:rFonts w:hint="eastAsia" w:ascii="Times New Roman" w:hAnsi="Times New Roman" w:cs="Times New Roman"/>
                      <w:color w:val="auto"/>
                      <w:spacing w:val="-1"/>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0.006</w:t>
                  </w:r>
                </w:p>
              </w:tc>
            </w:tr>
          </w:tbl>
          <w:p w14:paraId="1209A48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3"/>
              <w:rPr>
                <w:rFonts w:hint="default" w:eastAsia="黑体"/>
                <w:b w:val="0"/>
                <w:bCs w:val="0"/>
                <w:color w:val="auto"/>
                <w:sz w:val="24"/>
                <w:szCs w:val="24"/>
                <w:highlight w:val="none"/>
                <w:lang w:val="en-US" w:eastAsia="zh-CN"/>
              </w:rPr>
            </w:pPr>
            <w:r>
              <w:rPr>
                <w:rFonts w:hint="eastAsia" w:eastAsia="黑体"/>
                <w:b w:val="0"/>
                <w:bCs w:val="0"/>
                <w:color w:val="auto"/>
                <w:sz w:val="24"/>
                <w:szCs w:val="24"/>
                <w:highlight w:val="none"/>
                <w:lang w:val="en-US" w:eastAsia="zh-CN"/>
              </w:rPr>
              <w:t>1.2非正常排放</w:t>
            </w:r>
          </w:p>
          <w:p w14:paraId="0F4E8129">
            <w:pPr>
              <w:spacing w:line="360" w:lineRule="auto"/>
              <w:ind w:firstLine="480" w:firstLineChars="200"/>
              <w:rPr>
                <w:b/>
                <w:bCs/>
                <w:color w:val="auto"/>
                <w:spacing w:val="4"/>
                <w:kern w:val="18"/>
                <w:sz w:val="24"/>
                <w:szCs w:val="24"/>
              </w:rPr>
            </w:pPr>
            <w:r>
              <w:rPr>
                <w:rFonts w:hint="eastAsia" w:hAnsi="宋体"/>
                <w:color w:val="auto"/>
                <w:kern w:val="0"/>
                <w:sz w:val="24"/>
                <w:szCs w:val="24"/>
                <w:highlight w:val="none"/>
                <w:lang w:eastAsia="zh-CN"/>
              </w:rPr>
              <w:t>本项目各设备及工艺较简单，基本不存在开停车等非正常排放情况，项目废气非正常排放情况主要为环保设施异常，引起有组织废气处理不达标。本评价按最不利情况考虑，即本项目废气未经处理直接超标排放，主要废气排放源强具体</w:t>
            </w:r>
            <w:r>
              <w:rPr>
                <w:rFonts w:hint="eastAsia" w:hAnsi="宋体"/>
                <w:color w:val="auto"/>
                <w:kern w:val="0"/>
                <w:sz w:val="24"/>
                <w:szCs w:val="24"/>
                <w:highlight w:val="none"/>
                <w:lang w:val="en-US" w:eastAsia="zh-CN"/>
              </w:rPr>
              <w:t>见表4-27。</w:t>
            </w:r>
          </w:p>
        </w:tc>
      </w:tr>
    </w:tbl>
    <w:p w14:paraId="20B23A31">
      <w:pPr>
        <w:adjustRightInd w:val="0"/>
        <w:snapToGrid w:val="0"/>
        <w:spacing w:line="360" w:lineRule="auto"/>
        <w:rPr>
          <w:rFonts w:ascii="宋体" w:cs="宋体"/>
          <w:b/>
          <w:color w:val="auto"/>
          <w:kern w:val="0"/>
          <w:sz w:val="24"/>
          <w:szCs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50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5"/>
        <w:gridCol w:w="13002"/>
      </w:tblGrid>
      <w:tr w14:paraId="052DB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6" w:hRule="atLeast"/>
          <w:jc w:val="center"/>
        </w:trPr>
        <w:tc>
          <w:tcPr>
            <w:tcW w:w="143" w:type="pct"/>
            <w:tcMar>
              <w:left w:w="28" w:type="dxa"/>
              <w:right w:w="28" w:type="dxa"/>
            </w:tcMar>
            <w:vAlign w:val="center"/>
          </w:tcPr>
          <w:p w14:paraId="56413920">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运营期环</w:t>
            </w:r>
          </w:p>
          <w:p w14:paraId="1F395B84">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境保</w:t>
            </w:r>
          </w:p>
          <w:p w14:paraId="76789717">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护措</w:t>
            </w:r>
          </w:p>
          <w:p w14:paraId="0B4939C8">
            <w:pPr>
              <w:pStyle w:val="24"/>
              <w:adjustRightInd w:val="0"/>
              <w:snapToGrid w:val="0"/>
              <w:spacing w:before="0" w:beforeAutospacing="0" w:after="0" w:afterAutospacing="0"/>
              <w:jc w:val="center"/>
              <w:rPr>
                <w:rFonts w:hint="eastAsia" w:cs="宋体"/>
                <w:bCs/>
                <w:color w:val="auto"/>
                <w:kern w:val="2"/>
                <w:sz w:val="24"/>
                <w:szCs w:val="24"/>
              </w:rPr>
            </w:pPr>
            <w:r>
              <w:rPr>
                <w:rFonts w:hint="eastAsia" w:cs="宋体"/>
                <w:color w:val="auto"/>
                <w:kern w:val="2"/>
                <w:sz w:val="24"/>
                <w:szCs w:val="24"/>
              </w:rPr>
              <w:t>施</w:t>
            </w:r>
          </w:p>
        </w:tc>
        <w:tc>
          <w:tcPr>
            <w:tcW w:w="4856" w:type="pct"/>
            <w:vAlign w:val="center"/>
          </w:tcPr>
          <w:p w14:paraId="133A5AD7">
            <w:pPr>
              <w:adjustRightInd w:val="0"/>
              <w:snapToGrid w:val="0"/>
              <w:spacing w:line="360" w:lineRule="auto"/>
              <w:ind w:firstLine="480" w:firstLineChars="200"/>
              <w:rPr>
                <w:color w:val="auto"/>
                <w:sz w:val="24"/>
                <w:szCs w:val="24"/>
              </w:rPr>
            </w:pPr>
            <w:r>
              <w:rPr>
                <w:rFonts w:hint="eastAsia"/>
                <w:color w:val="auto"/>
                <w:sz w:val="24"/>
                <w:szCs w:val="24"/>
              </w:rPr>
              <w:t>本项目废气污染源产生、正常排放汇总表见表</w:t>
            </w:r>
            <w:r>
              <w:rPr>
                <w:rFonts w:hint="eastAsia"/>
                <w:color w:val="auto"/>
                <w:sz w:val="24"/>
                <w:szCs w:val="24"/>
                <w:lang w:val="en-US" w:eastAsia="zh-CN"/>
              </w:rPr>
              <w:t>4-26</w:t>
            </w:r>
            <w:r>
              <w:rPr>
                <w:color w:val="auto"/>
                <w:sz w:val="24"/>
                <w:szCs w:val="24"/>
              </w:rPr>
              <w:t>。</w:t>
            </w:r>
          </w:p>
          <w:p w14:paraId="40BBB1E3">
            <w:pPr>
              <w:keepNext w:val="0"/>
              <w:keepLines w:val="0"/>
              <w:pageBreakBefore w:val="0"/>
              <w:widowControl w:val="0"/>
              <w:kinsoku/>
              <w:wordWrap/>
              <w:overflowPunct w:val="0"/>
              <w:topLinePunct w:val="0"/>
              <w:autoSpaceDE w:val="0"/>
              <w:autoSpaceDN w:val="0"/>
              <w:bidi w:val="0"/>
              <w:adjustRightInd w:val="0"/>
              <w:snapToGrid w:val="0"/>
              <w:spacing w:line="360" w:lineRule="auto"/>
              <w:jc w:val="center"/>
              <w:textAlignment w:val="baseline"/>
              <w:rPr>
                <w:rFonts w:eastAsia="黑体"/>
                <w:color w:val="auto"/>
                <w:sz w:val="24"/>
                <w:szCs w:val="24"/>
              </w:rPr>
            </w:pPr>
            <w:r>
              <w:rPr>
                <w:rFonts w:hint="eastAsia" w:eastAsia="黑体"/>
                <w:color w:val="auto"/>
                <w:sz w:val="24"/>
                <w:szCs w:val="24"/>
              </w:rPr>
              <w:t>表</w:t>
            </w:r>
            <w:r>
              <w:rPr>
                <w:rFonts w:hint="eastAsia" w:eastAsia="黑体"/>
                <w:color w:val="auto"/>
                <w:sz w:val="24"/>
                <w:szCs w:val="24"/>
                <w:lang w:val="en-US" w:eastAsia="zh-CN"/>
              </w:rPr>
              <w:t xml:space="preserve">4-26 </w:t>
            </w:r>
            <w:r>
              <w:rPr>
                <w:rFonts w:hint="eastAsia" w:eastAsia="黑体"/>
                <w:color w:val="auto"/>
                <w:sz w:val="24"/>
                <w:szCs w:val="24"/>
              </w:rPr>
              <w:t xml:space="preserve"> </w:t>
            </w:r>
            <w:r>
              <w:rPr>
                <w:rFonts w:hint="eastAsia" w:eastAsia="黑体"/>
                <w:color w:val="auto"/>
                <w:sz w:val="24"/>
                <w:szCs w:val="24"/>
                <w:lang w:val="en-US" w:eastAsia="zh-CN"/>
              </w:rPr>
              <w:t>有组织</w:t>
            </w:r>
            <w:r>
              <w:rPr>
                <w:rFonts w:hint="eastAsia" w:eastAsia="黑体"/>
                <w:color w:val="auto"/>
                <w:sz w:val="24"/>
                <w:szCs w:val="24"/>
              </w:rPr>
              <w:t>废气污染源产生、正常排放汇总表</w:t>
            </w:r>
          </w:p>
          <w:tbl>
            <w:tblPr>
              <w:tblStyle w:val="29"/>
              <w:tblW w:w="1284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46"/>
              <w:gridCol w:w="389"/>
              <w:gridCol w:w="601"/>
              <w:gridCol w:w="788"/>
              <w:gridCol w:w="700"/>
              <w:gridCol w:w="700"/>
              <w:gridCol w:w="676"/>
              <w:gridCol w:w="456"/>
              <w:gridCol w:w="523"/>
              <w:gridCol w:w="577"/>
              <w:gridCol w:w="773"/>
              <w:gridCol w:w="686"/>
              <w:gridCol w:w="672"/>
              <w:gridCol w:w="700"/>
              <w:gridCol w:w="734"/>
              <w:gridCol w:w="429"/>
              <w:gridCol w:w="434"/>
              <w:gridCol w:w="446"/>
              <w:gridCol w:w="585"/>
              <w:gridCol w:w="598"/>
              <w:gridCol w:w="529"/>
            </w:tblGrid>
            <w:tr w14:paraId="4A6B83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restart"/>
                  <w:tcBorders>
                    <w:tl2br w:val="nil"/>
                    <w:tr2bl w:val="nil"/>
                  </w:tcBorders>
                  <w:shd w:val="clear" w:color="auto" w:fill="auto"/>
                  <w:vAlign w:val="center"/>
                </w:tcPr>
                <w:p w14:paraId="7BA42BC0">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产排污环节</w:t>
                  </w:r>
                </w:p>
              </w:tc>
              <w:tc>
                <w:tcPr>
                  <w:tcW w:w="151" w:type="pct"/>
                  <w:vMerge w:val="restart"/>
                  <w:tcBorders>
                    <w:tl2br w:val="nil"/>
                    <w:tr2bl w:val="nil"/>
                  </w:tcBorders>
                  <w:shd w:val="clear" w:color="auto" w:fill="auto"/>
                  <w:vAlign w:val="center"/>
                </w:tcPr>
                <w:p w14:paraId="642F603B">
                  <w:pPr>
                    <w:widowControl/>
                    <w:jc w:val="center"/>
                    <w:textAlignment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kern w:val="0"/>
                      <w:sz w:val="18"/>
                      <w:szCs w:val="18"/>
                      <w:lang w:val="en-US" w:eastAsia="zh-CN" w:bidi="ar"/>
                    </w:rPr>
                    <w:t>车间</w:t>
                  </w:r>
                </w:p>
              </w:tc>
              <w:tc>
                <w:tcPr>
                  <w:tcW w:w="233" w:type="pct"/>
                  <w:vMerge w:val="restart"/>
                  <w:tcBorders>
                    <w:tl2br w:val="nil"/>
                    <w:tr2bl w:val="nil"/>
                  </w:tcBorders>
                  <w:shd w:val="clear" w:color="auto" w:fill="auto"/>
                  <w:vAlign w:val="center"/>
                </w:tcPr>
                <w:p w14:paraId="088B9E77">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污染物种类</w:t>
                  </w:r>
                </w:p>
              </w:tc>
              <w:tc>
                <w:tcPr>
                  <w:tcW w:w="851" w:type="pct"/>
                  <w:gridSpan w:val="3"/>
                  <w:tcBorders>
                    <w:tl2br w:val="nil"/>
                    <w:tr2bl w:val="nil"/>
                  </w:tcBorders>
                  <w:shd w:val="clear" w:color="auto" w:fill="auto"/>
                  <w:vAlign w:val="center"/>
                </w:tcPr>
                <w:p w14:paraId="6F4AE556">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污染物产生量和浓度</w:t>
                  </w:r>
                </w:p>
              </w:tc>
              <w:tc>
                <w:tcPr>
                  <w:tcW w:w="1169" w:type="pct"/>
                  <w:gridSpan w:val="5"/>
                  <w:tcBorders>
                    <w:tl2br w:val="nil"/>
                    <w:tr2bl w:val="nil"/>
                  </w:tcBorders>
                  <w:shd w:val="clear" w:color="auto" w:fill="auto"/>
                  <w:vAlign w:val="center"/>
                </w:tcPr>
                <w:p w14:paraId="274D1798">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污染治理设施</w:t>
                  </w:r>
                </w:p>
              </w:tc>
              <w:tc>
                <w:tcPr>
                  <w:tcW w:w="801" w:type="pct"/>
                  <w:gridSpan w:val="3"/>
                  <w:tcBorders>
                    <w:tl2br w:val="nil"/>
                    <w:tr2bl w:val="nil"/>
                  </w:tcBorders>
                  <w:shd w:val="clear" w:color="auto" w:fill="auto"/>
                  <w:vAlign w:val="center"/>
                </w:tcPr>
                <w:p w14:paraId="538EE5BA">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污染物排放量和浓度</w:t>
                  </w:r>
                </w:p>
              </w:tc>
              <w:tc>
                <w:tcPr>
                  <w:tcW w:w="1023" w:type="pct"/>
                  <w:gridSpan w:val="5"/>
                  <w:tcBorders>
                    <w:tl2br w:val="nil"/>
                    <w:tr2bl w:val="nil"/>
                  </w:tcBorders>
                  <w:shd w:val="clear" w:color="auto" w:fill="auto"/>
                  <w:vAlign w:val="center"/>
                </w:tcPr>
                <w:p w14:paraId="2C1003A9">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排放口基本情况</w:t>
                  </w:r>
                </w:p>
              </w:tc>
              <w:tc>
                <w:tcPr>
                  <w:tcW w:w="438" w:type="pct"/>
                  <w:gridSpan w:val="2"/>
                  <w:tcBorders>
                    <w:tl2br w:val="nil"/>
                    <w:tr2bl w:val="nil"/>
                  </w:tcBorders>
                  <w:shd w:val="clear" w:color="auto" w:fill="auto"/>
                  <w:vAlign w:val="center"/>
                </w:tcPr>
                <w:p w14:paraId="7D69443B">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排放标准</w:t>
                  </w:r>
                </w:p>
              </w:tc>
            </w:tr>
            <w:tr w14:paraId="7B70B1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199F6C23">
                  <w:pPr>
                    <w:jc w:val="center"/>
                    <w:rPr>
                      <w:rFonts w:hint="eastAsia" w:ascii="宋体" w:hAnsi="宋体" w:cs="宋体"/>
                      <w:b/>
                      <w:bCs/>
                      <w:color w:val="auto"/>
                      <w:sz w:val="18"/>
                      <w:szCs w:val="18"/>
                    </w:rPr>
                  </w:pPr>
                </w:p>
              </w:tc>
              <w:tc>
                <w:tcPr>
                  <w:tcW w:w="151" w:type="pct"/>
                  <w:vMerge w:val="continue"/>
                  <w:tcBorders>
                    <w:tl2br w:val="nil"/>
                    <w:tr2bl w:val="nil"/>
                  </w:tcBorders>
                  <w:shd w:val="clear" w:color="auto" w:fill="auto"/>
                  <w:vAlign w:val="center"/>
                </w:tcPr>
                <w:p w14:paraId="14043084">
                  <w:pPr>
                    <w:jc w:val="center"/>
                    <w:rPr>
                      <w:rFonts w:hint="default" w:ascii="Times New Roman" w:hAnsi="Times New Roman" w:cs="Times New Roman"/>
                      <w:b/>
                      <w:bCs/>
                      <w:color w:val="auto"/>
                      <w:sz w:val="18"/>
                      <w:szCs w:val="18"/>
                    </w:rPr>
                  </w:pPr>
                </w:p>
              </w:tc>
              <w:tc>
                <w:tcPr>
                  <w:tcW w:w="233" w:type="pct"/>
                  <w:vMerge w:val="continue"/>
                  <w:tcBorders>
                    <w:tl2br w:val="nil"/>
                    <w:tr2bl w:val="nil"/>
                  </w:tcBorders>
                  <w:shd w:val="clear" w:color="auto" w:fill="auto"/>
                  <w:vAlign w:val="center"/>
                </w:tcPr>
                <w:p w14:paraId="7FC5FB76">
                  <w:pPr>
                    <w:jc w:val="center"/>
                    <w:rPr>
                      <w:rFonts w:hint="eastAsia" w:ascii="宋体" w:hAnsi="宋体" w:cs="宋体"/>
                      <w:b/>
                      <w:bCs/>
                      <w:color w:val="auto"/>
                      <w:sz w:val="18"/>
                      <w:szCs w:val="18"/>
                    </w:rPr>
                  </w:pPr>
                </w:p>
              </w:tc>
              <w:tc>
                <w:tcPr>
                  <w:tcW w:w="306" w:type="pct"/>
                  <w:tcBorders>
                    <w:tl2br w:val="nil"/>
                    <w:tr2bl w:val="nil"/>
                  </w:tcBorders>
                  <w:shd w:val="clear" w:color="auto" w:fill="auto"/>
                  <w:vAlign w:val="center"/>
                </w:tcPr>
                <w:p w14:paraId="694CD0F4">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产生浓度</w:t>
                  </w:r>
                </w:p>
              </w:tc>
              <w:tc>
                <w:tcPr>
                  <w:tcW w:w="545" w:type="pct"/>
                  <w:gridSpan w:val="2"/>
                  <w:tcBorders>
                    <w:tl2br w:val="nil"/>
                    <w:tr2bl w:val="nil"/>
                  </w:tcBorders>
                  <w:shd w:val="clear" w:color="auto" w:fill="auto"/>
                  <w:vAlign w:val="center"/>
                </w:tcPr>
                <w:p w14:paraId="42F920D8">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产生量</w:t>
                  </w:r>
                </w:p>
              </w:tc>
              <w:tc>
                <w:tcPr>
                  <w:tcW w:w="263" w:type="pct"/>
                  <w:tcBorders>
                    <w:tl2br w:val="nil"/>
                    <w:tr2bl w:val="nil"/>
                  </w:tcBorders>
                  <w:shd w:val="clear" w:color="auto" w:fill="auto"/>
                  <w:vAlign w:val="center"/>
                </w:tcPr>
                <w:p w14:paraId="6A6DD023">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处理能力</w:t>
                  </w:r>
                </w:p>
              </w:tc>
              <w:tc>
                <w:tcPr>
                  <w:tcW w:w="177" w:type="pct"/>
                  <w:tcBorders>
                    <w:tl2br w:val="nil"/>
                    <w:tr2bl w:val="nil"/>
                  </w:tcBorders>
                  <w:shd w:val="clear" w:color="auto" w:fill="auto"/>
                  <w:vAlign w:val="center"/>
                </w:tcPr>
                <w:p w14:paraId="11D6CE79">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收集效率</w:t>
                  </w:r>
                </w:p>
              </w:tc>
              <w:tc>
                <w:tcPr>
                  <w:tcW w:w="203" w:type="pct"/>
                  <w:tcBorders>
                    <w:tl2br w:val="nil"/>
                    <w:tr2bl w:val="nil"/>
                  </w:tcBorders>
                  <w:shd w:val="clear" w:color="auto" w:fill="auto"/>
                  <w:vAlign w:val="center"/>
                </w:tcPr>
                <w:p w14:paraId="78BB9FD1">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去除效率</w:t>
                  </w:r>
                </w:p>
              </w:tc>
              <w:tc>
                <w:tcPr>
                  <w:tcW w:w="224" w:type="pct"/>
                  <w:vMerge w:val="restart"/>
                  <w:tcBorders>
                    <w:tl2br w:val="nil"/>
                    <w:tr2bl w:val="nil"/>
                  </w:tcBorders>
                  <w:shd w:val="clear" w:color="auto" w:fill="auto"/>
                  <w:vAlign w:val="center"/>
                </w:tcPr>
                <w:p w14:paraId="50EF070A">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是否可行技术</w:t>
                  </w:r>
                </w:p>
              </w:tc>
              <w:tc>
                <w:tcPr>
                  <w:tcW w:w="300" w:type="pct"/>
                  <w:vMerge w:val="restart"/>
                  <w:tcBorders>
                    <w:tl2br w:val="nil"/>
                    <w:tr2bl w:val="nil"/>
                  </w:tcBorders>
                  <w:shd w:val="clear" w:color="auto" w:fill="auto"/>
                  <w:vAlign w:val="center"/>
                </w:tcPr>
                <w:p w14:paraId="7CEDFD0B">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处理工艺</w:t>
                  </w:r>
                </w:p>
              </w:tc>
              <w:tc>
                <w:tcPr>
                  <w:tcW w:w="267" w:type="pct"/>
                  <w:tcBorders>
                    <w:tl2br w:val="nil"/>
                    <w:tr2bl w:val="nil"/>
                  </w:tcBorders>
                  <w:shd w:val="clear" w:color="auto" w:fill="auto"/>
                  <w:vAlign w:val="center"/>
                </w:tcPr>
                <w:p w14:paraId="51119D36">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排放浓度</w:t>
                  </w:r>
                </w:p>
              </w:tc>
              <w:tc>
                <w:tcPr>
                  <w:tcW w:w="534" w:type="pct"/>
                  <w:gridSpan w:val="2"/>
                  <w:tcBorders>
                    <w:tl2br w:val="nil"/>
                    <w:tr2bl w:val="nil"/>
                  </w:tcBorders>
                  <w:shd w:val="clear" w:color="auto" w:fill="auto"/>
                  <w:vAlign w:val="center"/>
                </w:tcPr>
                <w:p w14:paraId="2BC8F12B">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排放量</w:t>
                  </w:r>
                </w:p>
              </w:tc>
              <w:tc>
                <w:tcPr>
                  <w:tcW w:w="285" w:type="pct"/>
                  <w:tcBorders>
                    <w:tl2br w:val="nil"/>
                    <w:tr2bl w:val="nil"/>
                  </w:tcBorders>
                  <w:shd w:val="clear" w:color="auto" w:fill="auto"/>
                  <w:vAlign w:val="center"/>
                </w:tcPr>
                <w:p w14:paraId="56D8BC36">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编号及名称</w:t>
                  </w:r>
                </w:p>
              </w:tc>
              <w:tc>
                <w:tcPr>
                  <w:tcW w:w="167" w:type="pct"/>
                  <w:tcBorders>
                    <w:tl2br w:val="nil"/>
                    <w:tr2bl w:val="nil"/>
                  </w:tcBorders>
                  <w:shd w:val="clear" w:color="auto" w:fill="auto"/>
                  <w:vAlign w:val="center"/>
                </w:tcPr>
                <w:p w14:paraId="53B9494B">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高度</w:t>
                  </w:r>
                </w:p>
              </w:tc>
              <w:tc>
                <w:tcPr>
                  <w:tcW w:w="168" w:type="pct"/>
                  <w:tcBorders>
                    <w:tl2br w:val="nil"/>
                    <w:tr2bl w:val="nil"/>
                  </w:tcBorders>
                  <w:shd w:val="clear" w:color="auto" w:fill="auto"/>
                  <w:vAlign w:val="center"/>
                </w:tcPr>
                <w:p w14:paraId="063DAEBF">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内径</w:t>
                  </w:r>
                </w:p>
              </w:tc>
              <w:tc>
                <w:tcPr>
                  <w:tcW w:w="173" w:type="pct"/>
                  <w:tcBorders>
                    <w:tl2br w:val="nil"/>
                    <w:tr2bl w:val="nil"/>
                  </w:tcBorders>
                  <w:shd w:val="clear" w:color="auto" w:fill="auto"/>
                  <w:vAlign w:val="center"/>
                </w:tcPr>
                <w:p w14:paraId="07658977">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温度</w:t>
                  </w:r>
                </w:p>
              </w:tc>
              <w:tc>
                <w:tcPr>
                  <w:tcW w:w="227" w:type="pct"/>
                  <w:tcBorders>
                    <w:tl2br w:val="nil"/>
                    <w:tr2bl w:val="nil"/>
                  </w:tcBorders>
                  <w:shd w:val="clear" w:color="auto" w:fill="auto"/>
                  <w:vAlign w:val="center"/>
                </w:tcPr>
                <w:p w14:paraId="5D5756EC">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类型</w:t>
                  </w:r>
                </w:p>
              </w:tc>
              <w:tc>
                <w:tcPr>
                  <w:tcW w:w="232" w:type="pct"/>
                  <w:tcBorders>
                    <w:tl2br w:val="nil"/>
                    <w:tr2bl w:val="nil"/>
                  </w:tcBorders>
                  <w:shd w:val="clear" w:color="auto" w:fill="auto"/>
                  <w:vAlign w:val="center"/>
                </w:tcPr>
                <w:p w14:paraId="7AAE7A84">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浓度</w:t>
                  </w:r>
                </w:p>
              </w:tc>
              <w:tc>
                <w:tcPr>
                  <w:tcW w:w="205" w:type="pct"/>
                  <w:tcBorders>
                    <w:tl2br w:val="nil"/>
                    <w:tr2bl w:val="nil"/>
                  </w:tcBorders>
                  <w:shd w:val="clear" w:color="auto" w:fill="auto"/>
                  <w:vAlign w:val="center"/>
                </w:tcPr>
                <w:p w14:paraId="129F118B">
                  <w:pPr>
                    <w:widowControl/>
                    <w:jc w:val="center"/>
                    <w:textAlignment w:val="center"/>
                    <w:rPr>
                      <w:rFonts w:hint="eastAsia" w:ascii="宋体" w:hAnsi="宋体" w:cs="宋体"/>
                      <w:b/>
                      <w:bCs/>
                      <w:color w:val="auto"/>
                      <w:sz w:val="18"/>
                      <w:szCs w:val="18"/>
                    </w:rPr>
                  </w:pPr>
                  <w:r>
                    <w:rPr>
                      <w:rFonts w:hint="eastAsia" w:ascii="宋体" w:hAnsi="宋体" w:cs="宋体"/>
                      <w:b/>
                      <w:bCs/>
                      <w:color w:val="auto"/>
                      <w:kern w:val="0"/>
                      <w:sz w:val="18"/>
                      <w:szCs w:val="18"/>
                      <w:lang w:bidi="ar"/>
                    </w:rPr>
                    <w:t>速率</w:t>
                  </w:r>
                </w:p>
              </w:tc>
            </w:tr>
            <w:tr w14:paraId="7257AE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2D460CDB">
                  <w:pPr>
                    <w:jc w:val="center"/>
                    <w:rPr>
                      <w:rFonts w:hint="eastAsia" w:ascii="宋体" w:hAnsi="宋体" w:cs="宋体"/>
                      <w:b/>
                      <w:bCs/>
                      <w:color w:val="auto"/>
                      <w:sz w:val="18"/>
                      <w:szCs w:val="18"/>
                    </w:rPr>
                  </w:pPr>
                </w:p>
              </w:tc>
              <w:tc>
                <w:tcPr>
                  <w:tcW w:w="151" w:type="pct"/>
                  <w:vMerge w:val="continue"/>
                  <w:tcBorders>
                    <w:tl2br w:val="nil"/>
                    <w:tr2bl w:val="nil"/>
                  </w:tcBorders>
                  <w:shd w:val="clear" w:color="auto" w:fill="auto"/>
                  <w:vAlign w:val="center"/>
                </w:tcPr>
                <w:p w14:paraId="7367F736">
                  <w:pPr>
                    <w:jc w:val="center"/>
                    <w:rPr>
                      <w:rFonts w:hint="default" w:ascii="Times New Roman" w:hAnsi="Times New Roman" w:cs="Times New Roman"/>
                      <w:b/>
                      <w:bCs/>
                      <w:color w:val="auto"/>
                      <w:sz w:val="18"/>
                      <w:szCs w:val="18"/>
                    </w:rPr>
                  </w:pPr>
                </w:p>
              </w:tc>
              <w:tc>
                <w:tcPr>
                  <w:tcW w:w="233" w:type="pct"/>
                  <w:vMerge w:val="continue"/>
                  <w:tcBorders>
                    <w:tl2br w:val="nil"/>
                    <w:tr2bl w:val="nil"/>
                  </w:tcBorders>
                  <w:shd w:val="clear" w:color="auto" w:fill="auto"/>
                  <w:vAlign w:val="center"/>
                </w:tcPr>
                <w:p w14:paraId="7683C1A8">
                  <w:pPr>
                    <w:jc w:val="center"/>
                    <w:rPr>
                      <w:rFonts w:hint="eastAsia" w:ascii="宋体" w:hAnsi="宋体" w:cs="宋体"/>
                      <w:b/>
                      <w:bCs/>
                      <w:color w:val="auto"/>
                      <w:sz w:val="18"/>
                      <w:szCs w:val="18"/>
                    </w:rPr>
                  </w:pPr>
                </w:p>
              </w:tc>
              <w:tc>
                <w:tcPr>
                  <w:tcW w:w="306" w:type="pct"/>
                  <w:tcBorders>
                    <w:tl2br w:val="nil"/>
                    <w:tr2bl w:val="nil"/>
                  </w:tcBorders>
                  <w:shd w:val="clear" w:color="auto" w:fill="auto"/>
                  <w:vAlign w:val="center"/>
                </w:tcPr>
                <w:p w14:paraId="37A951BA">
                  <w:pPr>
                    <w:widowControl/>
                    <w:jc w:val="center"/>
                    <w:textAlignment w:val="center"/>
                    <w:rPr>
                      <w:b/>
                      <w:bCs/>
                      <w:color w:val="auto"/>
                      <w:sz w:val="18"/>
                      <w:szCs w:val="18"/>
                    </w:rPr>
                  </w:pPr>
                  <w:r>
                    <w:rPr>
                      <w:b/>
                      <w:bCs/>
                      <w:color w:val="auto"/>
                      <w:kern w:val="0"/>
                      <w:sz w:val="18"/>
                      <w:szCs w:val="18"/>
                      <w:lang w:bidi="ar"/>
                    </w:rPr>
                    <w:t>mg/m</w:t>
                  </w:r>
                  <w:r>
                    <w:rPr>
                      <w:rStyle w:val="143"/>
                      <w:b/>
                      <w:bCs/>
                      <w:color w:val="auto"/>
                      <w:sz w:val="18"/>
                      <w:szCs w:val="18"/>
                      <w:lang w:bidi="ar"/>
                    </w:rPr>
                    <w:t>3</w:t>
                  </w:r>
                </w:p>
              </w:tc>
              <w:tc>
                <w:tcPr>
                  <w:tcW w:w="272" w:type="pct"/>
                  <w:tcBorders>
                    <w:tl2br w:val="nil"/>
                    <w:tr2bl w:val="nil"/>
                  </w:tcBorders>
                  <w:shd w:val="clear" w:color="auto" w:fill="auto"/>
                  <w:vAlign w:val="center"/>
                </w:tcPr>
                <w:p w14:paraId="75B1249C">
                  <w:pPr>
                    <w:widowControl/>
                    <w:jc w:val="center"/>
                    <w:textAlignment w:val="center"/>
                    <w:rPr>
                      <w:b/>
                      <w:bCs/>
                      <w:color w:val="auto"/>
                      <w:sz w:val="18"/>
                      <w:szCs w:val="18"/>
                    </w:rPr>
                  </w:pPr>
                  <w:r>
                    <w:rPr>
                      <w:b/>
                      <w:bCs/>
                      <w:color w:val="auto"/>
                      <w:kern w:val="0"/>
                      <w:sz w:val="18"/>
                      <w:szCs w:val="18"/>
                      <w:lang w:bidi="ar"/>
                    </w:rPr>
                    <w:t>kg/h</w:t>
                  </w:r>
                </w:p>
              </w:tc>
              <w:tc>
                <w:tcPr>
                  <w:tcW w:w="272" w:type="pct"/>
                  <w:tcBorders>
                    <w:tl2br w:val="nil"/>
                    <w:tr2bl w:val="nil"/>
                  </w:tcBorders>
                  <w:shd w:val="clear" w:color="auto" w:fill="auto"/>
                  <w:vAlign w:val="center"/>
                </w:tcPr>
                <w:p w14:paraId="27D65EEC">
                  <w:pPr>
                    <w:widowControl/>
                    <w:jc w:val="center"/>
                    <w:textAlignment w:val="center"/>
                    <w:rPr>
                      <w:b/>
                      <w:bCs/>
                      <w:color w:val="auto"/>
                      <w:sz w:val="18"/>
                      <w:szCs w:val="18"/>
                    </w:rPr>
                  </w:pPr>
                  <w:r>
                    <w:rPr>
                      <w:b/>
                      <w:bCs/>
                      <w:color w:val="auto"/>
                      <w:kern w:val="0"/>
                      <w:sz w:val="18"/>
                      <w:szCs w:val="18"/>
                      <w:lang w:bidi="ar"/>
                    </w:rPr>
                    <w:t>t/a</w:t>
                  </w:r>
                </w:p>
              </w:tc>
              <w:tc>
                <w:tcPr>
                  <w:tcW w:w="263" w:type="pct"/>
                  <w:tcBorders>
                    <w:tl2br w:val="nil"/>
                    <w:tr2bl w:val="nil"/>
                  </w:tcBorders>
                  <w:shd w:val="clear" w:color="auto" w:fill="auto"/>
                  <w:vAlign w:val="center"/>
                </w:tcPr>
                <w:p w14:paraId="66044D16">
                  <w:pPr>
                    <w:widowControl/>
                    <w:jc w:val="center"/>
                    <w:textAlignment w:val="center"/>
                    <w:rPr>
                      <w:b/>
                      <w:bCs/>
                      <w:color w:val="auto"/>
                      <w:sz w:val="18"/>
                      <w:szCs w:val="18"/>
                    </w:rPr>
                  </w:pPr>
                  <w:r>
                    <w:rPr>
                      <w:b/>
                      <w:bCs/>
                      <w:color w:val="auto"/>
                      <w:kern w:val="0"/>
                      <w:sz w:val="18"/>
                      <w:szCs w:val="18"/>
                      <w:lang w:bidi="ar"/>
                    </w:rPr>
                    <w:t>Nm</w:t>
                  </w:r>
                  <w:r>
                    <w:rPr>
                      <w:rStyle w:val="143"/>
                      <w:b/>
                      <w:bCs/>
                      <w:color w:val="auto"/>
                      <w:sz w:val="18"/>
                      <w:szCs w:val="18"/>
                      <w:lang w:bidi="ar"/>
                    </w:rPr>
                    <w:t>3</w:t>
                  </w:r>
                  <w:r>
                    <w:rPr>
                      <w:b/>
                      <w:bCs/>
                      <w:color w:val="auto"/>
                      <w:kern w:val="0"/>
                      <w:sz w:val="18"/>
                      <w:szCs w:val="18"/>
                      <w:lang w:bidi="ar"/>
                    </w:rPr>
                    <w:t>/h</w:t>
                  </w:r>
                </w:p>
              </w:tc>
              <w:tc>
                <w:tcPr>
                  <w:tcW w:w="177" w:type="pct"/>
                  <w:tcBorders>
                    <w:tl2br w:val="nil"/>
                    <w:tr2bl w:val="nil"/>
                  </w:tcBorders>
                  <w:shd w:val="clear" w:color="auto" w:fill="auto"/>
                  <w:vAlign w:val="center"/>
                </w:tcPr>
                <w:p w14:paraId="4E0E3E86">
                  <w:pPr>
                    <w:widowControl/>
                    <w:jc w:val="center"/>
                    <w:textAlignment w:val="center"/>
                    <w:rPr>
                      <w:b/>
                      <w:bCs/>
                      <w:color w:val="auto"/>
                      <w:sz w:val="18"/>
                      <w:szCs w:val="18"/>
                    </w:rPr>
                  </w:pPr>
                  <w:r>
                    <w:rPr>
                      <w:b/>
                      <w:bCs/>
                      <w:color w:val="auto"/>
                      <w:kern w:val="0"/>
                      <w:sz w:val="18"/>
                      <w:szCs w:val="18"/>
                      <w:lang w:bidi="ar"/>
                    </w:rPr>
                    <w:t>%</w:t>
                  </w:r>
                </w:p>
              </w:tc>
              <w:tc>
                <w:tcPr>
                  <w:tcW w:w="203" w:type="pct"/>
                  <w:tcBorders>
                    <w:tl2br w:val="nil"/>
                    <w:tr2bl w:val="nil"/>
                  </w:tcBorders>
                  <w:shd w:val="clear" w:color="auto" w:fill="auto"/>
                  <w:vAlign w:val="center"/>
                </w:tcPr>
                <w:p w14:paraId="13818C59">
                  <w:pPr>
                    <w:widowControl/>
                    <w:jc w:val="center"/>
                    <w:textAlignment w:val="center"/>
                    <w:rPr>
                      <w:b/>
                      <w:bCs/>
                      <w:color w:val="auto"/>
                      <w:sz w:val="18"/>
                      <w:szCs w:val="18"/>
                    </w:rPr>
                  </w:pPr>
                  <w:r>
                    <w:rPr>
                      <w:b/>
                      <w:bCs/>
                      <w:color w:val="auto"/>
                      <w:kern w:val="0"/>
                      <w:sz w:val="18"/>
                      <w:szCs w:val="18"/>
                      <w:lang w:bidi="ar"/>
                    </w:rPr>
                    <w:t>%</w:t>
                  </w:r>
                </w:p>
              </w:tc>
              <w:tc>
                <w:tcPr>
                  <w:tcW w:w="224" w:type="pct"/>
                  <w:vMerge w:val="continue"/>
                  <w:tcBorders>
                    <w:tl2br w:val="nil"/>
                    <w:tr2bl w:val="nil"/>
                  </w:tcBorders>
                  <w:shd w:val="clear" w:color="auto" w:fill="auto"/>
                  <w:vAlign w:val="center"/>
                </w:tcPr>
                <w:p w14:paraId="6BF1FADC">
                  <w:pPr>
                    <w:jc w:val="center"/>
                    <w:rPr>
                      <w:rFonts w:hint="eastAsia" w:ascii="宋体" w:hAnsi="宋体" w:cs="宋体"/>
                      <w:b/>
                      <w:bCs/>
                      <w:color w:val="auto"/>
                      <w:sz w:val="18"/>
                      <w:szCs w:val="18"/>
                    </w:rPr>
                  </w:pPr>
                </w:p>
              </w:tc>
              <w:tc>
                <w:tcPr>
                  <w:tcW w:w="300" w:type="pct"/>
                  <w:vMerge w:val="continue"/>
                  <w:tcBorders>
                    <w:tl2br w:val="nil"/>
                    <w:tr2bl w:val="nil"/>
                  </w:tcBorders>
                  <w:shd w:val="clear" w:color="auto" w:fill="auto"/>
                  <w:vAlign w:val="center"/>
                </w:tcPr>
                <w:p w14:paraId="3D31C388">
                  <w:pPr>
                    <w:jc w:val="center"/>
                    <w:rPr>
                      <w:rFonts w:hint="eastAsia" w:ascii="宋体" w:hAnsi="宋体" w:cs="宋体"/>
                      <w:b/>
                      <w:bCs/>
                      <w:color w:val="auto"/>
                      <w:sz w:val="18"/>
                      <w:szCs w:val="18"/>
                    </w:rPr>
                  </w:pPr>
                </w:p>
              </w:tc>
              <w:tc>
                <w:tcPr>
                  <w:tcW w:w="267" w:type="pct"/>
                  <w:tcBorders>
                    <w:tl2br w:val="nil"/>
                    <w:tr2bl w:val="nil"/>
                  </w:tcBorders>
                  <w:shd w:val="clear" w:color="auto" w:fill="auto"/>
                  <w:vAlign w:val="center"/>
                </w:tcPr>
                <w:p w14:paraId="39270AC1">
                  <w:pPr>
                    <w:widowControl/>
                    <w:jc w:val="center"/>
                    <w:textAlignment w:val="center"/>
                    <w:rPr>
                      <w:b/>
                      <w:bCs/>
                      <w:color w:val="auto"/>
                      <w:sz w:val="18"/>
                      <w:szCs w:val="18"/>
                    </w:rPr>
                  </w:pPr>
                  <w:r>
                    <w:rPr>
                      <w:b/>
                      <w:bCs/>
                      <w:color w:val="auto"/>
                      <w:kern w:val="0"/>
                      <w:sz w:val="18"/>
                      <w:szCs w:val="18"/>
                      <w:lang w:bidi="ar"/>
                    </w:rPr>
                    <w:t>mg/m</w:t>
                  </w:r>
                  <w:r>
                    <w:rPr>
                      <w:rStyle w:val="143"/>
                      <w:b/>
                      <w:bCs/>
                      <w:color w:val="auto"/>
                      <w:sz w:val="18"/>
                      <w:szCs w:val="18"/>
                      <w:lang w:bidi="ar"/>
                    </w:rPr>
                    <w:t>3</w:t>
                  </w:r>
                </w:p>
              </w:tc>
              <w:tc>
                <w:tcPr>
                  <w:tcW w:w="261" w:type="pct"/>
                  <w:tcBorders>
                    <w:tl2br w:val="nil"/>
                    <w:tr2bl w:val="nil"/>
                  </w:tcBorders>
                  <w:shd w:val="clear" w:color="auto" w:fill="auto"/>
                  <w:vAlign w:val="center"/>
                </w:tcPr>
                <w:p w14:paraId="29D4597E">
                  <w:pPr>
                    <w:widowControl/>
                    <w:jc w:val="center"/>
                    <w:textAlignment w:val="center"/>
                    <w:rPr>
                      <w:b/>
                      <w:bCs/>
                      <w:color w:val="auto"/>
                      <w:sz w:val="18"/>
                      <w:szCs w:val="18"/>
                    </w:rPr>
                  </w:pPr>
                  <w:r>
                    <w:rPr>
                      <w:b/>
                      <w:bCs/>
                      <w:color w:val="auto"/>
                      <w:kern w:val="0"/>
                      <w:sz w:val="18"/>
                      <w:szCs w:val="18"/>
                      <w:lang w:bidi="ar"/>
                    </w:rPr>
                    <w:t>kg/h</w:t>
                  </w:r>
                </w:p>
              </w:tc>
              <w:tc>
                <w:tcPr>
                  <w:tcW w:w="272" w:type="pct"/>
                  <w:tcBorders>
                    <w:tl2br w:val="nil"/>
                    <w:tr2bl w:val="nil"/>
                  </w:tcBorders>
                  <w:shd w:val="clear" w:color="auto" w:fill="auto"/>
                  <w:vAlign w:val="center"/>
                </w:tcPr>
                <w:p w14:paraId="527A0646">
                  <w:pPr>
                    <w:widowControl/>
                    <w:jc w:val="center"/>
                    <w:textAlignment w:val="center"/>
                    <w:rPr>
                      <w:b/>
                      <w:bCs/>
                      <w:color w:val="auto"/>
                      <w:sz w:val="18"/>
                      <w:szCs w:val="18"/>
                    </w:rPr>
                  </w:pPr>
                  <w:r>
                    <w:rPr>
                      <w:b/>
                      <w:bCs/>
                      <w:color w:val="auto"/>
                      <w:kern w:val="0"/>
                      <w:sz w:val="18"/>
                      <w:szCs w:val="18"/>
                      <w:lang w:bidi="ar"/>
                    </w:rPr>
                    <w:t>t/a</w:t>
                  </w:r>
                </w:p>
              </w:tc>
              <w:tc>
                <w:tcPr>
                  <w:tcW w:w="285" w:type="pct"/>
                  <w:tcBorders>
                    <w:tl2br w:val="nil"/>
                    <w:tr2bl w:val="nil"/>
                  </w:tcBorders>
                  <w:shd w:val="clear" w:color="auto" w:fill="auto"/>
                  <w:vAlign w:val="center"/>
                </w:tcPr>
                <w:p w14:paraId="2E4F7A8E">
                  <w:pPr>
                    <w:widowControl/>
                    <w:jc w:val="center"/>
                    <w:textAlignment w:val="center"/>
                    <w:rPr>
                      <w:b/>
                      <w:bCs/>
                      <w:color w:val="auto"/>
                      <w:sz w:val="18"/>
                      <w:szCs w:val="18"/>
                    </w:rPr>
                  </w:pPr>
                  <w:r>
                    <w:rPr>
                      <w:b/>
                      <w:bCs/>
                      <w:color w:val="auto"/>
                      <w:kern w:val="0"/>
                      <w:sz w:val="18"/>
                      <w:szCs w:val="18"/>
                      <w:lang w:bidi="ar"/>
                    </w:rPr>
                    <w:t>/</w:t>
                  </w:r>
                </w:p>
              </w:tc>
              <w:tc>
                <w:tcPr>
                  <w:tcW w:w="167" w:type="pct"/>
                  <w:tcBorders>
                    <w:tl2br w:val="nil"/>
                    <w:tr2bl w:val="nil"/>
                  </w:tcBorders>
                  <w:shd w:val="clear" w:color="auto" w:fill="auto"/>
                  <w:vAlign w:val="center"/>
                </w:tcPr>
                <w:p w14:paraId="3A1D6C3C">
                  <w:pPr>
                    <w:widowControl/>
                    <w:jc w:val="center"/>
                    <w:textAlignment w:val="center"/>
                    <w:rPr>
                      <w:b/>
                      <w:bCs/>
                      <w:color w:val="auto"/>
                      <w:sz w:val="18"/>
                      <w:szCs w:val="18"/>
                    </w:rPr>
                  </w:pPr>
                  <w:r>
                    <w:rPr>
                      <w:b/>
                      <w:bCs/>
                      <w:color w:val="auto"/>
                      <w:kern w:val="0"/>
                      <w:sz w:val="18"/>
                      <w:szCs w:val="18"/>
                      <w:lang w:bidi="ar"/>
                    </w:rPr>
                    <w:t>m</w:t>
                  </w:r>
                </w:p>
              </w:tc>
              <w:tc>
                <w:tcPr>
                  <w:tcW w:w="168" w:type="pct"/>
                  <w:tcBorders>
                    <w:tl2br w:val="nil"/>
                    <w:tr2bl w:val="nil"/>
                  </w:tcBorders>
                  <w:shd w:val="clear" w:color="auto" w:fill="auto"/>
                  <w:vAlign w:val="center"/>
                </w:tcPr>
                <w:p w14:paraId="15CDFAB0">
                  <w:pPr>
                    <w:widowControl/>
                    <w:jc w:val="center"/>
                    <w:textAlignment w:val="center"/>
                    <w:rPr>
                      <w:b/>
                      <w:bCs/>
                      <w:color w:val="auto"/>
                      <w:sz w:val="18"/>
                      <w:szCs w:val="18"/>
                    </w:rPr>
                  </w:pPr>
                  <w:r>
                    <w:rPr>
                      <w:b/>
                      <w:bCs/>
                      <w:color w:val="auto"/>
                      <w:kern w:val="0"/>
                      <w:sz w:val="18"/>
                      <w:szCs w:val="18"/>
                      <w:lang w:bidi="ar"/>
                    </w:rPr>
                    <w:t>m</w:t>
                  </w:r>
                </w:p>
              </w:tc>
              <w:tc>
                <w:tcPr>
                  <w:tcW w:w="173" w:type="pct"/>
                  <w:tcBorders>
                    <w:tl2br w:val="nil"/>
                    <w:tr2bl w:val="nil"/>
                  </w:tcBorders>
                  <w:shd w:val="clear" w:color="auto" w:fill="auto"/>
                  <w:vAlign w:val="center"/>
                </w:tcPr>
                <w:p w14:paraId="1A16F0F4">
                  <w:pPr>
                    <w:widowControl/>
                    <w:jc w:val="center"/>
                    <w:textAlignment w:val="center"/>
                    <w:rPr>
                      <w:b/>
                      <w:bCs/>
                      <w:color w:val="auto"/>
                      <w:sz w:val="18"/>
                      <w:szCs w:val="18"/>
                    </w:rPr>
                  </w:pPr>
                  <w:r>
                    <w:rPr>
                      <w:b/>
                      <w:bCs/>
                      <w:color w:val="auto"/>
                      <w:kern w:val="0"/>
                      <w:sz w:val="18"/>
                      <w:szCs w:val="18"/>
                      <w:lang w:bidi="ar"/>
                    </w:rPr>
                    <w:t>℃</w:t>
                  </w:r>
                </w:p>
              </w:tc>
              <w:tc>
                <w:tcPr>
                  <w:tcW w:w="227" w:type="pct"/>
                  <w:tcBorders>
                    <w:tl2br w:val="nil"/>
                    <w:tr2bl w:val="nil"/>
                  </w:tcBorders>
                  <w:shd w:val="clear" w:color="auto" w:fill="auto"/>
                  <w:vAlign w:val="center"/>
                </w:tcPr>
                <w:p w14:paraId="7D269143">
                  <w:pPr>
                    <w:widowControl/>
                    <w:jc w:val="center"/>
                    <w:textAlignment w:val="center"/>
                    <w:rPr>
                      <w:b/>
                      <w:bCs/>
                      <w:color w:val="auto"/>
                      <w:sz w:val="18"/>
                      <w:szCs w:val="18"/>
                    </w:rPr>
                  </w:pPr>
                  <w:r>
                    <w:rPr>
                      <w:b/>
                      <w:bCs/>
                      <w:color w:val="auto"/>
                      <w:kern w:val="0"/>
                      <w:sz w:val="18"/>
                      <w:szCs w:val="18"/>
                      <w:lang w:bidi="ar"/>
                    </w:rPr>
                    <w:t>/</w:t>
                  </w:r>
                </w:p>
              </w:tc>
              <w:tc>
                <w:tcPr>
                  <w:tcW w:w="232" w:type="pct"/>
                  <w:tcBorders>
                    <w:tl2br w:val="nil"/>
                    <w:tr2bl w:val="nil"/>
                  </w:tcBorders>
                  <w:shd w:val="clear" w:color="auto" w:fill="auto"/>
                  <w:vAlign w:val="center"/>
                </w:tcPr>
                <w:p w14:paraId="4B9FA243">
                  <w:pPr>
                    <w:widowControl/>
                    <w:jc w:val="center"/>
                    <w:textAlignment w:val="center"/>
                    <w:rPr>
                      <w:b/>
                      <w:bCs/>
                      <w:color w:val="auto"/>
                      <w:sz w:val="18"/>
                      <w:szCs w:val="18"/>
                    </w:rPr>
                  </w:pPr>
                  <w:r>
                    <w:rPr>
                      <w:b/>
                      <w:bCs/>
                      <w:color w:val="auto"/>
                      <w:kern w:val="0"/>
                      <w:sz w:val="18"/>
                      <w:szCs w:val="18"/>
                      <w:lang w:bidi="ar"/>
                    </w:rPr>
                    <w:t>mg/m</w:t>
                  </w:r>
                  <w:r>
                    <w:rPr>
                      <w:rStyle w:val="143"/>
                      <w:b/>
                      <w:bCs/>
                      <w:color w:val="auto"/>
                      <w:sz w:val="18"/>
                      <w:szCs w:val="18"/>
                      <w:lang w:bidi="ar"/>
                    </w:rPr>
                    <w:t>3</w:t>
                  </w:r>
                </w:p>
              </w:tc>
              <w:tc>
                <w:tcPr>
                  <w:tcW w:w="205" w:type="pct"/>
                  <w:tcBorders>
                    <w:tl2br w:val="nil"/>
                    <w:tr2bl w:val="nil"/>
                  </w:tcBorders>
                  <w:shd w:val="clear" w:color="auto" w:fill="auto"/>
                  <w:vAlign w:val="center"/>
                </w:tcPr>
                <w:p w14:paraId="4620C5F9">
                  <w:pPr>
                    <w:widowControl/>
                    <w:jc w:val="center"/>
                    <w:textAlignment w:val="center"/>
                    <w:rPr>
                      <w:b/>
                      <w:bCs/>
                      <w:color w:val="auto"/>
                      <w:sz w:val="18"/>
                      <w:szCs w:val="18"/>
                    </w:rPr>
                  </w:pPr>
                  <w:r>
                    <w:rPr>
                      <w:b/>
                      <w:bCs/>
                      <w:color w:val="auto"/>
                      <w:kern w:val="0"/>
                      <w:sz w:val="18"/>
                      <w:szCs w:val="18"/>
                      <w:lang w:bidi="ar"/>
                    </w:rPr>
                    <w:t>kg/h</w:t>
                  </w:r>
                </w:p>
              </w:tc>
            </w:tr>
            <w:tr w14:paraId="1C24E1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tcBorders>
                    <w:tl2br w:val="nil"/>
                    <w:tr2bl w:val="nil"/>
                  </w:tcBorders>
                  <w:shd w:val="clear" w:color="auto" w:fill="auto"/>
                  <w:vAlign w:val="center"/>
                </w:tcPr>
                <w:p w14:paraId="28DED99F">
                  <w:pPr>
                    <w:widowControl/>
                    <w:jc w:val="center"/>
                    <w:textAlignment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金属熔化、熔模浇注、粘土砂浇注废气</w:t>
                  </w:r>
                </w:p>
              </w:tc>
              <w:tc>
                <w:tcPr>
                  <w:tcW w:w="151" w:type="pct"/>
                  <w:tcBorders>
                    <w:tl2br w:val="nil"/>
                    <w:tr2bl w:val="nil"/>
                  </w:tcBorders>
                  <w:shd w:val="clear" w:color="auto" w:fill="auto"/>
                  <w:vAlign w:val="center"/>
                </w:tcPr>
                <w:p w14:paraId="084F77AA">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6BAE727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颗粒物</w:t>
                  </w:r>
                </w:p>
              </w:tc>
              <w:tc>
                <w:tcPr>
                  <w:tcW w:w="306" w:type="pct"/>
                  <w:tcBorders>
                    <w:tl2br w:val="nil"/>
                    <w:tr2bl w:val="nil"/>
                  </w:tcBorders>
                  <w:shd w:val="clear" w:color="auto" w:fill="auto"/>
                  <w:vAlign w:val="center"/>
                </w:tcPr>
                <w:p w14:paraId="1E6B65C1">
                  <w:pPr>
                    <w:widowControl/>
                    <w:jc w:val="center"/>
                    <w:textAlignment w:val="center"/>
                    <w:rPr>
                      <w:rFonts w:hint="default"/>
                      <w:color w:val="auto"/>
                      <w:sz w:val="18"/>
                      <w:szCs w:val="18"/>
                      <w:lang w:val="en-US" w:eastAsia="zh-CN"/>
                    </w:rPr>
                  </w:pPr>
                  <w:r>
                    <w:rPr>
                      <w:rFonts w:hint="default"/>
                      <w:color w:val="auto"/>
                      <w:sz w:val="18"/>
                      <w:szCs w:val="18"/>
                      <w:lang w:val="en-US" w:eastAsia="zh-CN"/>
                    </w:rPr>
                    <w:t xml:space="preserve">110.3 </w:t>
                  </w:r>
                </w:p>
              </w:tc>
              <w:tc>
                <w:tcPr>
                  <w:tcW w:w="272" w:type="pct"/>
                  <w:tcBorders>
                    <w:tl2br w:val="nil"/>
                    <w:tr2bl w:val="nil"/>
                  </w:tcBorders>
                  <w:shd w:val="clear" w:color="auto" w:fill="auto"/>
                  <w:vAlign w:val="center"/>
                </w:tcPr>
                <w:p w14:paraId="192B5B15">
                  <w:pPr>
                    <w:widowControl/>
                    <w:jc w:val="center"/>
                    <w:textAlignment w:val="center"/>
                    <w:rPr>
                      <w:rFonts w:hint="default"/>
                      <w:color w:val="auto"/>
                      <w:sz w:val="18"/>
                      <w:szCs w:val="18"/>
                      <w:lang w:val="en-US" w:eastAsia="zh-CN"/>
                    </w:rPr>
                  </w:pPr>
                  <w:r>
                    <w:rPr>
                      <w:rFonts w:hint="default"/>
                      <w:color w:val="auto"/>
                      <w:sz w:val="18"/>
                      <w:szCs w:val="18"/>
                      <w:lang w:val="en-US" w:eastAsia="zh-CN"/>
                    </w:rPr>
                    <w:t>5.515</w:t>
                  </w:r>
                </w:p>
              </w:tc>
              <w:tc>
                <w:tcPr>
                  <w:tcW w:w="272" w:type="pct"/>
                  <w:tcBorders>
                    <w:tl2br w:val="nil"/>
                    <w:tr2bl w:val="nil"/>
                  </w:tcBorders>
                  <w:shd w:val="clear" w:color="auto" w:fill="auto"/>
                  <w:vAlign w:val="center"/>
                </w:tcPr>
                <w:p w14:paraId="2F51F06C">
                  <w:pPr>
                    <w:widowControl/>
                    <w:jc w:val="center"/>
                    <w:textAlignment w:val="center"/>
                    <w:rPr>
                      <w:rFonts w:hint="default"/>
                      <w:color w:val="auto"/>
                      <w:sz w:val="18"/>
                      <w:szCs w:val="18"/>
                      <w:lang w:val="en-US" w:eastAsia="zh-CN"/>
                    </w:rPr>
                  </w:pPr>
                  <w:r>
                    <w:rPr>
                      <w:rFonts w:hint="default"/>
                      <w:color w:val="auto"/>
                      <w:sz w:val="18"/>
                      <w:szCs w:val="18"/>
                      <w:lang w:val="en-US" w:eastAsia="zh-CN"/>
                    </w:rPr>
                    <w:t>16.548</w:t>
                  </w:r>
                </w:p>
              </w:tc>
              <w:tc>
                <w:tcPr>
                  <w:tcW w:w="263" w:type="pct"/>
                  <w:tcBorders>
                    <w:tl2br w:val="nil"/>
                    <w:tr2bl w:val="nil"/>
                  </w:tcBorders>
                  <w:shd w:val="clear" w:color="auto" w:fill="auto"/>
                  <w:vAlign w:val="center"/>
                </w:tcPr>
                <w:p w14:paraId="7581371F">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50000</w:t>
                  </w:r>
                </w:p>
              </w:tc>
              <w:tc>
                <w:tcPr>
                  <w:tcW w:w="177" w:type="pct"/>
                  <w:tcBorders>
                    <w:tl2br w:val="nil"/>
                    <w:tr2bl w:val="nil"/>
                  </w:tcBorders>
                  <w:shd w:val="clear" w:color="auto" w:fill="auto"/>
                  <w:vAlign w:val="center"/>
                </w:tcPr>
                <w:p w14:paraId="792CA2EF">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80</w:t>
                  </w:r>
                </w:p>
              </w:tc>
              <w:tc>
                <w:tcPr>
                  <w:tcW w:w="203" w:type="pct"/>
                  <w:tcBorders>
                    <w:tl2br w:val="nil"/>
                    <w:tr2bl w:val="nil"/>
                  </w:tcBorders>
                  <w:shd w:val="clear" w:color="auto" w:fill="auto"/>
                  <w:vAlign w:val="center"/>
                </w:tcPr>
                <w:p w14:paraId="4073A2A3">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95</w:t>
                  </w:r>
                </w:p>
              </w:tc>
              <w:tc>
                <w:tcPr>
                  <w:tcW w:w="224" w:type="pct"/>
                  <w:tcBorders>
                    <w:tl2br w:val="nil"/>
                    <w:tr2bl w:val="nil"/>
                  </w:tcBorders>
                  <w:shd w:val="clear" w:color="auto" w:fill="auto"/>
                  <w:vAlign w:val="center"/>
                </w:tcPr>
                <w:p w14:paraId="2F330BC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是</w:t>
                  </w:r>
                </w:p>
              </w:tc>
              <w:tc>
                <w:tcPr>
                  <w:tcW w:w="300" w:type="pct"/>
                  <w:tcBorders>
                    <w:tl2br w:val="nil"/>
                    <w:tr2bl w:val="nil"/>
                  </w:tcBorders>
                  <w:shd w:val="clear" w:color="auto" w:fill="auto"/>
                  <w:vAlign w:val="center"/>
                </w:tcPr>
                <w:p w14:paraId="54578C7C">
                  <w:pPr>
                    <w:widowControl/>
                    <w:jc w:val="center"/>
                    <w:textAlignment w:val="center"/>
                    <w:rPr>
                      <w:rFonts w:hint="default" w:ascii="宋体" w:hAnsi="宋体" w:cs="宋体"/>
                      <w:color w:val="auto"/>
                      <w:sz w:val="18"/>
                      <w:szCs w:val="18"/>
                      <w:lang w:val="en-US"/>
                    </w:rPr>
                  </w:pPr>
                  <w:r>
                    <w:rPr>
                      <w:rFonts w:hint="eastAsia"/>
                      <w:color w:val="auto"/>
                      <w:sz w:val="18"/>
                      <w:szCs w:val="18"/>
                      <w:lang w:val="en-US" w:eastAsia="zh-CN"/>
                    </w:rPr>
                    <w:t>袋式除尘器</w:t>
                  </w:r>
                </w:p>
              </w:tc>
              <w:tc>
                <w:tcPr>
                  <w:tcW w:w="267" w:type="pct"/>
                  <w:tcBorders>
                    <w:tl2br w:val="nil"/>
                    <w:tr2bl w:val="nil"/>
                  </w:tcBorders>
                  <w:shd w:val="clear" w:color="auto" w:fill="auto"/>
                  <w:vAlign w:val="center"/>
                </w:tcPr>
                <w:p w14:paraId="3DB55DEB">
                  <w:pPr>
                    <w:widowControl/>
                    <w:jc w:val="center"/>
                    <w:textAlignment w:val="center"/>
                    <w:rPr>
                      <w:rFonts w:hint="default"/>
                      <w:color w:val="auto"/>
                      <w:sz w:val="18"/>
                      <w:szCs w:val="18"/>
                      <w:lang w:val="en-US" w:eastAsia="zh-CN"/>
                    </w:rPr>
                  </w:pPr>
                  <w:r>
                    <w:rPr>
                      <w:rFonts w:hint="default"/>
                      <w:color w:val="auto"/>
                      <w:sz w:val="18"/>
                      <w:szCs w:val="18"/>
                      <w:lang w:val="en-US" w:eastAsia="zh-CN"/>
                    </w:rPr>
                    <w:t xml:space="preserve">5.5 </w:t>
                  </w:r>
                </w:p>
              </w:tc>
              <w:tc>
                <w:tcPr>
                  <w:tcW w:w="261" w:type="pct"/>
                  <w:tcBorders>
                    <w:tl2br w:val="nil"/>
                    <w:tr2bl w:val="nil"/>
                  </w:tcBorders>
                  <w:shd w:val="clear" w:color="auto" w:fill="auto"/>
                  <w:vAlign w:val="center"/>
                </w:tcPr>
                <w:p w14:paraId="71E0D749">
                  <w:pPr>
                    <w:widowControl/>
                    <w:jc w:val="center"/>
                    <w:textAlignment w:val="center"/>
                    <w:rPr>
                      <w:rFonts w:hint="default"/>
                      <w:color w:val="auto"/>
                      <w:sz w:val="18"/>
                      <w:szCs w:val="18"/>
                      <w:lang w:val="en-US" w:eastAsia="zh-CN"/>
                    </w:rPr>
                  </w:pPr>
                  <w:r>
                    <w:rPr>
                      <w:rFonts w:hint="default"/>
                      <w:color w:val="auto"/>
                      <w:sz w:val="18"/>
                      <w:szCs w:val="18"/>
                      <w:lang w:val="en-US" w:eastAsia="zh-CN"/>
                    </w:rPr>
                    <w:t xml:space="preserve">0.276 </w:t>
                  </w:r>
                </w:p>
              </w:tc>
              <w:tc>
                <w:tcPr>
                  <w:tcW w:w="272" w:type="pct"/>
                  <w:tcBorders>
                    <w:tl2br w:val="nil"/>
                    <w:tr2bl w:val="nil"/>
                  </w:tcBorders>
                  <w:shd w:val="clear" w:color="auto" w:fill="auto"/>
                  <w:vAlign w:val="center"/>
                </w:tcPr>
                <w:p w14:paraId="59B00055">
                  <w:pPr>
                    <w:widowControl/>
                    <w:jc w:val="center"/>
                    <w:textAlignment w:val="center"/>
                    <w:rPr>
                      <w:rFonts w:hint="default"/>
                      <w:color w:val="auto"/>
                      <w:sz w:val="18"/>
                      <w:szCs w:val="18"/>
                      <w:lang w:val="en-US" w:eastAsia="zh-CN"/>
                    </w:rPr>
                  </w:pPr>
                  <w:r>
                    <w:rPr>
                      <w:rFonts w:hint="default"/>
                      <w:color w:val="auto"/>
                      <w:sz w:val="18"/>
                      <w:szCs w:val="18"/>
                      <w:lang w:val="en-US" w:eastAsia="zh-CN"/>
                    </w:rPr>
                    <w:t xml:space="preserve">0.827 </w:t>
                  </w:r>
                </w:p>
              </w:tc>
              <w:tc>
                <w:tcPr>
                  <w:tcW w:w="285" w:type="pct"/>
                  <w:tcBorders>
                    <w:tl2br w:val="nil"/>
                    <w:tr2bl w:val="nil"/>
                  </w:tcBorders>
                  <w:shd w:val="clear" w:color="auto" w:fill="auto"/>
                  <w:vAlign w:val="center"/>
                </w:tcPr>
                <w:p w14:paraId="50099D9C">
                  <w:pPr>
                    <w:widowControl/>
                    <w:jc w:val="center"/>
                    <w:textAlignment w:val="center"/>
                    <w:rPr>
                      <w:color w:val="auto"/>
                      <w:sz w:val="18"/>
                      <w:szCs w:val="18"/>
                    </w:rPr>
                  </w:pPr>
                  <w:r>
                    <w:rPr>
                      <w:color w:val="auto"/>
                      <w:kern w:val="0"/>
                      <w:sz w:val="18"/>
                      <w:szCs w:val="18"/>
                      <w:lang w:bidi="ar"/>
                    </w:rPr>
                    <w:t>DA00</w:t>
                  </w:r>
                  <w:r>
                    <w:rPr>
                      <w:rFonts w:hint="eastAsia"/>
                      <w:color w:val="auto"/>
                      <w:kern w:val="0"/>
                      <w:sz w:val="18"/>
                      <w:szCs w:val="18"/>
                      <w:lang w:val="en-US" w:eastAsia="zh-CN" w:bidi="ar"/>
                    </w:rPr>
                    <w:t>1</w:t>
                  </w:r>
                  <w:r>
                    <w:rPr>
                      <w:rFonts w:hint="eastAsia" w:ascii="宋体" w:hAnsi="宋体" w:cs="宋体"/>
                      <w:color w:val="auto"/>
                      <w:kern w:val="0"/>
                      <w:sz w:val="18"/>
                      <w:szCs w:val="18"/>
                      <w:lang w:bidi="ar"/>
                    </w:rPr>
                    <w:t>排气筒</w:t>
                  </w:r>
                </w:p>
              </w:tc>
              <w:tc>
                <w:tcPr>
                  <w:tcW w:w="167" w:type="pct"/>
                  <w:tcBorders>
                    <w:tl2br w:val="nil"/>
                    <w:tr2bl w:val="nil"/>
                  </w:tcBorders>
                  <w:shd w:val="clear" w:color="auto" w:fill="auto"/>
                  <w:vAlign w:val="center"/>
                </w:tcPr>
                <w:p w14:paraId="1BF0569F">
                  <w:pPr>
                    <w:widowControl/>
                    <w:jc w:val="center"/>
                    <w:textAlignment w:val="center"/>
                    <w:rPr>
                      <w:color w:val="auto"/>
                      <w:sz w:val="18"/>
                      <w:szCs w:val="18"/>
                    </w:rPr>
                  </w:pPr>
                  <w:r>
                    <w:rPr>
                      <w:rFonts w:hint="eastAsia"/>
                      <w:color w:val="auto"/>
                      <w:kern w:val="0"/>
                      <w:sz w:val="18"/>
                      <w:szCs w:val="18"/>
                      <w:lang w:bidi="ar"/>
                    </w:rPr>
                    <w:t>15</w:t>
                  </w:r>
                </w:p>
              </w:tc>
              <w:tc>
                <w:tcPr>
                  <w:tcW w:w="168" w:type="pct"/>
                  <w:tcBorders>
                    <w:tl2br w:val="nil"/>
                    <w:tr2bl w:val="nil"/>
                  </w:tcBorders>
                  <w:shd w:val="clear" w:color="auto" w:fill="auto"/>
                  <w:vAlign w:val="center"/>
                </w:tcPr>
                <w:p w14:paraId="6E37C948">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1.0</w:t>
                  </w:r>
                </w:p>
              </w:tc>
              <w:tc>
                <w:tcPr>
                  <w:tcW w:w="173" w:type="pct"/>
                  <w:tcBorders>
                    <w:tl2br w:val="nil"/>
                    <w:tr2bl w:val="nil"/>
                  </w:tcBorders>
                  <w:shd w:val="clear" w:color="auto" w:fill="auto"/>
                  <w:vAlign w:val="center"/>
                </w:tcPr>
                <w:p w14:paraId="6D31BFD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常温</w:t>
                  </w:r>
                </w:p>
              </w:tc>
              <w:tc>
                <w:tcPr>
                  <w:tcW w:w="227" w:type="pct"/>
                  <w:tcBorders>
                    <w:tl2br w:val="nil"/>
                    <w:tr2bl w:val="nil"/>
                  </w:tcBorders>
                  <w:shd w:val="clear" w:color="auto" w:fill="auto"/>
                  <w:vAlign w:val="center"/>
                </w:tcPr>
                <w:p w14:paraId="2899C8D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一般排放口</w:t>
                  </w:r>
                </w:p>
              </w:tc>
              <w:tc>
                <w:tcPr>
                  <w:tcW w:w="232" w:type="pct"/>
                  <w:tcBorders>
                    <w:tl2br w:val="nil"/>
                    <w:tr2bl w:val="nil"/>
                  </w:tcBorders>
                  <w:shd w:val="clear" w:color="auto" w:fill="auto"/>
                  <w:vAlign w:val="center"/>
                </w:tcPr>
                <w:p w14:paraId="2EBBA8D1">
                  <w:pPr>
                    <w:widowControl/>
                    <w:jc w:val="center"/>
                    <w:textAlignment w:val="center"/>
                    <w:rPr>
                      <w:color w:val="auto"/>
                      <w:sz w:val="18"/>
                      <w:szCs w:val="18"/>
                    </w:rPr>
                  </w:pPr>
                  <w:r>
                    <w:rPr>
                      <w:rFonts w:hint="eastAsia"/>
                      <w:color w:val="auto"/>
                      <w:kern w:val="0"/>
                      <w:sz w:val="18"/>
                      <w:szCs w:val="18"/>
                      <w:lang w:val="en-US" w:eastAsia="zh-CN" w:bidi="ar"/>
                    </w:rPr>
                    <w:t>30</w:t>
                  </w:r>
                </w:p>
              </w:tc>
              <w:tc>
                <w:tcPr>
                  <w:tcW w:w="205" w:type="pct"/>
                  <w:tcBorders>
                    <w:tl2br w:val="nil"/>
                    <w:tr2bl w:val="nil"/>
                  </w:tcBorders>
                  <w:shd w:val="clear" w:color="auto" w:fill="auto"/>
                  <w:vAlign w:val="center"/>
                </w:tcPr>
                <w:p w14:paraId="70482E4B">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w:t>
                  </w:r>
                </w:p>
              </w:tc>
            </w:tr>
            <w:tr w14:paraId="344795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restart"/>
                  <w:tcBorders>
                    <w:tl2br w:val="nil"/>
                    <w:tr2bl w:val="nil"/>
                  </w:tcBorders>
                  <w:shd w:val="clear" w:color="auto" w:fill="auto"/>
                  <w:vAlign w:val="center"/>
                </w:tcPr>
                <w:p w14:paraId="736A6583">
                  <w:pPr>
                    <w:widowControl/>
                    <w:jc w:val="center"/>
                    <w:textAlignment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制芯、树脂砂造型及浇注</w:t>
                  </w:r>
                </w:p>
              </w:tc>
              <w:tc>
                <w:tcPr>
                  <w:tcW w:w="151" w:type="pct"/>
                  <w:vMerge w:val="restart"/>
                  <w:tcBorders>
                    <w:tl2br w:val="nil"/>
                    <w:tr2bl w:val="nil"/>
                  </w:tcBorders>
                  <w:shd w:val="clear" w:color="auto" w:fill="auto"/>
                  <w:vAlign w:val="center"/>
                </w:tcPr>
                <w:p w14:paraId="53C546E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523CFBF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颗粒物</w:t>
                  </w:r>
                </w:p>
              </w:tc>
              <w:tc>
                <w:tcPr>
                  <w:tcW w:w="306" w:type="pct"/>
                  <w:tcBorders>
                    <w:tl2br w:val="nil"/>
                    <w:tr2bl w:val="nil"/>
                  </w:tcBorders>
                  <w:shd w:val="clear" w:color="auto" w:fill="auto"/>
                  <w:vAlign w:val="center"/>
                </w:tcPr>
                <w:p w14:paraId="089BA8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148.8 </w:t>
                  </w:r>
                </w:p>
              </w:tc>
              <w:tc>
                <w:tcPr>
                  <w:tcW w:w="272" w:type="pct"/>
                  <w:tcBorders>
                    <w:tl2br w:val="nil"/>
                    <w:tr2bl w:val="nil"/>
                  </w:tcBorders>
                  <w:shd w:val="clear" w:color="auto" w:fill="auto"/>
                  <w:vAlign w:val="center"/>
                </w:tcPr>
                <w:p w14:paraId="56A1A1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4.465</w:t>
                  </w:r>
                </w:p>
              </w:tc>
              <w:tc>
                <w:tcPr>
                  <w:tcW w:w="272" w:type="pct"/>
                  <w:tcBorders>
                    <w:tl2br w:val="nil"/>
                    <w:tr2bl w:val="nil"/>
                  </w:tcBorders>
                  <w:shd w:val="clear" w:color="auto" w:fill="auto"/>
                  <w:vAlign w:val="center"/>
                </w:tcPr>
                <w:p w14:paraId="11B6CF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12.741</w:t>
                  </w:r>
                </w:p>
              </w:tc>
              <w:tc>
                <w:tcPr>
                  <w:tcW w:w="263" w:type="pct"/>
                  <w:vMerge w:val="restart"/>
                  <w:tcBorders>
                    <w:tl2br w:val="nil"/>
                    <w:tr2bl w:val="nil"/>
                  </w:tcBorders>
                  <w:shd w:val="clear" w:color="auto" w:fill="auto"/>
                  <w:vAlign w:val="center"/>
                </w:tcPr>
                <w:p w14:paraId="2D4D20D1">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30000</w:t>
                  </w:r>
                </w:p>
              </w:tc>
              <w:tc>
                <w:tcPr>
                  <w:tcW w:w="177" w:type="pct"/>
                  <w:vMerge w:val="restart"/>
                  <w:tcBorders>
                    <w:tl2br w:val="nil"/>
                    <w:tr2bl w:val="nil"/>
                  </w:tcBorders>
                  <w:shd w:val="clear" w:color="auto" w:fill="auto"/>
                  <w:vAlign w:val="center"/>
                </w:tcPr>
                <w:p w14:paraId="02F0B584">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冷芯盒100，热芯盒90，浇注80</w:t>
                  </w:r>
                </w:p>
              </w:tc>
              <w:tc>
                <w:tcPr>
                  <w:tcW w:w="203" w:type="pct"/>
                  <w:tcBorders>
                    <w:tl2br w:val="nil"/>
                    <w:tr2bl w:val="nil"/>
                  </w:tcBorders>
                  <w:shd w:val="clear" w:color="auto" w:fill="auto"/>
                  <w:vAlign w:val="center"/>
                </w:tcPr>
                <w:p w14:paraId="67703648">
                  <w:pPr>
                    <w:widowControl/>
                    <w:jc w:val="center"/>
                    <w:textAlignment w:val="center"/>
                    <w:rPr>
                      <w:rFonts w:hint="eastAsia" w:eastAsia="宋体"/>
                      <w:color w:val="auto"/>
                      <w:sz w:val="18"/>
                      <w:szCs w:val="18"/>
                      <w:lang w:eastAsia="zh-CN"/>
                    </w:rPr>
                  </w:pPr>
                  <w:r>
                    <w:rPr>
                      <w:color w:val="auto"/>
                      <w:kern w:val="0"/>
                      <w:sz w:val="18"/>
                      <w:szCs w:val="18"/>
                      <w:lang w:bidi="ar"/>
                    </w:rPr>
                    <w:t>9</w:t>
                  </w:r>
                  <w:r>
                    <w:rPr>
                      <w:rFonts w:hint="eastAsia"/>
                      <w:color w:val="auto"/>
                      <w:kern w:val="0"/>
                      <w:sz w:val="18"/>
                      <w:szCs w:val="18"/>
                      <w:lang w:val="en-US" w:eastAsia="zh-CN" w:bidi="ar"/>
                    </w:rPr>
                    <w:t>5</w:t>
                  </w:r>
                </w:p>
              </w:tc>
              <w:tc>
                <w:tcPr>
                  <w:tcW w:w="224" w:type="pct"/>
                  <w:vMerge w:val="restart"/>
                  <w:tcBorders>
                    <w:tl2br w:val="nil"/>
                    <w:tr2bl w:val="nil"/>
                  </w:tcBorders>
                  <w:shd w:val="clear" w:color="auto" w:fill="auto"/>
                  <w:vAlign w:val="center"/>
                </w:tcPr>
                <w:p w14:paraId="56DF643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是</w:t>
                  </w:r>
                </w:p>
              </w:tc>
              <w:tc>
                <w:tcPr>
                  <w:tcW w:w="300" w:type="pct"/>
                  <w:vMerge w:val="restart"/>
                  <w:tcBorders>
                    <w:tl2br w:val="nil"/>
                    <w:tr2bl w:val="nil"/>
                  </w:tcBorders>
                  <w:shd w:val="clear" w:color="auto" w:fill="auto"/>
                  <w:vAlign w:val="center"/>
                </w:tcPr>
                <w:p w14:paraId="53156135">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袋式除尘器</w:t>
                  </w:r>
                  <w:r>
                    <w:rPr>
                      <w:rFonts w:hint="eastAsia" w:ascii="宋体" w:hAnsi="宋体" w:cs="宋体"/>
                      <w:color w:val="auto"/>
                      <w:sz w:val="18"/>
                      <w:szCs w:val="18"/>
                      <w:lang w:val="en-US" w:eastAsia="zh-CN"/>
                    </w:rPr>
                    <w:t>+活性炭吸附</w:t>
                  </w:r>
                </w:p>
              </w:tc>
              <w:tc>
                <w:tcPr>
                  <w:tcW w:w="267" w:type="pct"/>
                  <w:tcBorders>
                    <w:tl2br w:val="nil"/>
                    <w:tr2bl w:val="nil"/>
                  </w:tcBorders>
                  <w:shd w:val="clear" w:color="auto" w:fill="auto"/>
                  <w:vAlign w:val="center"/>
                </w:tcPr>
                <w:p w14:paraId="763F216A">
                  <w:pPr>
                    <w:widowControl/>
                    <w:jc w:val="center"/>
                    <w:textAlignment w:val="center"/>
                    <w:rPr>
                      <w:rFonts w:hint="default"/>
                      <w:color w:val="auto"/>
                      <w:sz w:val="18"/>
                      <w:szCs w:val="18"/>
                      <w:lang w:val="en-US" w:eastAsia="zh-CN"/>
                    </w:rPr>
                  </w:pPr>
                  <w:r>
                    <w:rPr>
                      <w:rFonts w:hint="default"/>
                      <w:color w:val="auto"/>
                      <w:sz w:val="18"/>
                      <w:szCs w:val="18"/>
                      <w:lang w:val="en-US" w:eastAsia="zh-CN"/>
                    </w:rPr>
                    <w:t xml:space="preserve">11.2 </w:t>
                  </w:r>
                </w:p>
              </w:tc>
              <w:tc>
                <w:tcPr>
                  <w:tcW w:w="261" w:type="pct"/>
                  <w:tcBorders>
                    <w:tl2br w:val="nil"/>
                    <w:tr2bl w:val="nil"/>
                  </w:tcBorders>
                  <w:shd w:val="clear" w:color="auto" w:fill="auto"/>
                  <w:vAlign w:val="center"/>
                </w:tcPr>
                <w:p w14:paraId="6EF1E6AD">
                  <w:pPr>
                    <w:widowControl/>
                    <w:jc w:val="center"/>
                    <w:textAlignment w:val="center"/>
                    <w:rPr>
                      <w:rFonts w:hint="default"/>
                      <w:color w:val="auto"/>
                      <w:sz w:val="18"/>
                      <w:szCs w:val="18"/>
                      <w:lang w:val="en-US" w:eastAsia="zh-CN"/>
                    </w:rPr>
                  </w:pPr>
                  <w:r>
                    <w:rPr>
                      <w:rFonts w:hint="default"/>
                      <w:color w:val="auto"/>
                      <w:sz w:val="18"/>
                      <w:szCs w:val="18"/>
                      <w:lang w:val="en-US" w:eastAsia="zh-CN"/>
                    </w:rPr>
                    <w:t xml:space="preserve">0.223 </w:t>
                  </w:r>
                </w:p>
              </w:tc>
              <w:tc>
                <w:tcPr>
                  <w:tcW w:w="272" w:type="pct"/>
                  <w:tcBorders>
                    <w:tl2br w:val="nil"/>
                    <w:tr2bl w:val="nil"/>
                  </w:tcBorders>
                  <w:shd w:val="clear" w:color="auto" w:fill="auto"/>
                  <w:vAlign w:val="center"/>
                </w:tcPr>
                <w:p w14:paraId="512B6EC3">
                  <w:pPr>
                    <w:widowControl/>
                    <w:jc w:val="center"/>
                    <w:textAlignment w:val="center"/>
                    <w:rPr>
                      <w:rFonts w:hint="default"/>
                      <w:color w:val="auto"/>
                      <w:sz w:val="18"/>
                      <w:szCs w:val="18"/>
                      <w:lang w:val="en-US" w:eastAsia="zh-CN"/>
                    </w:rPr>
                  </w:pPr>
                  <w:r>
                    <w:rPr>
                      <w:rFonts w:hint="default"/>
                      <w:color w:val="auto"/>
                      <w:sz w:val="18"/>
                      <w:szCs w:val="18"/>
                      <w:lang w:val="en-US" w:eastAsia="zh-CN"/>
                    </w:rPr>
                    <w:t xml:space="preserve">0.637 </w:t>
                  </w:r>
                </w:p>
              </w:tc>
              <w:tc>
                <w:tcPr>
                  <w:tcW w:w="285" w:type="pct"/>
                  <w:vMerge w:val="restart"/>
                  <w:tcBorders>
                    <w:tl2br w:val="nil"/>
                    <w:tr2bl w:val="nil"/>
                  </w:tcBorders>
                  <w:shd w:val="clear" w:color="auto" w:fill="auto"/>
                  <w:vAlign w:val="center"/>
                </w:tcPr>
                <w:p w14:paraId="0A4508AF">
                  <w:pPr>
                    <w:widowControl/>
                    <w:jc w:val="center"/>
                    <w:textAlignment w:val="center"/>
                    <w:rPr>
                      <w:color w:val="auto"/>
                      <w:sz w:val="18"/>
                      <w:szCs w:val="18"/>
                    </w:rPr>
                  </w:pPr>
                  <w:r>
                    <w:rPr>
                      <w:color w:val="auto"/>
                      <w:kern w:val="0"/>
                      <w:sz w:val="18"/>
                      <w:szCs w:val="18"/>
                      <w:lang w:bidi="ar"/>
                    </w:rPr>
                    <w:t>DA00</w:t>
                  </w:r>
                  <w:r>
                    <w:rPr>
                      <w:rFonts w:hint="eastAsia"/>
                      <w:color w:val="auto"/>
                      <w:kern w:val="0"/>
                      <w:sz w:val="18"/>
                      <w:szCs w:val="18"/>
                      <w:lang w:val="en-US" w:eastAsia="zh-CN" w:bidi="ar"/>
                    </w:rPr>
                    <w:t>2</w:t>
                  </w:r>
                  <w:r>
                    <w:rPr>
                      <w:rFonts w:hint="eastAsia" w:ascii="宋体" w:hAnsi="宋体" w:cs="宋体"/>
                      <w:color w:val="auto"/>
                      <w:kern w:val="0"/>
                      <w:sz w:val="18"/>
                      <w:szCs w:val="18"/>
                      <w:lang w:bidi="ar"/>
                    </w:rPr>
                    <w:t>排气筒</w:t>
                  </w:r>
                </w:p>
              </w:tc>
              <w:tc>
                <w:tcPr>
                  <w:tcW w:w="167" w:type="pct"/>
                  <w:vMerge w:val="restart"/>
                  <w:tcBorders>
                    <w:tl2br w:val="nil"/>
                    <w:tr2bl w:val="nil"/>
                  </w:tcBorders>
                  <w:shd w:val="clear" w:color="auto" w:fill="auto"/>
                  <w:vAlign w:val="center"/>
                </w:tcPr>
                <w:p w14:paraId="156ACCE3">
                  <w:pPr>
                    <w:widowControl/>
                    <w:jc w:val="center"/>
                    <w:textAlignment w:val="center"/>
                    <w:rPr>
                      <w:color w:val="auto"/>
                      <w:sz w:val="18"/>
                      <w:szCs w:val="18"/>
                    </w:rPr>
                  </w:pPr>
                  <w:r>
                    <w:rPr>
                      <w:rFonts w:hint="eastAsia"/>
                      <w:color w:val="auto"/>
                      <w:kern w:val="0"/>
                      <w:sz w:val="18"/>
                      <w:szCs w:val="18"/>
                      <w:lang w:bidi="ar"/>
                    </w:rPr>
                    <w:t>15</w:t>
                  </w:r>
                </w:p>
              </w:tc>
              <w:tc>
                <w:tcPr>
                  <w:tcW w:w="168" w:type="pct"/>
                  <w:vMerge w:val="restart"/>
                  <w:tcBorders>
                    <w:tl2br w:val="nil"/>
                    <w:tr2bl w:val="nil"/>
                  </w:tcBorders>
                  <w:shd w:val="clear" w:color="auto" w:fill="auto"/>
                  <w:vAlign w:val="center"/>
                </w:tcPr>
                <w:p w14:paraId="3D42D37E">
                  <w:pPr>
                    <w:widowControl/>
                    <w:jc w:val="center"/>
                    <w:textAlignment w:val="center"/>
                    <w:rPr>
                      <w:rFonts w:hint="eastAsia" w:eastAsia="宋体"/>
                      <w:color w:val="auto"/>
                      <w:sz w:val="18"/>
                      <w:szCs w:val="18"/>
                      <w:lang w:eastAsia="zh-CN"/>
                    </w:rPr>
                  </w:pPr>
                  <w:r>
                    <w:rPr>
                      <w:color w:val="auto"/>
                      <w:kern w:val="0"/>
                      <w:sz w:val="18"/>
                      <w:szCs w:val="18"/>
                      <w:lang w:bidi="ar"/>
                    </w:rPr>
                    <w:t>0.</w:t>
                  </w:r>
                  <w:r>
                    <w:rPr>
                      <w:rFonts w:hint="eastAsia"/>
                      <w:color w:val="auto"/>
                      <w:kern w:val="0"/>
                      <w:sz w:val="18"/>
                      <w:szCs w:val="18"/>
                      <w:lang w:val="en-US" w:eastAsia="zh-CN" w:bidi="ar"/>
                    </w:rPr>
                    <w:t>8</w:t>
                  </w:r>
                </w:p>
              </w:tc>
              <w:tc>
                <w:tcPr>
                  <w:tcW w:w="173" w:type="pct"/>
                  <w:vMerge w:val="restart"/>
                  <w:tcBorders>
                    <w:tl2br w:val="nil"/>
                    <w:tr2bl w:val="nil"/>
                  </w:tcBorders>
                  <w:shd w:val="clear" w:color="auto" w:fill="auto"/>
                  <w:vAlign w:val="center"/>
                </w:tcPr>
                <w:p w14:paraId="47B8570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常温</w:t>
                  </w:r>
                </w:p>
              </w:tc>
              <w:tc>
                <w:tcPr>
                  <w:tcW w:w="227" w:type="pct"/>
                  <w:vMerge w:val="restart"/>
                  <w:tcBorders>
                    <w:tl2br w:val="nil"/>
                    <w:tr2bl w:val="nil"/>
                  </w:tcBorders>
                  <w:shd w:val="clear" w:color="auto" w:fill="auto"/>
                  <w:vAlign w:val="center"/>
                </w:tcPr>
                <w:p w14:paraId="05EE66C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一般排放口</w:t>
                  </w:r>
                </w:p>
              </w:tc>
              <w:tc>
                <w:tcPr>
                  <w:tcW w:w="232" w:type="pct"/>
                  <w:tcBorders>
                    <w:bottom w:val="single" w:color="auto" w:sz="4" w:space="0"/>
                    <w:tl2br w:val="nil"/>
                    <w:tr2bl w:val="nil"/>
                  </w:tcBorders>
                  <w:shd w:val="clear" w:color="auto" w:fill="auto"/>
                  <w:vAlign w:val="center"/>
                </w:tcPr>
                <w:p w14:paraId="25E8C618">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30</w:t>
                  </w:r>
                </w:p>
              </w:tc>
              <w:tc>
                <w:tcPr>
                  <w:tcW w:w="205" w:type="pct"/>
                  <w:tcBorders>
                    <w:bottom w:val="single" w:color="auto" w:sz="4" w:space="0"/>
                    <w:tl2br w:val="nil"/>
                    <w:tr2bl w:val="nil"/>
                  </w:tcBorders>
                  <w:shd w:val="clear" w:color="auto" w:fill="auto"/>
                  <w:vAlign w:val="center"/>
                </w:tcPr>
                <w:p w14:paraId="6E04413C">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w:t>
                  </w:r>
                </w:p>
              </w:tc>
            </w:tr>
            <w:tr w14:paraId="0F538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17930D7F">
                  <w:pPr>
                    <w:widowControl/>
                    <w:jc w:val="center"/>
                    <w:textAlignment w:val="center"/>
                    <w:rPr>
                      <w:rFonts w:hint="eastAsia" w:ascii="宋体" w:hAnsi="宋体" w:cs="宋体"/>
                      <w:color w:val="auto"/>
                      <w:sz w:val="18"/>
                      <w:szCs w:val="18"/>
                      <w:lang w:val="en-US" w:eastAsia="zh-CN"/>
                    </w:rPr>
                  </w:pPr>
                </w:p>
              </w:tc>
              <w:tc>
                <w:tcPr>
                  <w:tcW w:w="151" w:type="pct"/>
                  <w:vMerge w:val="continue"/>
                  <w:tcBorders>
                    <w:tl2br w:val="nil"/>
                    <w:tr2bl w:val="nil"/>
                  </w:tcBorders>
                  <w:shd w:val="clear" w:color="auto" w:fill="auto"/>
                  <w:vAlign w:val="center"/>
                </w:tcPr>
                <w:p w14:paraId="60A4E81E">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2CA4B8DD">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非甲烷总烃</w:t>
                  </w:r>
                </w:p>
              </w:tc>
              <w:tc>
                <w:tcPr>
                  <w:tcW w:w="306" w:type="pct"/>
                  <w:tcBorders>
                    <w:tl2br w:val="nil"/>
                    <w:tr2bl w:val="nil"/>
                  </w:tcBorders>
                  <w:shd w:val="clear" w:color="auto" w:fill="auto"/>
                  <w:vAlign w:val="center"/>
                </w:tcPr>
                <w:p w14:paraId="6D3B008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117.5 </w:t>
                  </w:r>
                </w:p>
              </w:tc>
              <w:tc>
                <w:tcPr>
                  <w:tcW w:w="272" w:type="pct"/>
                  <w:tcBorders>
                    <w:tl2br w:val="nil"/>
                    <w:tr2bl w:val="nil"/>
                  </w:tcBorders>
                  <w:shd w:val="clear" w:color="auto" w:fill="auto"/>
                  <w:vAlign w:val="center"/>
                </w:tcPr>
                <w:p w14:paraId="76652F0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3.526</w:t>
                  </w:r>
                </w:p>
              </w:tc>
              <w:tc>
                <w:tcPr>
                  <w:tcW w:w="272" w:type="pct"/>
                  <w:tcBorders>
                    <w:tl2br w:val="nil"/>
                    <w:tr2bl w:val="nil"/>
                  </w:tcBorders>
                  <w:shd w:val="clear" w:color="auto" w:fill="auto"/>
                  <w:vAlign w:val="center"/>
                </w:tcPr>
                <w:p w14:paraId="4B939D5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3.711</w:t>
                  </w:r>
                </w:p>
              </w:tc>
              <w:tc>
                <w:tcPr>
                  <w:tcW w:w="263" w:type="pct"/>
                  <w:vMerge w:val="continue"/>
                  <w:tcBorders>
                    <w:tl2br w:val="nil"/>
                    <w:tr2bl w:val="nil"/>
                  </w:tcBorders>
                  <w:shd w:val="clear" w:color="auto" w:fill="auto"/>
                  <w:vAlign w:val="center"/>
                </w:tcPr>
                <w:p w14:paraId="11ED2FFA">
                  <w:pPr>
                    <w:widowControl/>
                    <w:jc w:val="center"/>
                    <w:textAlignment w:val="center"/>
                    <w:rPr>
                      <w:rFonts w:hint="eastAsia"/>
                      <w:color w:val="auto"/>
                      <w:kern w:val="0"/>
                      <w:sz w:val="18"/>
                      <w:szCs w:val="18"/>
                      <w:lang w:val="en-US" w:eastAsia="zh-CN" w:bidi="ar"/>
                    </w:rPr>
                  </w:pPr>
                </w:p>
              </w:tc>
              <w:tc>
                <w:tcPr>
                  <w:tcW w:w="177" w:type="pct"/>
                  <w:vMerge w:val="continue"/>
                  <w:tcBorders>
                    <w:tl2br w:val="nil"/>
                    <w:tr2bl w:val="nil"/>
                  </w:tcBorders>
                  <w:shd w:val="clear" w:color="auto" w:fill="auto"/>
                  <w:vAlign w:val="center"/>
                </w:tcPr>
                <w:p w14:paraId="4EEC8B8B">
                  <w:pPr>
                    <w:widowControl/>
                    <w:jc w:val="center"/>
                    <w:textAlignment w:val="center"/>
                    <w:rPr>
                      <w:rFonts w:hint="eastAsia"/>
                      <w:color w:val="auto"/>
                      <w:kern w:val="0"/>
                      <w:sz w:val="18"/>
                      <w:szCs w:val="18"/>
                      <w:lang w:val="en-US" w:eastAsia="zh-CN" w:bidi="ar"/>
                    </w:rPr>
                  </w:pPr>
                </w:p>
              </w:tc>
              <w:tc>
                <w:tcPr>
                  <w:tcW w:w="203" w:type="pct"/>
                  <w:tcBorders>
                    <w:tl2br w:val="nil"/>
                    <w:tr2bl w:val="nil"/>
                  </w:tcBorders>
                  <w:shd w:val="clear" w:color="auto" w:fill="auto"/>
                  <w:vAlign w:val="center"/>
                </w:tcPr>
                <w:p w14:paraId="303A4C82">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50</w:t>
                  </w:r>
                </w:p>
              </w:tc>
              <w:tc>
                <w:tcPr>
                  <w:tcW w:w="224" w:type="pct"/>
                  <w:vMerge w:val="continue"/>
                  <w:tcBorders>
                    <w:tl2br w:val="nil"/>
                    <w:tr2bl w:val="nil"/>
                  </w:tcBorders>
                  <w:shd w:val="clear" w:color="auto" w:fill="auto"/>
                  <w:vAlign w:val="center"/>
                </w:tcPr>
                <w:p w14:paraId="5DEC96E5">
                  <w:pPr>
                    <w:widowControl/>
                    <w:jc w:val="center"/>
                    <w:textAlignment w:val="center"/>
                    <w:rPr>
                      <w:rFonts w:hint="eastAsia" w:ascii="宋体" w:hAnsi="宋体" w:cs="宋体"/>
                      <w:color w:val="auto"/>
                      <w:kern w:val="0"/>
                      <w:sz w:val="18"/>
                      <w:szCs w:val="18"/>
                      <w:lang w:bidi="ar"/>
                    </w:rPr>
                  </w:pPr>
                </w:p>
              </w:tc>
              <w:tc>
                <w:tcPr>
                  <w:tcW w:w="300" w:type="pct"/>
                  <w:vMerge w:val="continue"/>
                  <w:tcBorders>
                    <w:tl2br w:val="nil"/>
                    <w:tr2bl w:val="nil"/>
                  </w:tcBorders>
                  <w:shd w:val="clear" w:color="auto" w:fill="auto"/>
                  <w:vAlign w:val="center"/>
                </w:tcPr>
                <w:p w14:paraId="08352034">
                  <w:pPr>
                    <w:jc w:val="center"/>
                    <w:rPr>
                      <w:rFonts w:hint="eastAsia" w:ascii="宋体" w:hAnsi="宋体" w:cs="宋体"/>
                      <w:color w:val="auto"/>
                      <w:sz w:val="18"/>
                      <w:szCs w:val="18"/>
                    </w:rPr>
                  </w:pPr>
                </w:p>
              </w:tc>
              <w:tc>
                <w:tcPr>
                  <w:tcW w:w="267" w:type="pct"/>
                  <w:tcBorders>
                    <w:tl2br w:val="nil"/>
                    <w:tr2bl w:val="nil"/>
                  </w:tcBorders>
                  <w:shd w:val="clear" w:color="auto" w:fill="auto"/>
                  <w:vAlign w:val="center"/>
                </w:tcPr>
                <w:p w14:paraId="78906BFA">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58.8 </w:t>
                  </w:r>
                </w:p>
              </w:tc>
              <w:tc>
                <w:tcPr>
                  <w:tcW w:w="261" w:type="pct"/>
                  <w:tcBorders>
                    <w:tl2br w:val="nil"/>
                    <w:tr2bl w:val="nil"/>
                  </w:tcBorders>
                  <w:shd w:val="clear" w:color="auto" w:fill="auto"/>
                  <w:vAlign w:val="center"/>
                </w:tcPr>
                <w:p w14:paraId="54D23F16">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1.763 </w:t>
                  </w:r>
                </w:p>
              </w:tc>
              <w:tc>
                <w:tcPr>
                  <w:tcW w:w="272" w:type="pct"/>
                  <w:tcBorders>
                    <w:tl2br w:val="nil"/>
                    <w:tr2bl w:val="nil"/>
                  </w:tcBorders>
                  <w:shd w:val="clear" w:color="auto" w:fill="auto"/>
                  <w:vAlign w:val="center"/>
                </w:tcPr>
                <w:p w14:paraId="580C458E">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1.856 </w:t>
                  </w:r>
                </w:p>
              </w:tc>
              <w:tc>
                <w:tcPr>
                  <w:tcW w:w="285" w:type="pct"/>
                  <w:vMerge w:val="continue"/>
                  <w:tcBorders>
                    <w:tl2br w:val="nil"/>
                    <w:tr2bl w:val="nil"/>
                  </w:tcBorders>
                  <w:shd w:val="clear" w:color="auto" w:fill="auto"/>
                  <w:vAlign w:val="center"/>
                </w:tcPr>
                <w:p w14:paraId="103C0A3E">
                  <w:pPr>
                    <w:widowControl/>
                    <w:jc w:val="center"/>
                    <w:textAlignment w:val="center"/>
                    <w:rPr>
                      <w:color w:val="auto"/>
                      <w:kern w:val="0"/>
                      <w:sz w:val="18"/>
                      <w:szCs w:val="18"/>
                      <w:lang w:bidi="ar"/>
                    </w:rPr>
                  </w:pPr>
                </w:p>
              </w:tc>
              <w:tc>
                <w:tcPr>
                  <w:tcW w:w="167" w:type="pct"/>
                  <w:vMerge w:val="continue"/>
                  <w:tcBorders>
                    <w:tl2br w:val="nil"/>
                    <w:tr2bl w:val="nil"/>
                  </w:tcBorders>
                  <w:shd w:val="clear" w:color="auto" w:fill="auto"/>
                  <w:vAlign w:val="center"/>
                </w:tcPr>
                <w:p w14:paraId="749982B1">
                  <w:pPr>
                    <w:widowControl/>
                    <w:jc w:val="center"/>
                    <w:textAlignment w:val="center"/>
                    <w:rPr>
                      <w:rFonts w:hint="eastAsia"/>
                      <w:color w:val="auto"/>
                      <w:kern w:val="0"/>
                      <w:sz w:val="18"/>
                      <w:szCs w:val="18"/>
                      <w:lang w:bidi="ar"/>
                    </w:rPr>
                  </w:pPr>
                </w:p>
              </w:tc>
              <w:tc>
                <w:tcPr>
                  <w:tcW w:w="168" w:type="pct"/>
                  <w:vMerge w:val="continue"/>
                  <w:tcBorders>
                    <w:tl2br w:val="nil"/>
                    <w:tr2bl w:val="nil"/>
                  </w:tcBorders>
                  <w:shd w:val="clear" w:color="auto" w:fill="auto"/>
                  <w:vAlign w:val="center"/>
                </w:tcPr>
                <w:p w14:paraId="66348033">
                  <w:pPr>
                    <w:widowControl/>
                    <w:jc w:val="center"/>
                    <w:textAlignment w:val="center"/>
                    <w:rPr>
                      <w:color w:val="auto"/>
                      <w:kern w:val="0"/>
                      <w:sz w:val="18"/>
                      <w:szCs w:val="18"/>
                      <w:lang w:bidi="ar"/>
                    </w:rPr>
                  </w:pPr>
                </w:p>
              </w:tc>
              <w:tc>
                <w:tcPr>
                  <w:tcW w:w="173" w:type="pct"/>
                  <w:vMerge w:val="continue"/>
                  <w:tcBorders>
                    <w:tl2br w:val="nil"/>
                    <w:tr2bl w:val="nil"/>
                  </w:tcBorders>
                  <w:shd w:val="clear" w:color="auto" w:fill="auto"/>
                  <w:vAlign w:val="center"/>
                </w:tcPr>
                <w:p w14:paraId="3082D209">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12F07BA4">
                  <w:pPr>
                    <w:widowControl/>
                    <w:jc w:val="center"/>
                    <w:textAlignment w:val="center"/>
                    <w:rPr>
                      <w:rFonts w:hint="eastAsia" w:ascii="宋体" w:hAnsi="宋体" w:cs="宋体"/>
                      <w:color w:val="auto"/>
                      <w:kern w:val="0"/>
                      <w:sz w:val="18"/>
                      <w:szCs w:val="18"/>
                      <w:lang w:bidi="ar"/>
                    </w:rPr>
                  </w:pPr>
                </w:p>
              </w:tc>
              <w:tc>
                <w:tcPr>
                  <w:tcW w:w="232" w:type="pct"/>
                  <w:tcBorders>
                    <w:top w:val="single" w:color="auto" w:sz="4" w:space="0"/>
                    <w:bottom w:val="single" w:color="auto" w:sz="4" w:space="0"/>
                    <w:tl2br w:val="nil"/>
                    <w:tr2bl w:val="nil"/>
                  </w:tcBorders>
                  <w:shd w:val="clear" w:color="auto" w:fill="auto"/>
                  <w:vAlign w:val="center"/>
                </w:tcPr>
                <w:p w14:paraId="42B62A0C">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100</w:t>
                  </w:r>
                </w:p>
              </w:tc>
              <w:tc>
                <w:tcPr>
                  <w:tcW w:w="205" w:type="pct"/>
                  <w:tcBorders>
                    <w:top w:val="single" w:color="auto" w:sz="4" w:space="0"/>
                    <w:bottom w:val="single" w:color="auto" w:sz="4" w:space="0"/>
                    <w:tl2br w:val="nil"/>
                    <w:tr2bl w:val="nil"/>
                  </w:tcBorders>
                  <w:shd w:val="clear" w:color="auto" w:fill="auto"/>
                  <w:vAlign w:val="center"/>
                </w:tcPr>
                <w:p w14:paraId="328D801E">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1.8</w:t>
                  </w:r>
                </w:p>
              </w:tc>
            </w:tr>
            <w:tr w14:paraId="15A744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5AFB448F">
                  <w:pPr>
                    <w:widowControl/>
                    <w:jc w:val="center"/>
                    <w:textAlignment w:val="center"/>
                    <w:rPr>
                      <w:rFonts w:hint="eastAsia" w:ascii="宋体" w:hAnsi="宋体" w:cs="宋体"/>
                      <w:color w:val="auto"/>
                      <w:sz w:val="18"/>
                      <w:szCs w:val="18"/>
                      <w:lang w:val="en-US" w:eastAsia="zh-CN"/>
                    </w:rPr>
                  </w:pPr>
                </w:p>
              </w:tc>
              <w:tc>
                <w:tcPr>
                  <w:tcW w:w="151" w:type="pct"/>
                  <w:vMerge w:val="continue"/>
                  <w:tcBorders>
                    <w:tl2br w:val="nil"/>
                    <w:tr2bl w:val="nil"/>
                  </w:tcBorders>
                  <w:shd w:val="clear" w:color="auto" w:fill="auto"/>
                  <w:vAlign w:val="center"/>
                </w:tcPr>
                <w:p w14:paraId="3459A4EB">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0CB1DEC5">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甲醛</w:t>
                  </w:r>
                </w:p>
              </w:tc>
              <w:tc>
                <w:tcPr>
                  <w:tcW w:w="306" w:type="pct"/>
                  <w:tcBorders>
                    <w:tl2br w:val="nil"/>
                    <w:tr2bl w:val="nil"/>
                  </w:tcBorders>
                  <w:shd w:val="clear" w:color="auto" w:fill="auto"/>
                  <w:vAlign w:val="center"/>
                </w:tcPr>
                <w:p w14:paraId="262768A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2.8 </w:t>
                  </w:r>
                </w:p>
              </w:tc>
              <w:tc>
                <w:tcPr>
                  <w:tcW w:w="272" w:type="pct"/>
                  <w:tcBorders>
                    <w:tl2br w:val="nil"/>
                    <w:tr2bl w:val="nil"/>
                  </w:tcBorders>
                  <w:shd w:val="clear" w:color="auto" w:fill="auto"/>
                  <w:vAlign w:val="center"/>
                </w:tcPr>
                <w:p w14:paraId="69D37EC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0.084</w:t>
                  </w:r>
                </w:p>
              </w:tc>
              <w:tc>
                <w:tcPr>
                  <w:tcW w:w="272" w:type="pct"/>
                  <w:tcBorders>
                    <w:tl2br w:val="nil"/>
                    <w:tr2bl w:val="nil"/>
                  </w:tcBorders>
                  <w:shd w:val="clear" w:color="auto" w:fill="auto"/>
                  <w:vAlign w:val="center"/>
                </w:tcPr>
                <w:p w14:paraId="57CCB87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0.253</w:t>
                  </w:r>
                </w:p>
              </w:tc>
              <w:tc>
                <w:tcPr>
                  <w:tcW w:w="263" w:type="pct"/>
                  <w:vMerge w:val="continue"/>
                  <w:tcBorders>
                    <w:tl2br w:val="nil"/>
                    <w:tr2bl w:val="nil"/>
                  </w:tcBorders>
                  <w:shd w:val="clear" w:color="auto" w:fill="auto"/>
                  <w:vAlign w:val="center"/>
                </w:tcPr>
                <w:p w14:paraId="742DF8AD">
                  <w:pPr>
                    <w:widowControl/>
                    <w:jc w:val="center"/>
                    <w:textAlignment w:val="center"/>
                    <w:rPr>
                      <w:rFonts w:hint="eastAsia"/>
                      <w:color w:val="auto"/>
                      <w:kern w:val="0"/>
                      <w:sz w:val="18"/>
                      <w:szCs w:val="18"/>
                      <w:lang w:val="en-US" w:eastAsia="zh-CN" w:bidi="ar"/>
                    </w:rPr>
                  </w:pPr>
                </w:p>
              </w:tc>
              <w:tc>
                <w:tcPr>
                  <w:tcW w:w="177" w:type="pct"/>
                  <w:vMerge w:val="continue"/>
                  <w:tcBorders>
                    <w:tl2br w:val="nil"/>
                    <w:tr2bl w:val="nil"/>
                  </w:tcBorders>
                  <w:shd w:val="clear" w:color="auto" w:fill="auto"/>
                  <w:vAlign w:val="center"/>
                </w:tcPr>
                <w:p w14:paraId="44A44B83">
                  <w:pPr>
                    <w:widowControl/>
                    <w:jc w:val="center"/>
                    <w:textAlignment w:val="center"/>
                    <w:rPr>
                      <w:rFonts w:hint="eastAsia"/>
                      <w:color w:val="auto"/>
                      <w:kern w:val="0"/>
                      <w:sz w:val="18"/>
                      <w:szCs w:val="18"/>
                      <w:lang w:val="en-US" w:eastAsia="zh-CN" w:bidi="ar"/>
                    </w:rPr>
                  </w:pPr>
                </w:p>
              </w:tc>
              <w:tc>
                <w:tcPr>
                  <w:tcW w:w="203" w:type="pct"/>
                  <w:tcBorders>
                    <w:tl2br w:val="nil"/>
                    <w:tr2bl w:val="nil"/>
                  </w:tcBorders>
                  <w:shd w:val="clear" w:color="auto" w:fill="auto"/>
                  <w:vAlign w:val="center"/>
                </w:tcPr>
                <w:p w14:paraId="36BF39D2">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50</w:t>
                  </w:r>
                </w:p>
              </w:tc>
              <w:tc>
                <w:tcPr>
                  <w:tcW w:w="224" w:type="pct"/>
                  <w:vMerge w:val="continue"/>
                  <w:tcBorders>
                    <w:tl2br w:val="nil"/>
                    <w:tr2bl w:val="nil"/>
                  </w:tcBorders>
                  <w:shd w:val="clear" w:color="auto" w:fill="auto"/>
                  <w:vAlign w:val="center"/>
                </w:tcPr>
                <w:p w14:paraId="0AA0D13F">
                  <w:pPr>
                    <w:widowControl/>
                    <w:jc w:val="center"/>
                    <w:textAlignment w:val="center"/>
                    <w:rPr>
                      <w:rFonts w:hint="eastAsia" w:ascii="宋体" w:hAnsi="宋体" w:cs="宋体"/>
                      <w:color w:val="auto"/>
                      <w:kern w:val="0"/>
                      <w:sz w:val="18"/>
                      <w:szCs w:val="18"/>
                      <w:lang w:bidi="ar"/>
                    </w:rPr>
                  </w:pPr>
                </w:p>
              </w:tc>
              <w:tc>
                <w:tcPr>
                  <w:tcW w:w="300" w:type="pct"/>
                  <w:vMerge w:val="continue"/>
                  <w:tcBorders>
                    <w:tl2br w:val="nil"/>
                    <w:tr2bl w:val="nil"/>
                  </w:tcBorders>
                  <w:shd w:val="clear" w:color="auto" w:fill="auto"/>
                  <w:vAlign w:val="center"/>
                </w:tcPr>
                <w:p w14:paraId="399A7E34">
                  <w:pPr>
                    <w:jc w:val="center"/>
                    <w:rPr>
                      <w:rFonts w:hint="eastAsia" w:ascii="宋体" w:hAnsi="宋体" w:cs="宋体"/>
                      <w:color w:val="auto"/>
                      <w:sz w:val="18"/>
                      <w:szCs w:val="18"/>
                    </w:rPr>
                  </w:pPr>
                </w:p>
              </w:tc>
              <w:tc>
                <w:tcPr>
                  <w:tcW w:w="267" w:type="pct"/>
                  <w:tcBorders>
                    <w:tl2br w:val="nil"/>
                    <w:tr2bl w:val="nil"/>
                  </w:tcBorders>
                  <w:shd w:val="clear" w:color="auto" w:fill="auto"/>
                  <w:vAlign w:val="center"/>
                </w:tcPr>
                <w:p w14:paraId="243A3717">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1.4 </w:t>
                  </w:r>
                </w:p>
              </w:tc>
              <w:tc>
                <w:tcPr>
                  <w:tcW w:w="261" w:type="pct"/>
                  <w:tcBorders>
                    <w:tl2br w:val="nil"/>
                    <w:tr2bl w:val="nil"/>
                  </w:tcBorders>
                  <w:shd w:val="clear" w:color="auto" w:fill="auto"/>
                  <w:vAlign w:val="center"/>
                </w:tcPr>
                <w:p w14:paraId="7576574A">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0.042 </w:t>
                  </w:r>
                </w:p>
              </w:tc>
              <w:tc>
                <w:tcPr>
                  <w:tcW w:w="272" w:type="pct"/>
                  <w:tcBorders>
                    <w:tl2br w:val="nil"/>
                    <w:tr2bl w:val="nil"/>
                  </w:tcBorders>
                  <w:shd w:val="clear" w:color="auto" w:fill="auto"/>
                  <w:vAlign w:val="center"/>
                </w:tcPr>
                <w:p w14:paraId="36A6E1CC">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0.127 </w:t>
                  </w:r>
                </w:p>
              </w:tc>
              <w:tc>
                <w:tcPr>
                  <w:tcW w:w="285" w:type="pct"/>
                  <w:vMerge w:val="continue"/>
                  <w:tcBorders>
                    <w:tl2br w:val="nil"/>
                    <w:tr2bl w:val="nil"/>
                  </w:tcBorders>
                  <w:shd w:val="clear" w:color="auto" w:fill="auto"/>
                  <w:vAlign w:val="center"/>
                </w:tcPr>
                <w:p w14:paraId="3DEB0007">
                  <w:pPr>
                    <w:widowControl/>
                    <w:jc w:val="center"/>
                    <w:textAlignment w:val="center"/>
                    <w:rPr>
                      <w:color w:val="auto"/>
                      <w:kern w:val="0"/>
                      <w:sz w:val="18"/>
                      <w:szCs w:val="18"/>
                      <w:lang w:bidi="ar"/>
                    </w:rPr>
                  </w:pPr>
                </w:p>
              </w:tc>
              <w:tc>
                <w:tcPr>
                  <w:tcW w:w="167" w:type="pct"/>
                  <w:vMerge w:val="continue"/>
                  <w:tcBorders>
                    <w:tl2br w:val="nil"/>
                    <w:tr2bl w:val="nil"/>
                  </w:tcBorders>
                  <w:shd w:val="clear" w:color="auto" w:fill="auto"/>
                  <w:vAlign w:val="center"/>
                </w:tcPr>
                <w:p w14:paraId="558DE687">
                  <w:pPr>
                    <w:widowControl/>
                    <w:jc w:val="center"/>
                    <w:textAlignment w:val="center"/>
                    <w:rPr>
                      <w:rFonts w:hint="eastAsia"/>
                      <w:color w:val="auto"/>
                      <w:kern w:val="0"/>
                      <w:sz w:val="18"/>
                      <w:szCs w:val="18"/>
                      <w:lang w:bidi="ar"/>
                    </w:rPr>
                  </w:pPr>
                </w:p>
              </w:tc>
              <w:tc>
                <w:tcPr>
                  <w:tcW w:w="168" w:type="pct"/>
                  <w:vMerge w:val="continue"/>
                  <w:tcBorders>
                    <w:tl2br w:val="nil"/>
                    <w:tr2bl w:val="nil"/>
                  </w:tcBorders>
                  <w:shd w:val="clear" w:color="auto" w:fill="auto"/>
                  <w:vAlign w:val="center"/>
                </w:tcPr>
                <w:p w14:paraId="40BE3FA6">
                  <w:pPr>
                    <w:widowControl/>
                    <w:jc w:val="center"/>
                    <w:textAlignment w:val="center"/>
                    <w:rPr>
                      <w:color w:val="auto"/>
                      <w:kern w:val="0"/>
                      <w:sz w:val="18"/>
                      <w:szCs w:val="18"/>
                      <w:lang w:bidi="ar"/>
                    </w:rPr>
                  </w:pPr>
                </w:p>
              </w:tc>
              <w:tc>
                <w:tcPr>
                  <w:tcW w:w="173" w:type="pct"/>
                  <w:vMerge w:val="continue"/>
                  <w:tcBorders>
                    <w:tl2br w:val="nil"/>
                    <w:tr2bl w:val="nil"/>
                  </w:tcBorders>
                  <w:shd w:val="clear" w:color="auto" w:fill="auto"/>
                  <w:vAlign w:val="center"/>
                </w:tcPr>
                <w:p w14:paraId="72F8E23F">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266EEFF0">
                  <w:pPr>
                    <w:widowControl/>
                    <w:jc w:val="center"/>
                    <w:textAlignment w:val="center"/>
                    <w:rPr>
                      <w:rFonts w:hint="eastAsia" w:ascii="宋体" w:hAnsi="宋体" w:cs="宋体"/>
                      <w:color w:val="auto"/>
                      <w:kern w:val="0"/>
                      <w:sz w:val="18"/>
                      <w:szCs w:val="18"/>
                      <w:lang w:bidi="ar"/>
                    </w:rPr>
                  </w:pPr>
                </w:p>
              </w:tc>
              <w:tc>
                <w:tcPr>
                  <w:tcW w:w="232" w:type="pct"/>
                  <w:tcBorders>
                    <w:top w:val="single" w:color="auto" w:sz="4" w:space="0"/>
                    <w:tl2br w:val="nil"/>
                    <w:tr2bl w:val="nil"/>
                  </w:tcBorders>
                  <w:shd w:val="clear" w:color="auto" w:fill="auto"/>
                  <w:vAlign w:val="center"/>
                </w:tcPr>
                <w:p w14:paraId="1B1A5CE4">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5</w:t>
                  </w:r>
                </w:p>
              </w:tc>
              <w:tc>
                <w:tcPr>
                  <w:tcW w:w="205" w:type="pct"/>
                  <w:tcBorders>
                    <w:top w:val="single" w:color="auto" w:sz="4" w:space="0"/>
                    <w:tl2br w:val="nil"/>
                    <w:tr2bl w:val="nil"/>
                  </w:tcBorders>
                  <w:shd w:val="clear" w:color="auto" w:fill="auto"/>
                  <w:vAlign w:val="center"/>
                </w:tcPr>
                <w:p w14:paraId="4E949C56">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0.18</w:t>
                  </w:r>
                </w:p>
              </w:tc>
            </w:tr>
            <w:tr w14:paraId="183558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329" w:type="pct"/>
                  <w:tcBorders>
                    <w:tl2br w:val="nil"/>
                    <w:tr2bl w:val="nil"/>
                  </w:tcBorders>
                  <w:shd w:val="clear" w:color="auto" w:fill="auto"/>
                  <w:vAlign w:val="center"/>
                </w:tcPr>
                <w:p w14:paraId="0752B4B1">
                  <w:pPr>
                    <w:widowControl/>
                    <w:jc w:val="center"/>
                    <w:textAlignment w:val="center"/>
                    <w:rPr>
                      <w:rFonts w:hint="default" w:ascii="宋体" w:hAnsi="宋体" w:eastAsia="宋体" w:cs="宋体"/>
                      <w:color w:val="auto"/>
                      <w:sz w:val="18"/>
                      <w:szCs w:val="18"/>
                      <w:lang w:val="en-US" w:eastAsia="zh-CN"/>
                    </w:rPr>
                  </w:pPr>
                  <w:r>
                    <w:rPr>
                      <w:rFonts w:hint="eastAsia" w:ascii="宋体" w:hAnsi="宋体" w:cs="宋体"/>
                      <w:color w:val="auto"/>
                      <w:kern w:val="0"/>
                      <w:sz w:val="18"/>
                      <w:szCs w:val="18"/>
                      <w:lang w:val="en-US" w:eastAsia="zh-CN" w:bidi="ar"/>
                    </w:rPr>
                    <w:t>蜡模组树</w:t>
                  </w:r>
                </w:p>
              </w:tc>
              <w:tc>
                <w:tcPr>
                  <w:tcW w:w="151" w:type="pct"/>
                  <w:tcBorders>
                    <w:tl2br w:val="nil"/>
                    <w:tr2bl w:val="nil"/>
                  </w:tcBorders>
                  <w:shd w:val="clear" w:color="auto" w:fill="auto"/>
                  <w:vAlign w:val="center"/>
                </w:tcPr>
                <w:p w14:paraId="0AEAA91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6765B96F">
                  <w:pPr>
                    <w:widowControl/>
                    <w:jc w:val="center"/>
                    <w:textAlignment w:val="center"/>
                    <w:rPr>
                      <w:rFonts w:hint="eastAsia" w:ascii="宋体" w:hAnsi="宋体" w:eastAsia="宋体" w:cs="宋体"/>
                      <w:color w:val="auto"/>
                      <w:sz w:val="18"/>
                      <w:szCs w:val="18"/>
                      <w:lang w:eastAsia="zh-CN"/>
                    </w:rPr>
                  </w:pPr>
                  <w:r>
                    <w:rPr>
                      <w:rFonts w:hint="eastAsia" w:ascii="宋体" w:hAnsi="宋体" w:cs="宋体"/>
                      <w:color w:val="auto"/>
                      <w:kern w:val="0"/>
                      <w:sz w:val="18"/>
                      <w:szCs w:val="18"/>
                      <w:lang w:val="en-US" w:eastAsia="zh-CN" w:bidi="ar"/>
                    </w:rPr>
                    <w:t>非甲烷总烃</w:t>
                  </w:r>
                </w:p>
              </w:tc>
              <w:tc>
                <w:tcPr>
                  <w:tcW w:w="306" w:type="pct"/>
                  <w:tcBorders>
                    <w:tl2br w:val="nil"/>
                    <w:tr2bl w:val="nil"/>
                  </w:tcBorders>
                  <w:shd w:val="clear" w:color="auto" w:fill="auto"/>
                  <w:vAlign w:val="center"/>
                </w:tcPr>
                <w:p w14:paraId="4487CE9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22.2</w:t>
                  </w:r>
                </w:p>
              </w:tc>
              <w:tc>
                <w:tcPr>
                  <w:tcW w:w="272" w:type="pct"/>
                  <w:tcBorders>
                    <w:tl2br w:val="nil"/>
                    <w:tr2bl w:val="nil"/>
                  </w:tcBorders>
                  <w:shd w:val="clear" w:color="auto" w:fill="auto"/>
                  <w:vAlign w:val="center"/>
                </w:tcPr>
                <w:p w14:paraId="290E1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0.111</w:t>
                  </w:r>
                </w:p>
              </w:tc>
              <w:tc>
                <w:tcPr>
                  <w:tcW w:w="272" w:type="pct"/>
                  <w:tcBorders>
                    <w:tl2br w:val="nil"/>
                    <w:tr2bl w:val="nil"/>
                  </w:tcBorders>
                  <w:shd w:val="clear" w:color="auto" w:fill="auto"/>
                  <w:vAlign w:val="center"/>
                </w:tcPr>
                <w:p w14:paraId="1C9937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0.133</w:t>
                  </w:r>
                </w:p>
              </w:tc>
              <w:tc>
                <w:tcPr>
                  <w:tcW w:w="263" w:type="pct"/>
                  <w:tcBorders>
                    <w:tl2br w:val="nil"/>
                    <w:tr2bl w:val="nil"/>
                  </w:tcBorders>
                  <w:shd w:val="clear" w:color="auto" w:fill="auto"/>
                  <w:vAlign w:val="center"/>
                </w:tcPr>
                <w:p w14:paraId="3D01A1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5000</w:t>
                  </w:r>
                </w:p>
              </w:tc>
              <w:tc>
                <w:tcPr>
                  <w:tcW w:w="177" w:type="pct"/>
                  <w:tcBorders>
                    <w:tl2br w:val="nil"/>
                    <w:tr2bl w:val="nil"/>
                  </w:tcBorders>
                  <w:shd w:val="clear" w:color="auto" w:fill="auto"/>
                  <w:vAlign w:val="center"/>
                </w:tcPr>
                <w:p w14:paraId="028E7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80</w:t>
                  </w:r>
                </w:p>
              </w:tc>
              <w:tc>
                <w:tcPr>
                  <w:tcW w:w="203" w:type="pct"/>
                  <w:tcBorders>
                    <w:tl2br w:val="nil"/>
                    <w:tr2bl w:val="nil"/>
                  </w:tcBorders>
                  <w:shd w:val="clear" w:color="auto" w:fill="auto"/>
                  <w:vAlign w:val="center"/>
                </w:tcPr>
                <w:p w14:paraId="2E9E87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w:t>
                  </w:r>
                  <w:r>
                    <w:rPr>
                      <w:rFonts w:hint="eastAsia" w:ascii="Times New Roman" w:hAnsi="Times New Roman" w:eastAsia="宋体" w:cs="Times New Roman"/>
                      <w:i w:val="0"/>
                      <w:iCs w:val="0"/>
                      <w:color w:val="auto"/>
                      <w:kern w:val="0"/>
                      <w:sz w:val="18"/>
                      <w:szCs w:val="18"/>
                      <w:u w:val="none"/>
                      <w:lang w:val="en-US" w:eastAsia="zh-CN" w:bidi="ar"/>
                    </w:rPr>
                    <w:t>0</w:t>
                  </w:r>
                </w:p>
              </w:tc>
              <w:tc>
                <w:tcPr>
                  <w:tcW w:w="224" w:type="pct"/>
                  <w:tcBorders>
                    <w:tl2br w:val="nil"/>
                    <w:tr2bl w:val="nil"/>
                  </w:tcBorders>
                  <w:shd w:val="clear" w:color="auto" w:fill="auto"/>
                  <w:vAlign w:val="center"/>
                </w:tcPr>
                <w:p w14:paraId="12B2720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是</w:t>
                  </w:r>
                </w:p>
              </w:tc>
              <w:tc>
                <w:tcPr>
                  <w:tcW w:w="300" w:type="pct"/>
                  <w:tcBorders>
                    <w:tl2br w:val="nil"/>
                    <w:tr2bl w:val="nil"/>
                  </w:tcBorders>
                  <w:shd w:val="clear" w:color="auto" w:fill="auto"/>
                  <w:vAlign w:val="center"/>
                </w:tcPr>
                <w:p w14:paraId="62CE39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活性炭吸附</w:t>
                  </w:r>
                </w:p>
              </w:tc>
              <w:tc>
                <w:tcPr>
                  <w:tcW w:w="267" w:type="pct"/>
                  <w:tcBorders>
                    <w:tl2br w:val="nil"/>
                    <w:tr2bl w:val="nil"/>
                  </w:tcBorders>
                  <w:shd w:val="clear" w:color="auto" w:fill="auto"/>
                  <w:vAlign w:val="center"/>
                </w:tcPr>
                <w:p w14:paraId="1C85DEAF">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11.1 </w:t>
                  </w:r>
                </w:p>
              </w:tc>
              <w:tc>
                <w:tcPr>
                  <w:tcW w:w="261" w:type="pct"/>
                  <w:tcBorders>
                    <w:tl2br w:val="nil"/>
                    <w:tr2bl w:val="nil"/>
                  </w:tcBorders>
                  <w:shd w:val="clear" w:color="auto" w:fill="auto"/>
                  <w:vAlign w:val="center"/>
                </w:tcPr>
                <w:p w14:paraId="56BCA974">
                  <w:pPr>
                    <w:widowControl/>
                    <w:jc w:val="center"/>
                    <w:textAlignment w:val="center"/>
                    <w:rPr>
                      <w:rFonts w:hint="default"/>
                      <w:color w:val="auto"/>
                      <w:sz w:val="18"/>
                      <w:szCs w:val="18"/>
                      <w:lang w:val="en-US" w:eastAsia="zh-CN"/>
                    </w:rPr>
                  </w:pPr>
                  <w:r>
                    <w:rPr>
                      <w:rFonts w:hint="eastAsia"/>
                      <w:color w:val="auto"/>
                      <w:sz w:val="18"/>
                      <w:szCs w:val="18"/>
                      <w:lang w:val="en-US" w:eastAsia="zh-CN"/>
                    </w:rPr>
                    <w:t xml:space="preserve">0.056 </w:t>
                  </w:r>
                </w:p>
              </w:tc>
              <w:tc>
                <w:tcPr>
                  <w:tcW w:w="272" w:type="pct"/>
                  <w:tcBorders>
                    <w:tl2br w:val="nil"/>
                    <w:tr2bl w:val="nil"/>
                  </w:tcBorders>
                  <w:shd w:val="clear" w:color="auto" w:fill="auto"/>
                  <w:vAlign w:val="center"/>
                </w:tcPr>
                <w:p w14:paraId="1EBDA4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0.067 </w:t>
                  </w:r>
                </w:p>
              </w:tc>
              <w:tc>
                <w:tcPr>
                  <w:tcW w:w="285" w:type="pct"/>
                  <w:tcBorders>
                    <w:tl2br w:val="nil"/>
                    <w:tr2bl w:val="nil"/>
                  </w:tcBorders>
                  <w:shd w:val="clear" w:color="auto" w:fill="auto"/>
                  <w:vAlign w:val="center"/>
                </w:tcPr>
                <w:p w14:paraId="6C6548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DA003</w:t>
                  </w:r>
                </w:p>
              </w:tc>
              <w:tc>
                <w:tcPr>
                  <w:tcW w:w="167" w:type="pct"/>
                  <w:tcBorders>
                    <w:tl2br w:val="nil"/>
                    <w:tr2bl w:val="nil"/>
                  </w:tcBorders>
                  <w:shd w:val="clear" w:color="auto" w:fill="auto"/>
                  <w:vAlign w:val="center"/>
                </w:tcPr>
                <w:p w14:paraId="0496EF7C">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15</w:t>
                  </w:r>
                </w:p>
              </w:tc>
              <w:tc>
                <w:tcPr>
                  <w:tcW w:w="168" w:type="pct"/>
                  <w:tcBorders>
                    <w:tl2br w:val="nil"/>
                    <w:tr2bl w:val="nil"/>
                  </w:tcBorders>
                  <w:shd w:val="clear" w:color="auto" w:fill="auto"/>
                  <w:vAlign w:val="center"/>
                </w:tcPr>
                <w:p w14:paraId="2D6E22B8">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0.3</w:t>
                  </w:r>
                </w:p>
              </w:tc>
              <w:tc>
                <w:tcPr>
                  <w:tcW w:w="173" w:type="pct"/>
                  <w:tcBorders>
                    <w:tl2br w:val="nil"/>
                    <w:tr2bl w:val="nil"/>
                  </w:tcBorders>
                  <w:shd w:val="clear" w:color="auto" w:fill="auto"/>
                  <w:vAlign w:val="center"/>
                </w:tcPr>
                <w:p w14:paraId="7536A8EF">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227" w:type="pct"/>
                  <w:tcBorders>
                    <w:tl2br w:val="nil"/>
                    <w:tr2bl w:val="nil"/>
                  </w:tcBorders>
                  <w:shd w:val="clear" w:color="auto" w:fill="auto"/>
                  <w:vAlign w:val="center"/>
                </w:tcPr>
                <w:p w14:paraId="4CFBCC97">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232" w:type="pct"/>
                  <w:tcBorders>
                    <w:tl2br w:val="nil"/>
                    <w:tr2bl w:val="nil"/>
                  </w:tcBorders>
                  <w:shd w:val="clear" w:color="auto" w:fill="auto"/>
                  <w:vAlign w:val="center"/>
                </w:tcPr>
                <w:p w14:paraId="72E488C1">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kern w:val="0"/>
                      <w:sz w:val="18"/>
                      <w:szCs w:val="18"/>
                      <w:lang w:val="en-US" w:eastAsia="zh-CN" w:bidi="ar"/>
                    </w:rPr>
                    <w:t>100</w:t>
                  </w:r>
                </w:p>
              </w:tc>
              <w:tc>
                <w:tcPr>
                  <w:tcW w:w="205" w:type="pct"/>
                  <w:tcBorders>
                    <w:tl2br w:val="nil"/>
                    <w:tr2bl w:val="nil"/>
                  </w:tcBorders>
                  <w:shd w:val="clear" w:color="auto" w:fill="auto"/>
                  <w:vAlign w:val="center"/>
                </w:tcPr>
                <w:p w14:paraId="445F5464">
                  <w:pPr>
                    <w:jc w:val="center"/>
                    <w:rPr>
                      <w:rFonts w:hint="default" w:eastAsia="宋体"/>
                      <w:color w:val="auto"/>
                      <w:sz w:val="18"/>
                      <w:szCs w:val="18"/>
                      <w:lang w:val="en-US" w:eastAsia="zh-CN"/>
                    </w:rPr>
                  </w:pPr>
                  <w:r>
                    <w:rPr>
                      <w:rFonts w:hint="eastAsia"/>
                      <w:color w:val="auto"/>
                      <w:sz w:val="18"/>
                      <w:szCs w:val="18"/>
                      <w:lang w:val="en-US" w:eastAsia="zh-CN"/>
                    </w:rPr>
                    <w:t>/</w:t>
                  </w:r>
                </w:p>
              </w:tc>
            </w:tr>
            <w:tr w14:paraId="44B6D5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restart"/>
                  <w:tcBorders>
                    <w:tl2br w:val="nil"/>
                    <w:tr2bl w:val="nil"/>
                  </w:tcBorders>
                  <w:shd w:val="clear" w:color="auto" w:fill="auto"/>
                  <w:vAlign w:val="center"/>
                </w:tcPr>
                <w:p w14:paraId="139982ED">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脱蜡、型壳焙烧</w:t>
                  </w:r>
                </w:p>
              </w:tc>
              <w:tc>
                <w:tcPr>
                  <w:tcW w:w="151" w:type="pct"/>
                  <w:vMerge w:val="restart"/>
                  <w:tcBorders>
                    <w:tl2br w:val="nil"/>
                    <w:tr2bl w:val="nil"/>
                  </w:tcBorders>
                  <w:shd w:val="clear" w:color="auto" w:fill="auto"/>
                  <w:vAlign w:val="center"/>
                </w:tcPr>
                <w:p w14:paraId="3A5393B0">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4D4FB0D4">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非甲烷总烃</w:t>
                  </w:r>
                </w:p>
              </w:tc>
              <w:tc>
                <w:tcPr>
                  <w:tcW w:w="306" w:type="pct"/>
                  <w:tcBorders>
                    <w:tl2br w:val="nil"/>
                    <w:tr2bl w:val="nil"/>
                  </w:tcBorders>
                  <w:shd w:val="clear" w:color="auto" w:fill="auto"/>
                  <w:vAlign w:val="center"/>
                </w:tcPr>
                <w:p w14:paraId="43422A4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11.2 </w:t>
                  </w:r>
                </w:p>
              </w:tc>
              <w:tc>
                <w:tcPr>
                  <w:tcW w:w="272" w:type="pct"/>
                  <w:tcBorders>
                    <w:tl2br w:val="nil"/>
                    <w:tr2bl w:val="nil"/>
                  </w:tcBorders>
                  <w:shd w:val="clear" w:color="auto" w:fill="auto"/>
                  <w:vAlign w:val="center"/>
                </w:tcPr>
                <w:p w14:paraId="706B2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0.056</w:t>
                  </w:r>
                </w:p>
              </w:tc>
              <w:tc>
                <w:tcPr>
                  <w:tcW w:w="272" w:type="pct"/>
                  <w:tcBorders>
                    <w:tl2br w:val="nil"/>
                    <w:tr2bl w:val="nil"/>
                  </w:tcBorders>
                  <w:shd w:val="clear" w:color="auto" w:fill="auto"/>
                  <w:vAlign w:val="center"/>
                </w:tcPr>
                <w:p w14:paraId="079E3D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0.167</w:t>
                  </w:r>
                </w:p>
              </w:tc>
              <w:tc>
                <w:tcPr>
                  <w:tcW w:w="263" w:type="pct"/>
                  <w:vMerge w:val="restart"/>
                  <w:tcBorders>
                    <w:tl2br w:val="nil"/>
                    <w:tr2bl w:val="nil"/>
                  </w:tcBorders>
                  <w:shd w:val="clear" w:color="auto" w:fill="auto"/>
                  <w:vAlign w:val="center"/>
                </w:tcPr>
                <w:p w14:paraId="1B817DDD">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5000</w:t>
                  </w:r>
                </w:p>
              </w:tc>
              <w:tc>
                <w:tcPr>
                  <w:tcW w:w="177" w:type="pct"/>
                  <w:tcBorders>
                    <w:tl2br w:val="nil"/>
                    <w:tr2bl w:val="nil"/>
                  </w:tcBorders>
                  <w:shd w:val="clear" w:color="auto" w:fill="auto"/>
                  <w:vAlign w:val="center"/>
                </w:tcPr>
                <w:p w14:paraId="081A8525">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100</w:t>
                  </w:r>
                </w:p>
              </w:tc>
              <w:tc>
                <w:tcPr>
                  <w:tcW w:w="203" w:type="pct"/>
                  <w:tcBorders>
                    <w:tl2br w:val="nil"/>
                    <w:tr2bl w:val="nil"/>
                  </w:tcBorders>
                  <w:shd w:val="clear" w:color="auto" w:fill="auto"/>
                  <w:vAlign w:val="center"/>
                </w:tcPr>
                <w:p w14:paraId="00CD9CF7">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60</w:t>
                  </w:r>
                </w:p>
              </w:tc>
              <w:tc>
                <w:tcPr>
                  <w:tcW w:w="224" w:type="pct"/>
                  <w:vMerge w:val="restart"/>
                  <w:tcBorders>
                    <w:tl2br w:val="nil"/>
                    <w:tr2bl w:val="nil"/>
                  </w:tcBorders>
                  <w:shd w:val="clear" w:color="auto" w:fill="auto"/>
                  <w:vAlign w:val="center"/>
                </w:tcPr>
                <w:p w14:paraId="145F489A">
                  <w:pPr>
                    <w:widowControl/>
                    <w:jc w:val="center"/>
                    <w:textAlignment w:val="center"/>
                    <w:rPr>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是</w:t>
                  </w:r>
                </w:p>
              </w:tc>
              <w:tc>
                <w:tcPr>
                  <w:tcW w:w="300" w:type="pct"/>
                  <w:vMerge w:val="restart"/>
                  <w:tcBorders>
                    <w:tl2br w:val="nil"/>
                    <w:tr2bl w:val="nil"/>
                  </w:tcBorders>
                  <w:shd w:val="clear" w:color="auto" w:fill="auto"/>
                  <w:vAlign w:val="center"/>
                </w:tcPr>
                <w:p w14:paraId="2B546735">
                  <w:pPr>
                    <w:widowControl/>
                    <w:jc w:val="center"/>
                    <w:textAlignment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水喷淋+干式过滤器+活性炭吸附</w:t>
                  </w:r>
                </w:p>
              </w:tc>
              <w:tc>
                <w:tcPr>
                  <w:tcW w:w="267" w:type="pct"/>
                  <w:tcBorders>
                    <w:tl2br w:val="nil"/>
                    <w:tr2bl w:val="nil"/>
                  </w:tcBorders>
                  <w:shd w:val="clear" w:color="auto" w:fill="auto"/>
                  <w:vAlign w:val="center"/>
                </w:tcPr>
                <w:p w14:paraId="45E47C66">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5.6 </w:t>
                  </w:r>
                </w:p>
              </w:tc>
              <w:tc>
                <w:tcPr>
                  <w:tcW w:w="261" w:type="pct"/>
                  <w:tcBorders>
                    <w:tl2br w:val="nil"/>
                    <w:tr2bl w:val="nil"/>
                  </w:tcBorders>
                  <w:shd w:val="clear" w:color="auto" w:fill="auto"/>
                  <w:vAlign w:val="center"/>
                </w:tcPr>
                <w:p w14:paraId="29EDFF79">
                  <w:pPr>
                    <w:widowControl/>
                    <w:jc w:val="center"/>
                    <w:textAlignment w:val="center"/>
                    <w:rPr>
                      <w:rFonts w:hint="default"/>
                      <w:color w:val="auto"/>
                      <w:sz w:val="18"/>
                      <w:szCs w:val="18"/>
                      <w:lang w:val="en-US" w:eastAsia="zh-CN"/>
                    </w:rPr>
                  </w:pPr>
                  <w:r>
                    <w:rPr>
                      <w:rFonts w:hint="eastAsia"/>
                      <w:color w:val="auto"/>
                      <w:sz w:val="18"/>
                      <w:szCs w:val="18"/>
                      <w:lang w:val="en-US" w:eastAsia="zh-CN"/>
                    </w:rPr>
                    <w:t xml:space="preserve">0.028 </w:t>
                  </w:r>
                </w:p>
              </w:tc>
              <w:tc>
                <w:tcPr>
                  <w:tcW w:w="272" w:type="pct"/>
                  <w:tcBorders>
                    <w:tl2br w:val="nil"/>
                    <w:tr2bl w:val="nil"/>
                  </w:tcBorders>
                  <w:shd w:val="clear" w:color="auto" w:fill="auto"/>
                  <w:vAlign w:val="center"/>
                </w:tcPr>
                <w:p w14:paraId="3E723A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0.084 </w:t>
                  </w:r>
                </w:p>
              </w:tc>
              <w:tc>
                <w:tcPr>
                  <w:tcW w:w="285" w:type="pct"/>
                  <w:vMerge w:val="restart"/>
                  <w:tcBorders>
                    <w:tl2br w:val="nil"/>
                    <w:tr2bl w:val="nil"/>
                  </w:tcBorders>
                  <w:shd w:val="clear" w:color="auto" w:fill="auto"/>
                  <w:vAlign w:val="center"/>
                </w:tcPr>
                <w:p w14:paraId="168053C7">
                  <w:pPr>
                    <w:jc w:val="center"/>
                    <w:rPr>
                      <w:rFonts w:hint="default" w:ascii="宋体" w:hAnsi="宋体" w:eastAsia="宋体" w:cs="宋体"/>
                      <w:color w:val="auto"/>
                      <w:sz w:val="18"/>
                      <w:szCs w:val="18"/>
                      <w:lang w:val="en-US" w:eastAsia="zh-CN"/>
                    </w:rPr>
                  </w:pPr>
                  <w:r>
                    <w:rPr>
                      <w:rFonts w:hint="default" w:ascii="Times New Roman" w:hAnsi="Times New Roman" w:cs="Times New Roman"/>
                      <w:color w:val="auto"/>
                      <w:sz w:val="18"/>
                      <w:szCs w:val="18"/>
                      <w:lang w:val="en-US" w:eastAsia="zh-CN"/>
                    </w:rPr>
                    <w:t>DA004</w:t>
                  </w:r>
                </w:p>
              </w:tc>
              <w:tc>
                <w:tcPr>
                  <w:tcW w:w="167" w:type="pct"/>
                  <w:vMerge w:val="restart"/>
                  <w:tcBorders>
                    <w:tl2br w:val="nil"/>
                    <w:tr2bl w:val="nil"/>
                  </w:tcBorders>
                  <w:shd w:val="clear" w:color="auto" w:fill="auto"/>
                  <w:vAlign w:val="center"/>
                </w:tcPr>
                <w:p w14:paraId="22E266EA">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w:t>
                  </w:r>
                </w:p>
              </w:tc>
              <w:tc>
                <w:tcPr>
                  <w:tcW w:w="168" w:type="pct"/>
                  <w:vMerge w:val="restart"/>
                  <w:tcBorders>
                    <w:tl2br w:val="nil"/>
                    <w:tr2bl w:val="nil"/>
                  </w:tcBorders>
                  <w:shd w:val="clear" w:color="auto" w:fill="auto"/>
                  <w:vAlign w:val="center"/>
                </w:tcPr>
                <w:p w14:paraId="1809F563">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0.3</w:t>
                  </w:r>
                </w:p>
              </w:tc>
              <w:tc>
                <w:tcPr>
                  <w:tcW w:w="173" w:type="pct"/>
                  <w:vMerge w:val="restart"/>
                  <w:tcBorders>
                    <w:tl2br w:val="nil"/>
                    <w:tr2bl w:val="nil"/>
                  </w:tcBorders>
                  <w:shd w:val="clear" w:color="auto" w:fill="auto"/>
                  <w:vAlign w:val="center"/>
                </w:tcPr>
                <w:p w14:paraId="66608757">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227" w:type="pct"/>
                  <w:vMerge w:val="restart"/>
                  <w:tcBorders>
                    <w:tl2br w:val="nil"/>
                    <w:tr2bl w:val="nil"/>
                  </w:tcBorders>
                  <w:shd w:val="clear" w:color="auto" w:fill="auto"/>
                  <w:vAlign w:val="center"/>
                </w:tcPr>
                <w:p w14:paraId="26F4664A">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232" w:type="pct"/>
                  <w:tcBorders>
                    <w:tl2br w:val="nil"/>
                    <w:tr2bl w:val="nil"/>
                  </w:tcBorders>
                  <w:shd w:val="clear" w:color="auto" w:fill="auto"/>
                  <w:vAlign w:val="center"/>
                </w:tcPr>
                <w:p w14:paraId="6312D2F7">
                  <w:pPr>
                    <w:jc w:val="center"/>
                    <w:rPr>
                      <w:rFonts w:hint="default" w:eastAsia="宋体"/>
                      <w:color w:val="auto"/>
                      <w:sz w:val="18"/>
                      <w:szCs w:val="18"/>
                      <w:lang w:val="en-US" w:eastAsia="zh-CN"/>
                    </w:rPr>
                  </w:pPr>
                  <w:r>
                    <w:rPr>
                      <w:rFonts w:hint="eastAsia"/>
                      <w:color w:val="auto"/>
                      <w:sz w:val="18"/>
                      <w:szCs w:val="18"/>
                      <w:lang w:val="en-US" w:eastAsia="zh-CN"/>
                    </w:rPr>
                    <w:t>100</w:t>
                  </w:r>
                </w:p>
              </w:tc>
              <w:tc>
                <w:tcPr>
                  <w:tcW w:w="205" w:type="pct"/>
                  <w:tcBorders>
                    <w:tl2br w:val="nil"/>
                    <w:tr2bl w:val="nil"/>
                  </w:tcBorders>
                  <w:shd w:val="clear" w:color="auto" w:fill="auto"/>
                  <w:vAlign w:val="center"/>
                </w:tcPr>
                <w:p w14:paraId="6BC06A9A">
                  <w:pPr>
                    <w:jc w:val="center"/>
                    <w:rPr>
                      <w:rFonts w:hint="eastAsia" w:eastAsia="宋体"/>
                      <w:color w:val="auto"/>
                      <w:sz w:val="18"/>
                      <w:szCs w:val="18"/>
                      <w:lang w:val="en-US" w:eastAsia="zh-CN"/>
                    </w:rPr>
                  </w:pPr>
                  <w:r>
                    <w:rPr>
                      <w:rFonts w:hint="eastAsia"/>
                      <w:color w:val="auto"/>
                      <w:sz w:val="18"/>
                      <w:szCs w:val="18"/>
                      <w:lang w:val="en-US" w:eastAsia="zh-CN"/>
                    </w:rPr>
                    <w:t>/</w:t>
                  </w:r>
                </w:p>
              </w:tc>
            </w:tr>
            <w:tr w14:paraId="4E73D4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4D8E8DA5">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08766E80">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589A8EAE">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7A492BD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7.6 </w:t>
                  </w:r>
                </w:p>
              </w:tc>
              <w:tc>
                <w:tcPr>
                  <w:tcW w:w="272" w:type="pct"/>
                  <w:tcBorders>
                    <w:tl2br w:val="nil"/>
                    <w:tr2bl w:val="nil"/>
                  </w:tcBorders>
                  <w:shd w:val="clear" w:color="auto" w:fill="auto"/>
                  <w:vAlign w:val="center"/>
                </w:tcPr>
                <w:p w14:paraId="77F177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0.038</w:t>
                  </w:r>
                </w:p>
              </w:tc>
              <w:tc>
                <w:tcPr>
                  <w:tcW w:w="272" w:type="pct"/>
                  <w:tcBorders>
                    <w:tl2br w:val="nil"/>
                    <w:tr2bl w:val="nil"/>
                  </w:tcBorders>
                  <w:shd w:val="clear" w:color="auto" w:fill="auto"/>
                  <w:vAlign w:val="center"/>
                </w:tcPr>
                <w:p w14:paraId="44F134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0.114</w:t>
                  </w:r>
                </w:p>
              </w:tc>
              <w:tc>
                <w:tcPr>
                  <w:tcW w:w="263" w:type="pct"/>
                  <w:vMerge w:val="continue"/>
                  <w:tcBorders>
                    <w:tl2br w:val="nil"/>
                    <w:tr2bl w:val="nil"/>
                  </w:tcBorders>
                  <w:shd w:val="clear" w:color="auto" w:fill="auto"/>
                  <w:vAlign w:val="center"/>
                </w:tcPr>
                <w:p w14:paraId="276B7172">
                  <w:pPr>
                    <w:widowControl/>
                    <w:jc w:val="center"/>
                    <w:textAlignment w:val="center"/>
                    <w:rPr>
                      <w:color w:val="auto"/>
                      <w:sz w:val="18"/>
                      <w:szCs w:val="18"/>
                    </w:rPr>
                  </w:pPr>
                </w:p>
              </w:tc>
              <w:tc>
                <w:tcPr>
                  <w:tcW w:w="177" w:type="pct"/>
                  <w:tcBorders>
                    <w:tl2br w:val="nil"/>
                    <w:tr2bl w:val="nil"/>
                  </w:tcBorders>
                  <w:shd w:val="clear" w:color="auto" w:fill="auto"/>
                  <w:vAlign w:val="center"/>
                </w:tcPr>
                <w:p w14:paraId="0EB7CB44">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100</w:t>
                  </w:r>
                </w:p>
              </w:tc>
              <w:tc>
                <w:tcPr>
                  <w:tcW w:w="203" w:type="pct"/>
                  <w:tcBorders>
                    <w:tl2br w:val="nil"/>
                    <w:tr2bl w:val="nil"/>
                  </w:tcBorders>
                  <w:shd w:val="clear" w:color="auto" w:fill="auto"/>
                  <w:vAlign w:val="center"/>
                </w:tcPr>
                <w:p w14:paraId="7DBE036E">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0</w:t>
                  </w:r>
                </w:p>
              </w:tc>
              <w:tc>
                <w:tcPr>
                  <w:tcW w:w="224" w:type="pct"/>
                  <w:vMerge w:val="continue"/>
                  <w:tcBorders>
                    <w:tl2br w:val="nil"/>
                    <w:tr2bl w:val="nil"/>
                  </w:tcBorders>
                  <w:shd w:val="clear" w:color="auto" w:fill="auto"/>
                  <w:vAlign w:val="center"/>
                </w:tcPr>
                <w:p w14:paraId="76754DEE">
                  <w:pPr>
                    <w:widowControl/>
                    <w:jc w:val="center"/>
                    <w:textAlignment w:val="center"/>
                    <w:rPr>
                      <w:color w:val="auto"/>
                      <w:sz w:val="18"/>
                      <w:szCs w:val="18"/>
                    </w:rPr>
                  </w:pPr>
                </w:p>
              </w:tc>
              <w:tc>
                <w:tcPr>
                  <w:tcW w:w="300" w:type="pct"/>
                  <w:vMerge w:val="continue"/>
                  <w:tcBorders>
                    <w:tl2br w:val="nil"/>
                    <w:tr2bl w:val="nil"/>
                  </w:tcBorders>
                  <w:shd w:val="clear" w:color="auto" w:fill="auto"/>
                  <w:vAlign w:val="center"/>
                </w:tcPr>
                <w:p w14:paraId="30A384C7">
                  <w:pPr>
                    <w:widowControl/>
                    <w:jc w:val="center"/>
                    <w:textAlignment w:val="center"/>
                    <w:rPr>
                      <w:rFonts w:hint="default" w:ascii="宋体" w:hAnsi="宋体" w:eastAsia="宋体" w:cs="宋体"/>
                      <w:color w:val="auto"/>
                      <w:sz w:val="18"/>
                      <w:szCs w:val="18"/>
                      <w:lang w:val="en-US" w:eastAsia="zh-CN"/>
                    </w:rPr>
                  </w:pPr>
                </w:p>
              </w:tc>
              <w:tc>
                <w:tcPr>
                  <w:tcW w:w="267" w:type="pct"/>
                  <w:tcBorders>
                    <w:tl2br w:val="nil"/>
                    <w:tr2bl w:val="nil"/>
                  </w:tcBorders>
                  <w:shd w:val="clear" w:color="auto" w:fill="auto"/>
                  <w:vAlign w:val="center"/>
                </w:tcPr>
                <w:p w14:paraId="613B4B22">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7.6 </w:t>
                  </w:r>
                </w:p>
              </w:tc>
              <w:tc>
                <w:tcPr>
                  <w:tcW w:w="261" w:type="pct"/>
                  <w:tcBorders>
                    <w:tl2br w:val="nil"/>
                    <w:tr2bl w:val="nil"/>
                  </w:tcBorders>
                  <w:shd w:val="clear" w:color="auto" w:fill="auto"/>
                  <w:vAlign w:val="center"/>
                </w:tcPr>
                <w:p w14:paraId="707A5302">
                  <w:pPr>
                    <w:widowControl/>
                    <w:jc w:val="center"/>
                    <w:textAlignment w:val="center"/>
                    <w:rPr>
                      <w:rFonts w:hint="default"/>
                      <w:color w:val="auto"/>
                      <w:sz w:val="18"/>
                      <w:szCs w:val="18"/>
                      <w:lang w:val="en-US" w:eastAsia="zh-CN"/>
                    </w:rPr>
                  </w:pPr>
                  <w:r>
                    <w:rPr>
                      <w:rFonts w:hint="eastAsia"/>
                      <w:color w:val="auto"/>
                      <w:sz w:val="18"/>
                      <w:szCs w:val="18"/>
                      <w:lang w:val="en-US" w:eastAsia="zh-CN"/>
                    </w:rPr>
                    <w:t>0.038</w:t>
                  </w:r>
                </w:p>
              </w:tc>
              <w:tc>
                <w:tcPr>
                  <w:tcW w:w="272" w:type="pct"/>
                  <w:tcBorders>
                    <w:tl2br w:val="nil"/>
                    <w:tr2bl w:val="nil"/>
                  </w:tcBorders>
                  <w:shd w:val="clear" w:color="auto" w:fill="auto"/>
                  <w:vAlign w:val="center"/>
                </w:tcPr>
                <w:p w14:paraId="2743D2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0.114</w:t>
                  </w:r>
                </w:p>
              </w:tc>
              <w:tc>
                <w:tcPr>
                  <w:tcW w:w="285" w:type="pct"/>
                  <w:vMerge w:val="continue"/>
                  <w:tcBorders>
                    <w:tl2br w:val="nil"/>
                    <w:tr2bl w:val="nil"/>
                  </w:tcBorders>
                  <w:shd w:val="clear" w:color="auto" w:fill="auto"/>
                  <w:vAlign w:val="center"/>
                </w:tcPr>
                <w:p w14:paraId="12E149CC">
                  <w:pPr>
                    <w:jc w:val="center"/>
                    <w:rPr>
                      <w:rFonts w:hint="eastAsia" w:ascii="宋体" w:hAnsi="宋体" w:eastAsia="宋体" w:cs="宋体"/>
                      <w:color w:val="auto"/>
                      <w:sz w:val="18"/>
                      <w:szCs w:val="18"/>
                      <w:lang w:val="en-US" w:eastAsia="zh-CN"/>
                    </w:rPr>
                  </w:pPr>
                </w:p>
              </w:tc>
              <w:tc>
                <w:tcPr>
                  <w:tcW w:w="167" w:type="pct"/>
                  <w:vMerge w:val="continue"/>
                  <w:tcBorders>
                    <w:tl2br w:val="nil"/>
                    <w:tr2bl w:val="nil"/>
                  </w:tcBorders>
                  <w:shd w:val="clear" w:color="auto" w:fill="auto"/>
                  <w:vAlign w:val="center"/>
                </w:tcPr>
                <w:p w14:paraId="5E119860">
                  <w:pPr>
                    <w:widowControl/>
                    <w:jc w:val="center"/>
                    <w:textAlignment w:val="center"/>
                    <w:rPr>
                      <w:color w:val="auto"/>
                      <w:sz w:val="18"/>
                      <w:szCs w:val="18"/>
                    </w:rPr>
                  </w:pPr>
                </w:p>
              </w:tc>
              <w:tc>
                <w:tcPr>
                  <w:tcW w:w="168" w:type="pct"/>
                  <w:vMerge w:val="continue"/>
                  <w:tcBorders>
                    <w:tl2br w:val="nil"/>
                    <w:tr2bl w:val="nil"/>
                  </w:tcBorders>
                  <w:shd w:val="clear" w:color="auto" w:fill="auto"/>
                  <w:vAlign w:val="center"/>
                </w:tcPr>
                <w:p w14:paraId="689C5CD4">
                  <w:pPr>
                    <w:widowControl/>
                    <w:jc w:val="center"/>
                    <w:textAlignment w:val="center"/>
                    <w:rPr>
                      <w:color w:val="auto"/>
                      <w:sz w:val="18"/>
                      <w:szCs w:val="18"/>
                    </w:rPr>
                  </w:pPr>
                </w:p>
              </w:tc>
              <w:tc>
                <w:tcPr>
                  <w:tcW w:w="173" w:type="pct"/>
                  <w:vMerge w:val="continue"/>
                  <w:tcBorders>
                    <w:tl2br w:val="nil"/>
                    <w:tr2bl w:val="nil"/>
                  </w:tcBorders>
                  <w:shd w:val="clear" w:color="auto" w:fill="auto"/>
                  <w:vAlign w:val="center"/>
                </w:tcPr>
                <w:p w14:paraId="424D99A6">
                  <w:pPr>
                    <w:widowControl/>
                    <w:jc w:val="center"/>
                    <w:textAlignment w:val="center"/>
                    <w:rPr>
                      <w:color w:val="auto"/>
                      <w:sz w:val="18"/>
                      <w:szCs w:val="18"/>
                    </w:rPr>
                  </w:pPr>
                </w:p>
              </w:tc>
              <w:tc>
                <w:tcPr>
                  <w:tcW w:w="227" w:type="pct"/>
                  <w:vMerge w:val="continue"/>
                  <w:tcBorders>
                    <w:tl2br w:val="nil"/>
                    <w:tr2bl w:val="nil"/>
                  </w:tcBorders>
                  <w:shd w:val="clear" w:color="auto" w:fill="auto"/>
                  <w:vAlign w:val="center"/>
                </w:tcPr>
                <w:p w14:paraId="746E6A7B">
                  <w:pPr>
                    <w:widowControl/>
                    <w:jc w:val="center"/>
                    <w:textAlignment w:val="center"/>
                    <w:rPr>
                      <w:color w:val="auto"/>
                      <w:sz w:val="18"/>
                      <w:szCs w:val="18"/>
                    </w:rPr>
                  </w:pPr>
                </w:p>
              </w:tc>
              <w:tc>
                <w:tcPr>
                  <w:tcW w:w="232" w:type="pct"/>
                  <w:tcBorders>
                    <w:tl2br w:val="nil"/>
                    <w:tr2bl w:val="nil"/>
                  </w:tcBorders>
                  <w:shd w:val="clear" w:color="auto" w:fill="auto"/>
                  <w:vAlign w:val="center"/>
                </w:tcPr>
                <w:p w14:paraId="23E78E05">
                  <w:pPr>
                    <w:jc w:val="center"/>
                    <w:rPr>
                      <w:rFonts w:hint="default" w:eastAsia="宋体"/>
                      <w:color w:val="auto"/>
                      <w:sz w:val="18"/>
                      <w:szCs w:val="18"/>
                      <w:lang w:val="en-US" w:eastAsia="zh-CN"/>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620B250C">
                  <w:pPr>
                    <w:jc w:val="center"/>
                    <w:rPr>
                      <w:rFonts w:hint="eastAsia" w:eastAsia="宋体"/>
                      <w:color w:val="auto"/>
                      <w:sz w:val="18"/>
                      <w:szCs w:val="18"/>
                      <w:lang w:val="en-US" w:eastAsia="zh-CN"/>
                    </w:rPr>
                  </w:pPr>
                  <w:r>
                    <w:rPr>
                      <w:rFonts w:hint="eastAsia"/>
                      <w:color w:val="auto"/>
                      <w:sz w:val="18"/>
                      <w:szCs w:val="18"/>
                      <w:lang w:val="en-US" w:eastAsia="zh-CN"/>
                    </w:rPr>
                    <w:t>/</w:t>
                  </w:r>
                </w:p>
              </w:tc>
            </w:tr>
            <w:tr w14:paraId="407F5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46EADA8A">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056A59B1">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59D7E5FB">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二氧化硫</w:t>
                  </w:r>
                </w:p>
              </w:tc>
              <w:tc>
                <w:tcPr>
                  <w:tcW w:w="306" w:type="pct"/>
                  <w:tcBorders>
                    <w:tl2br w:val="nil"/>
                    <w:tr2bl w:val="nil"/>
                  </w:tcBorders>
                  <w:shd w:val="clear" w:color="auto" w:fill="auto"/>
                  <w:vAlign w:val="center"/>
                </w:tcPr>
                <w:p w14:paraId="38C619B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5.4 </w:t>
                  </w:r>
                </w:p>
              </w:tc>
              <w:tc>
                <w:tcPr>
                  <w:tcW w:w="272" w:type="pct"/>
                  <w:tcBorders>
                    <w:tl2br w:val="nil"/>
                    <w:tr2bl w:val="nil"/>
                  </w:tcBorders>
                  <w:shd w:val="clear" w:color="auto" w:fill="auto"/>
                  <w:vAlign w:val="center"/>
                </w:tcPr>
                <w:p w14:paraId="58F651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0.027</w:t>
                  </w:r>
                </w:p>
              </w:tc>
              <w:tc>
                <w:tcPr>
                  <w:tcW w:w="272" w:type="pct"/>
                  <w:tcBorders>
                    <w:tl2br w:val="nil"/>
                    <w:tr2bl w:val="nil"/>
                  </w:tcBorders>
                  <w:shd w:val="clear" w:color="auto" w:fill="auto"/>
                  <w:vAlign w:val="center"/>
                </w:tcPr>
                <w:p w14:paraId="768BF3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0.08</w:t>
                  </w:r>
                </w:p>
              </w:tc>
              <w:tc>
                <w:tcPr>
                  <w:tcW w:w="263" w:type="pct"/>
                  <w:vMerge w:val="continue"/>
                  <w:tcBorders>
                    <w:tl2br w:val="nil"/>
                    <w:tr2bl w:val="nil"/>
                  </w:tcBorders>
                  <w:shd w:val="clear" w:color="auto" w:fill="auto"/>
                  <w:vAlign w:val="center"/>
                </w:tcPr>
                <w:p w14:paraId="0D7DFFAB">
                  <w:pPr>
                    <w:widowControl/>
                    <w:jc w:val="center"/>
                    <w:textAlignment w:val="center"/>
                    <w:rPr>
                      <w:color w:val="auto"/>
                      <w:sz w:val="18"/>
                      <w:szCs w:val="18"/>
                    </w:rPr>
                  </w:pPr>
                </w:p>
              </w:tc>
              <w:tc>
                <w:tcPr>
                  <w:tcW w:w="177" w:type="pct"/>
                  <w:tcBorders>
                    <w:tl2br w:val="nil"/>
                    <w:tr2bl w:val="nil"/>
                  </w:tcBorders>
                  <w:shd w:val="clear" w:color="auto" w:fill="auto"/>
                  <w:vAlign w:val="center"/>
                </w:tcPr>
                <w:p w14:paraId="69B23FCD">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100</w:t>
                  </w:r>
                </w:p>
              </w:tc>
              <w:tc>
                <w:tcPr>
                  <w:tcW w:w="203" w:type="pct"/>
                  <w:tcBorders>
                    <w:tl2br w:val="nil"/>
                    <w:tr2bl w:val="nil"/>
                  </w:tcBorders>
                  <w:shd w:val="clear" w:color="auto" w:fill="auto"/>
                  <w:vAlign w:val="center"/>
                </w:tcPr>
                <w:p w14:paraId="38E5FA89">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0</w:t>
                  </w:r>
                </w:p>
              </w:tc>
              <w:tc>
                <w:tcPr>
                  <w:tcW w:w="224" w:type="pct"/>
                  <w:vMerge w:val="continue"/>
                  <w:tcBorders>
                    <w:tl2br w:val="nil"/>
                    <w:tr2bl w:val="nil"/>
                  </w:tcBorders>
                  <w:shd w:val="clear" w:color="auto" w:fill="auto"/>
                  <w:vAlign w:val="center"/>
                </w:tcPr>
                <w:p w14:paraId="481C8E21">
                  <w:pPr>
                    <w:widowControl/>
                    <w:jc w:val="center"/>
                    <w:textAlignment w:val="center"/>
                    <w:rPr>
                      <w:color w:val="auto"/>
                      <w:sz w:val="18"/>
                      <w:szCs w:val="18"/>
                    </w:rPr>
                  </w:pPr>
                </w:p>
              </w:tc>
              <w:tc>
                <w:tcPr>
                  <w:tcW w:w="300" w:type="pct"/>
                  <w:vMerge w:val="continue"/>
                  <w:tcBorders>
                    <w:tl2br w:val="nil"/>
                    <w:tr2bl w:val="nil"/>
                  </w:tcBorders>
                  <w:shd w:val="clear" w:color="auto" w:fill="auto"/>
                  <w:vAlign w:val="center"/>
                </w:tcPr>
                <w:p w14:paraId="4F77751A">
                  <w:pPr>
                    <w:widowControl/>
                    <w:jc w:val="center"/>
                    <w:textAlignment w:val="center"/>
                    <w:rPr>
                      <w:rFonts w:hint="default" w:ascii="宋体" w:hAnsi="宋体" w:eastAsia="宋体" w:cs="宋体"/>
                      <w:color w:val="auto"/>
                      <w:sz w:val="18"/>
                      <w:szCs w:val="18"/>
                      <w:lang w:val="en-US" w:eastAsia="zh-CN"/>
                    </w:rPr>
                  </w:pPr>
                </w:p>
              </w:tc>
              <w:tc>
                <w:tcPr>
                  <w:tcW w:w="267" w:type="pct"/>
                  <w:tcBorders>
                    <w:tl2br w:val="nil"/>
                    <w:tr2bl w:val="nil"/>
                  </w:tcBorders>
                  <w:shd w:val="clear" w:color="auto" w:fill="auto"/>
                  <w:vAlign w:val="center"/>
                </w:tcPr>
                <w:p w14:paraId="19C2AE1C">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5.4 </w:t>
                  </w:r>
                </w:p>
              </w:tc>
              <w:tc>
                <w:tcPr>
                  <w:tcW w:w="261" w:type="pct"/>
                  <w:tcBorders>
                    <w:tl2br w:val="nil"/>
                    <w:tr2bl w:val="nil"/>
                  </w:tcBorders>
                  <w:shd w:val="clear" w:color="auto" w:fill="auto"/>
                  <w:vAlign w:val="center"/>
                </w:tcPr>
                <w:p w14:paraId="5601C78A">
                  <w:pPr>
                    <w:widowControl/>
                    <w:jc w:val="center"/>
                    <w:textAlignment w:val="center"/>
                    <w:rPr>
                      <w:rFonts w:hint="default"/>
                      <w:color w:val="auto"/>
                      <w:sz w:val="18"/>
                      <w:szCs w:val="18"/>
                      <w:lang w:val="en-US" w:eastAsia="zh-CN"/>
                    </w:rPr>
                  </w:pPr>
                  <w:r>
                    <w:rPr>
                      <w:rFonts w:hint="eastAsia"/>
                      <w:color w:val="auto"/>
                      <w:sz w:val="18"/>
                      <w:szCs w:val="18"/>
                      <w:lang w:val="en-US" w:eastAsia="zh-CN"/>
                    </w:rPr>
                    <w:t>0.027</w:t>
                  </w:r>
                </w:p>
              </w:tc>
              <w:tc>
                <w:tcPr>
                  <w:tcW w:w="272" w:type="pct"/>
                  <w:tcBorders>
                    <w:tl2br w:val="nil"/>
                    <w:tr2bl w:val="nil"/>
                  </w:tcBorders>
                  <w:shd w:val="clear" w:color="auto" w:fill="auto"/>
                  <w:vAlign w:val="center"/>
                </w:tcPr>
                <w:p w14:paraId="4CD83C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0.08</w:t>
                  </w:r>
                </w:p>
              </w:tc>
              <w:tc>
                <w:tcPr>
                  <w:tcW w:w="285" w:type="pct"/>
                  <w:vMerge w:val="continue"/>
                  <w:tcBorders>
                    <w:tl2br w:val="nil"/>
                    <w:tr2bl w:val="nil"/>
                  </w:tcBorders>
                  <w:shd w:val="clear" w:color="auto" w:fill="auto"/>
                  <w:vAlign w:val="center"/>
                </w:tcPr>
                <w:p w14:paraId="6B19CF9C">
                  <w:pPr>
                    <w:jc w:val="center"/>
                    <w:rPr>
                      <w:rFonts w:hint="eastAsia" w:ascii="宋体" w:hAnsi="宋体" w:eastAsia="宋体" w:cs="宋体"/>
                      <w:color w:val="auto"/>
                      <w:sz w:val="18"/>
                      <w:szCs w:val="18"/>
                      <w:lang w:val="en-US" w:eastAsia="zh-CN"/>
                    </w:rPr>
                  </w:pPr>
                </w:p>
              </w:tc>
              <w:tc>
                <w:tcPr>
                  <w:tcW w:w="167" w:type="pct"/>
                  <w:vMerge w:val="continue"/>
                  <w:tcBorders>
                    <w:tl2br w:val="nil"/>
                    <w:tr2bl w:val="nil"/>
                  </w:tcBorders>
                  <w:shd w:val="clear" w:color="auto" w:fill="auto"/>
                  <w:vAlign w:val="center"/>
                </w:tcPr>
                <w:p w14:paraId="299EF9DD">
                  <w:pPr>
                    <w:widowControl/>
                    <w:jc w:val="center"/>
                    <w:textAlignment w:val="center"/>
                    <w:rPr>
                      <w:color w:val="auto"/>
                      <w:sz w:val="18"/>
                      <w:szCs w:val="18"/>
                    </w:rPr>
                  </w:pPr>
                </w:p>
              </w:tc>
              <w:tc>
                <w:tcPr>
                  <w:tcW w:w="168" w:type="pct"/>
                  <w:vMerge w:val="continue"/>
                  <w:tcBorders>
                    <w:tl2br w:val="nil"/>
                    <w:tr2bl w:val="nil"/>
                  </w:tcBorders>
                  <w:shd w:val="clear" w:color="auto" w:fill="auto"/>
                  <w:vAlign w:val="center"/>
                </w:tcPr>
                <w:p w14:paraId="7220F4DB">
                  <w:pPr>
                    <w:widowControl/>
                    <w:jc w:val="center"/>
                    <w:textAlignment w:val="center"/>
                    <w:rPr>
                      <w:color w:val="auto"/>
                      <w:sz w:val="18"/>
                      <w:szCs w:val="18"/>
                    </w:rPr>
                  </w:pPr>
                </w:p>
              </w:tc>
              <w:tc>
                <w:tcPr>
                  <w:tcW w:w="173" w:type="pct"/>
                  <w:vMerge w:val="continue"/>
                  <w:tcBorders>
                    <w:tl2br w:val="nil"/>
                    <w:tr2bl w:val="nil"/>
                  </w:tcBorders>
                  <w:shd w:val="clear" w:color="auto" w:fill="auto"/>
                  <w:vAlign w:val="center"/>
                </w:tcPr>
                <w:p w14:paraId="13C16CF8">
                  <w:pPr>
                    <w:widowControl/>
                    <w:jc w:val="center"/>
                    <w:textAlignment w:val="center"/>
                    <w:rPr>
                      <w:color w:val="auto"/>
                      <w:sz w:val="18"/>
                      <w:szCs w:val="18"/>
                    </w:rPr>
                  </w:pPr>
                </w:p>
              </w:tc>
              <w:tc>
                <w:tcPr>
                  <w:tcW w:w="227" w:type="pct"/>
                  <w:vMerge w:val="continue"/>
                  <w:tcBorders>
                    <w:tl2br w:val="nil"/>
                    <w:tr2bl w:val="nil"/>
                  </w:tcBorders>
                  <w:shd w:val="clear" w:color="auto" w:fill="auto"/>
                  <w:vAlign w:val="center"/>
                </w:tcPr>
                <w:p w14:paraId="03203571">
                  <w:pPr>
                    <w:widowControl/>
                    <w:jc w:val="center"/>
                    <w:textAlignment w:val="center"/>
                    <w:rPr>
                      <w:color w:val="auto"/>
                      <w:sz w:val="18"/>
                      <w:szCs w:val="18"/>
                    </w:rPr>
                  </w:pPr>
                </w:p>
              </w:tc>
              <w:tc>
                <w:tcPr>
                  <w:tcW w:w="232" w:type="pct"/>
                  <w:tcBorders>
                    <w:tl2br w:val="nil"/>
                    <w:tr2bl w:val="nil"/>
                  </w:tcBorders>
                  <w:shd w:val="clear" w:color="auto" w:fill="auto"/>
                  <w:vAlign w:val="center"/>
                </w:tcPr>
                <w:p w14:paraId="0F61A67C">
                  <w:pPr>
                    <w:jc w:val="center"/>
                    <w:rPr>
                      <w:rFonts w:hint="default" w:eastAsia="宋体"/>
                      <w:color w:val="auto"/>
                      <w:sz w:val="18"/>
                      <w:szCs w:val="18"/>
                      <w:lang w:val="en-US" w:eastAsia="zh-CN"/>
                    </w:rPr>
                  </w:pPr>
                  <w:r>
                    <w:rPr>
                      <w:rFonts w:hint="eastAsia"/>
                      <w:color w:val="auto"/>
                      <w:sz w:val="18"/>
                      <w:szCs w:val="18"/>
                      <w:lang w:val="en-US" w:eastAsia="zh-CN"/>
                    </w:rPr>
                    <w:t>200</w:t>
                  </w:r>
                </w:p>
              </w:tc>
              <w:tc>
                <w:tcPr>
                  <w:tcW w:w="205" w:type="pct"/>
                  <w:tcBorders>
                    <w:tl2br w:val="nil"/>
                    <w:tr2bl w:val="nil"/>
                  </w:tcBorders>
                  <w:shd w:val="clear" w:color="auto" w:fill="auto"/>
                  <w:vAlign w:val="center"/>
                </w:tcPr>
                <w:p w14:paraId="281F5A63">
                  <w:pPr>
                    <w:jc w:val="center"/>
                    <w:rPr>
                      <w:rFonts w:hint="eastAsia" w:eastAsia="宋体"/>
                      <w:color w:val="auto"/>
                      <w:sz w:val="18"/>
                      <w:szCs w:val="18"/>
                      <w:lang w:val="en-US" w:eastAsia="zh-CN"/>
                    </w:rPr>
                  </w:pPr>
                  <w:r>
                    <w:rPr>
                      <w:rFonts w:hint="eastAsia"/>
                      <w:color w:val="auto"/>
                      <w:sz w:val="18"/>
                      <w:szCs w:val="18"/>
                      <w:lang w:val="en-US" w:eastAsia="zh-CN"/>
                    </w:rPr>
                    <w:t>/</w:t>
                  </w:r>
                </w:p>
              </w:tc>
            </w:tr>
            <w:tr w14:paraId="56610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490E833A">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0F8C8842">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4B02EDA8">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氮氧化物</w:t>
                  </w:r>
                </w:p>
              </w:tc>
              <w:tc>
                <w:tcPr>
                  <w:tcW w:w="306" w:type="pct"/>
                  <w:tcBorders>
                    <w:tl2br w:val="nil"/>
                    <w:tr2bl w:val="nil"/>
                  </w:tcBorders>
                  <w:shd w:val="clear" w:color="auto" w:fill="auto"/>
                  <w:vAlign w:val="center"/>
                </w:tcPr>
                <w:p w14:paraId="225C146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49.8 </w:t>
                  </w:r>
                </w:p>
              </w:tc>
              <w:tc>
                <w:tcPr>
                  <w:tcW w:w="272" w:type="pct"/>
                  <w:tcBorders>
                    <w:tl2br w:val="nil"/>
                    <w:tr2bl w:val="nil"/>
                  </w:tcBorders>
                  <w:shd w:val="clear" w:color="auto" w:fill="auto"/>
                  <w:vAlign w:val="center"/>
                </w:tcPr>
                <w:p w14:paraId="4A6524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0.249</w:t>
                  </w:r>
                </w:p>
              </w:tc>
              <w:tc>
                <w:tcPr>
                  <w:tcW w:w="272" w:type="pct"/>
                  <w:tcBorders>
                    <w:tl2br w:val="nil"/>
                    <w:tr2bl w:val="nil"/>
                  </w:tcBorders>
                  <w:shd w:val="clear" w:color="auto" w:fill="auto"/>
                  <w:vAlign w:val="center"/>
                </w:tcPr>
                <w:p w14:paraId="189431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0.748</w:t>
                  </w:r>
                </w:p>
              </w:tc>
              <w:tc>
                <w:tcPr>
                  <w:tcW w:w="263" w:type="pct"/>
                  <w:vMerge w:val="continue"/>
                  <w:tcBorders>
                    <w:tl2br w:val="nil"/>
                    <w:tr2bl w:val="nil"/>
                  </w:tcBorders>
                  <w:shd w:val="clear" w:color="auto" w:fill="auto"/>
                  <w:vAlign w:val="center"/>
                </w:tcPr>
                <w:p w14:paraId="3186A86F">
                  <w:pPr>
                    <w:widowControl/>
                    <w:jc w:val="center"/>
                    <w:textAlignment w:val="center"/>
                    <w:rPr>
                      <w:color w:val="auto"/>
                      <w:sz w:val="18"/>
                      <w:szCs w:val="18"/>
                    </w:rPr>
                  </w:pPr>
                </w:p>
              </w:tc>
              <w:tc>
                <w:tcPr>
                  <w:tcW w:w="177" w:type="pct"/>
                  <w:tcBorders>
                    <w:tl2br w:val="nil"/>
                    <w:tr2bl w:val="nil"/>
                  </w:tcBorders>
                  <w:shd w:val="clear" w:color="auto" w:fill="auto"/>
                  <w:vAlign w:val="center"/>
                </w:tcPr>
                <w:p w14:paraId="3FF324EA">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100</w:t>
                  </w:r>
                </w:p>
              </w:tc>
              <w:tc>
                <w:tcPr>
                  <w:tcW w:w="203" w:type="pct"/>
                  <w:tcBorders>
                    <w:tl2br w:val="nil"/>
                    <w:tr2bl w:val="nil"/>
                  </w:tcBorders>
                  <w:shd w:val="clear" w:color="auto" w:fill="auto"/>
                  <w:vAlign w:val="center"/>
                </w:tcPr>
                <w:p w14:paraId="3A354160">
                  <w:pPr>
                    <w:widowControl/>
                    <w:jc w:val="center"/>
                    <w:textAlignment w:val="center"/>
                    <w:rPr>
                      <w:rFonts w:hint="eastAsia" w:eastAsia="宋体"/>
                      <w:color w:val="auto"/>
                      <w:sz w:val="18"/>
                      <w:szCs w:val="18"/>
                      <w:lang w:val="en-US" w:eastAsia="zh-CN"/>
                    </w:rPr>
                  </w:pPr>
                  <w:r>
                    <w:rPr>
                      <w:rFonts w:hint="eastAsia"/>
                      <w:color w:val="auto"/>
                      <w:sz w:val="18"/>
                      <w:szCs w:val="18"/>
                      <w:lang w:val="en-US" w:eastAsia="zh-CN"/>
                    </w:rPr>
                    <w:t>0</w:t>
                  </w:r>
                </w:p>
              </w:tc>
              <w:tc>
                <w:tcPr>
                  <w:tcW w:w="224" w:type="pct"/>
                  <w:vMerge w:val="continue"/>
                  <w:tcBorders>
                    <w:tl2br w:val="nil"/>
                    <w:tr2bl w:val="nil"/>
                  </w:tcBorders>
                  <w:shd w:val="clear" w:color="auto" w:fill="auto"/>
                  <w:vAlign w:val="center"/>
                </w:tcPr>
                <w:p w14:paraId="4C588D7B">
                  <w:pPr>
                    <w:widowControl/>
                    <w:jc w:val="center"/>
                    <w:textAlignment w:val="center"/>
                    <w:rPr>
                      <w:color w:val="auto"/>
                      <w:sz w:val="18"/>
                      <w:szCs w:val="18"/>
                    </w:rPr>
                  </w:pPr>
                </w:p>
              </w:tc>
              <w:tc>
                <w:tcPr>
                  <w:tcW w:w="300" w:type="pct"/>
                  <w:vMerge w:val="continue"/>
                  <w:tcBorders>
                    <w:tl2br w:val="nil"/>
                    <w:tr2bl w:val="nil"/>
                  </w:tcBorders>
                  <w:shd w:val="clear" w:color="auto" w:fill="auto"/>
                  <w:vAlign w:val="center"/>
                </w:tcPr>
                <w:p w14:paraId="3A399918">
                  <w:pPr>
                    <w:widowControl/>
                    <w:jc w:val="center"/>
                    <w:textAlignment w:val="center"/>
                    <w:rPr>
                      <w:rFonts w:hint="default" w:ascii="宋体" w:hAnsi="宋体" w:eastAsia="宋体" w:cs="宋体"/>
                      <w:color w:val="auto"/>
                      <w:sz w:val="18"/>
                      <w:szCs w:val="18"/>
                      <w:lang w:val="en-US" w:eastAsia="zh-CN"/>
                    </w:rPr>
                  </w:pPr>
                </w:p>
              </w:tc>
              <w:tc>
                <w:tcPr>
                  <w:tcW w:w="267" w:type="pct"/>
                  <w:tcBorders>
                    <w:tl2br w:val="nil"/>
                    <w:tr2bl w:val="nil"/>
                  </w:tcBorders>
                  <w:shd w:val="clear" w:color="auto" w:fill="auto"/>
                  <w:vAlign w:val="center"/>
                </w:tcPr>
                <w:p w14:paraId="29762C12">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49.8 </w:t>
                  </w:r>
                </w:p>
              </w:tc>
              <w:tc>
                <w:tcPr>
                  <w:tcW w:w="261" w:type="pct"/>
                  <w:tcBorders>
                    <w:tl2br w:val="nil"/>
                    <w:tr2bl w:val="nil"/>
                  </w:tcBorders>
                  <w:shd w:val="clear" w:color="auto" w:fill="auto"/>
                  <w:vAlign w:val="center"/>
                </w:tcPr>
                <w:p w14:paraId="51E6C97A">
                  <w:pPr>
                    <w:widowControl/>
                    <w:jc w:val="center"/>
                    <w:textAlignment w:val="center"/>
                    <w:rPr>
                      <w:rFonts w:hint="default"/>
                      <w:color w:val="auto"/>
                      <w:sz w:val="18"/>
                      <w:szCs w:val="18"/>
                      <w:lang w:val="en-US" w:eastAsia="zh-CN"/>
                    </w:rPr>
                  </w:pPr>
                  <w:r>
                    <w:rPr>
                      <w:rFonts w:hint="eastAsia"/>
                      <w:color w:val="auto"/>
                      <w:sz w:val="18"/>
                      <w:szCs w:val="18"/>
                      <w:lang w:val="en-US" w:eastAsia="zh-CN"/>
                    </w:rPr>
                    <w:t>0.249</w:t>
                  </w:r>
                </w:p>
              </w:tc>
              <w:tc>
                <w:tcPr>
                  <w:tcW w:w="272" w:type="pct"/>
                  <w:tcBorders>
                    <w:tl2br w:val="nil"/>
                    <w:tr2bl w:val="nil"/>
                  </w:tcBorders>
                  <w:shd w:val="clear" w:color="auto" w:fill="auto"/>
                  <w:vAlign w:val="center"/>
                </w:tcPr>
                <w:p w14:paraId="2C5E04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0.748</w:t>
                  </w:r>
                </w:p>
              </w:tc>
              <w:tc>
                <w:tcPr>
                  <w:tcW w:w="285" w:type="pct"/>
                  <w:vMerge w:val="continue"/>
                  <w:tcBorders>
                    <w:tl2br w:val="nil"/>
                    <w:tr2bl w:val="nil"/>
                  </w:tcBorders>
                  <w:shd w:val="clear" w:color="auto" w:fill="auto"/>
                  <w:vAlign w:val="center"/>
                </w:tcPr>
                <w:p w14:paraId="34E3E045">
                  <w:pPr>
                    <w:jc w:val="center"/>
                    <w:rPr>
                      <w:rFonts w:hint="eastAsia" w:ascii="宋体" w:hAnsi="宋体" w:eastAsia="宋体" w:cs="宋体"/>
                      <w:color w:val="auto"/>
                      <w:sz w:val="18"/>
                      <w:szCs w:val="18"/>
                      <w:lang w:val="en-US" w:eastAsia="zh-CN"/>
                    </w:rPr>
                  </w:pPr>
                </w:p>
              </w:tc>
              <w:tc>
                <w:tcPr>
                  <w:tcW w:w="167" w:type="pct"/>
                  <w:vMerge w:val="continue"/>
                  <w:tcBorders>
                    <w:tl2br w:val="nil"/>
                    <w:tr2bl w:val="nil"/>
                  </w:tcBorders>
                  <w:shd w:val="clear" w:color="auto" w:fill="auto"/>
                  <w:vAlign w:val="center"/>
                </w:tcPr>
                <w:p w14:paraId="2A7012F9">
                  <w:pPr>
                    <w:widowControl/>
                    <w:jc w:val="center"/>
                    <w:textAlignment w:val="center"/>
                    <w:rPr>
                      <w:color w:val="auto"/>
                      <w:sz w:val="18"/>
                      <w:szCs w:val="18"/>
                    </w:rPr>
                  </w:pPr>
                </w:p>
              </w:tc>
              <w:tc>
                <w:tcPr>
                  <w:tcW w:w="168" w:type="pct"/>
                  <w:vMerge w:val="continue"/>
                  <w:tcBorders>
                    <w:tl2br w:val="nil"/>
                    <w:tr2bl w:val="nil"/>
                  </w:tcBorders>
                  <w:shd w:val="clear" w:color="auto" w:fill="auto"/>
                  <w:vAlign w:val="center"/>
                </w:tcPr>
                <w:p w14:paraId="15B09484">
                  <w:pPr>
                    <w:widowControl/>
                    <w:jc w:val="center"/>
                    <w:textAlignment w:val="center"/>
                    <w:rPr>
                      <w:color w:val="auto"/>
                      <w:sz w:val="18"/>
                      <w:szCs w:val="18"/>
                    </w:rPr>
                  </w:pPr>
                </w:p>
              </w:tc>
              <w:tc>
                <w:tcPr>
                  <w:tcW w:w="173" w:type="pct"/>
                  <w:vMerge w:val="continue"/>
                  <w:tcBorders>
                    <w:tl2br w:val="nil"/>
                    <w:tr2bl w:val="nil"/>
                  </w:tcBorders>
                  <w:shd w:val="clear" w:color="auto" w:fill="auto"/>
                  <w:vAlign w:val="center"/>
                </w:tcPr>
                <w:p w14:paraId="36993AAA">
                  <w:pPr>
                    <w:widowControl/>
                    <w:jc w:val="center"/>
                    <w:textAlignment w:val="center"/>
                    <w:rPr>
                      <w:color w:val="auto"/>
                      <w:sz w:val="18"/>
                      <w:szCs w:val="18"/>
                    </w:rPr>
                  </w:pPr>
                </w:p>
              </w:tc>
              <w:tc>
                <w:tcPr>
                  <w:tcW w:w="227" w:type="pct"/>
                  <w:vMerge w:val="continue"/>
                  <w:tcBorders>
                    <w:tl2br w:val="nil"/>
                    <w:tr2bl w:val="nil"/>
                  </w:tcBorders>
                  <w:shd w:val="clear" w:color="auto" w:fill="auto"/>
                  <w:vAlign w:val="center"/>
                </w:tcPr>
                <w:p w14:paraId="740040BD">
                  <w:pPr>
                    <w:widowControl/>
                    <w:jc w:val="center"/>
                    <w:textAlignment w:val="center"/>
                    <w:rPr>
                      <w:color w:val="auto"/>
                      <w:sz w:val="18"/>
                      <w:szCs w:val="18"/>
                    </w:rPr>
                  </w:pPr>
                </w:p>
              </w:tc>
              <w:tc>
                <w:tcPr>
                  <w:tcW w:w="232" w:type="pct"/>
                  <w:tcBorders>
                    <w:tl2br w:val="nil"/>
                    <w:tr2bl w:val="nil"/>
                  </w:tcBorders>
                  <w:shd w:val="clear" w:color="auto" w:fill="auto"/>
                  <w:vAlign w:val="center"/>
                </w:tcPr>
                <w:p w14:paraId="6174BCC7">
                  <w:pPr>
                    <w:jc w:val="center"/>
                    <w:rPr>
                      <w:rFonts w:hint="default" w:eastAsia="宋体"/>
                      <w:color w:val="auto"/>
                      <w:sz w:val="18"/>
                      <w:szCs w:val="18"/>
                      <w:lang w:val="en-US" w:eastAsia="zh-CN"/>
                    </w:rPr>
                  </w:pPr>
                  <w:r>
                    <w:rPr>
                      <w:rFonts w:hint="eastAsia"/>
                      <w:color w:val="auto"/>
                      <w:sz w:val="18"/>
                      <w:szCs w:val="18"/>
                      <w:lang w:val="en-US" w:eastAsia="zh-CN"/>
                    </w:rPr>
                    <w:t>200</w:t>
                  </w:r>
                </w:p>
              </w:tc>
              <w:tc>
                <w:tcPr>
                  <w:tcW w:w="205" w:type="pct"/>
                  <w:tcBorders>
                    <w:tl2br w:val="nil"/>
                    <w:tr2bl w:val="nil"/>
                  </w:tcBorders>
                  <w:shd w:val="clear" w:color="auto" w:fill="auto"/>
                  <w:vAlign w:val="center"/>
                </w:tcPr>
                <w:p w14:paraId="712BC8AA">
                  <w:pPr>
                    <w:jc w:val="center"/>
                    <w:rPr>
                      <w:rFonts w:hint="eastAsia" w:eastAsia="宋体"/>
                      <w:color w:val="auto"/>
                      <w:sz w:val="18"/>
                      <w:szCs w:val="18"/>
                      <w:lang w:val="en-US" w:eastAsia="zh-CN"/>
                    </w:rPr>
                  </w:pPr>
                  <w:r>
                    <w:rPr>
                      <w:rFonts w:hint="eastAsia"/>
                      <w:color w:val="auto"/>
                      <w:sz w:val="18"/>
                      <w:szCs w:val="18"/>
                      <w:lang w:val="en-US" w:eastAsia="zh-CN"/>
                    </w:rPr>
                    <w:t>/</w:t>
                  </w:r>
                </w:p>
              </w:tc>
            </w:tr>
            <w:tr w14:paraId="657720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329" w:type="pct"/>
                  <w:tcBorders>
                    <w:tl2br w:val="nil"/>
                    <w:tr2bl w:val="nil"/>
                  </w:tcBorders>
                  <w:shd w:val="clear" w:color="auto" w:fill="auto"/>
                  <w:vAlign w:val="center"/>
                </w:tcPr>
                <w:p w14:paraId="4D38F2F0">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落砂、砂再生</w:t>
                  </w:r>
                </w:p>
              </w:tc>
              <w:tc>
                <w:tcPr>
                  <w:tcW w:w="151" w:type="pct"/>
                  <w:tcBorders>
                    <w:tl2br w:val="nil"/>
                    <w:tr2bl w:val="nil"/>
                  </w:tcBorders>
                  <w:shd w:val="clear" w:color="auto" w:fill="auto"/>
                  <w:vAlign w:val="center"/>
                </w:tcPr>
                <w:p w14:paraId="4D7EA8A6">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55C7C3CD">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4DB985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1732.1 </w:t>
                  </w:r>
                </w:p>
              </w:tc>
              <w:tc>
                <w:tcPr>
                  <w:tcW w:w="272" w:type="pct"/>
                  <w:tcBorders>
                    <w:tl2br w:val="nil"/>
                    <w:tr2bl w:val="nil"/>
                  </w:tcBorders>
                  <w:shd w:val="clear" w:color="auto" w:fill="auto"/>
                  <w:vAlign w:val="center"/>
                </w:tcPr>
                <w:p w14:paraId="4A6D1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103.928</w:t>
                  </w:r>
                </w:p>
              </w:tc>
              <w:tc>
                <w:tcPr>
                  <w:tcW w:w="272" w:type="pct"/>
                  <w:tcBorders>
                    <w:tl2br w:val="nil"/>
                    <w:tr2bl w:val="nil"/>
                  </w:tcBorders>
                  <w:shd w:val="clear" w:color="auto" w:fill="auto"/>
                  <w:vAlign w:val="center"/>
                </w:tcPr>
                <w:p w14:paraId="0427CC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266.056</w:t>
                  </w:r>
                </w:p>
              </w:tc>
              <w:tc>
                <w:tcPr>
                  <w:tcW w:w="263" w:type="pct"/>
                  <w:tcBorders>
                    <w:tl2br w:val="nil"/>
                    <w:tr2bl w:val="nil"/>
                  </w:tcBorders>
                  <w:shd w:val="clear" w:color="auto" w:fill="auto"/>
                  <w:vAlign w:val="center"/>
                </w:tcPr>
                <w:p w14:paraId="6BC482C5">
                  <w:pPr>
                    <w:widowControl/>
                    <w:jc w:val="center"/>
                    <w:textAlignment w:val="center"/>
                    <w:rPr>
                      <w:rFonts w:hint="default"/>
                      <w:color w:val="auto"/>
                      <w:sz w:val="18"/>
                      <w:szCs w:val="18"/>
                      <w:lang w:val="en-US" w:eastAsia="zh-CN"/>
                    </w:rPr>
                  </w:pPr>
                  <w:r>
                    <w:rPr>
                      <w:rFonts w:hint="eastAsia"/>
                      <w:color w:val="auto"/>
                      <w:sz w:val="18"/>
                      <w:szCs w:val="18"/>
                      <w:lang w:val="en-US" w:eastAsia="zh-CN"/>
                    </w:rPr>
                    <w:t>60000</w:t>
                  </w:r>
                </w:p>
              </w:tc>
              <w:tc>
                <w:tcPr>
                  <w:tcW w:w="177" w:type="pct"/>
                  <w:tcBorders>
                    <w:tl2br w:val="nil"/>
                    <w:tr2bl w:val="nil"/>
                  </w:tcBorders>
                  <w:shd w:val="clear" w:color="auto" w:fill="auto"/>
                  <w:vAlign w:val="center"/>
                </w:tcPr>
                <w:p w14:paraId="47CAF774">
                  <w:pPr>
                    <w:widowControl/>
                    <w:jc w:val="center"/>
                    <w:textAlignment w:val="center"/>
                    <w:rPr>
                      <w:rFonts w:hint="default"/>
                      <w:color w:val="auto"/>
                      <w:sz w:val="18"/>
                      <w:szCs w:val="18"/>
                      <w:lang w:val="en-US" w:eastAsia="zh-CN"/>
                    </w:rPr>
                  </w:pPr>
                  <w:r>
                    <w:rPr>
                      <w:rFonts w:hint="eastAsia"/>
                      <w:color w:val="auto"/>
                      <w:sz w:val="18"/>
                      <w:szCs w:val="18"/>
                      <w:lang w:val="en-US" w:eastAsia="zh-CN"/>
                    </w:rPr>
                    <w:t>100</w:t>
                  </w:r>
                </w:p>
              </w:tc>
              <w:tc>
                <w:tcPr>
                  <w:tcW w:w="203" w:type="pct"/>
                  <w:tcBorders>
                    <w:tl2br w:val="nil"/>
                    <w:tr2bl w:val="nil"/>
                  </w:tcBorders>
                  <w:shd w:val="clear" w:color="auto" w:fill="auto"/>
                  <w:vAlign w:val="center"/>
                </w:tcPr>
                <w:p w14:paraId="697931C9">
                  <w:pPr>
                    <w:widowControl/>
                    <w:jc w:val="center"/>
                    <w:textAlignment w:val="center"/>
                    <w:rPr>
                      <w:rFonts w:hint="eastAsia"/>
                      <w:color w:val="auto"/>
                      <w:sz w:val="18"/>
                      <w:szCs w:val="18"/>
                      <w:lang w:val="en-US" w:eastAsia="zh-CN"/>
                    </w:rPr>
                  </w:pPr>
                  <w:r>
                    <w:rPr>
                      <w:rFonts w:hint="eastAsia"/>
                      <w:color w:val="auto"/>
                      <w:sz w:val="18"/>
                      <w:szCs w:val="18"/>
                      <w:lang w:val="en-US" w:eastAsia="zh-CN"/>
                    </w:rPr>
                    <w:t>99</w:t>
                  </w:r>
                </w:p>
              </w:tc>
              <w:tc>
                <w:tcPr>
                  <w:tcW w:w="224" w:type="pct"/>
                  <w:tcBorders>
                    <w:tl2br w:val="nil"/>
                    <w:tr2bl w:val="nil"/>
                  </w:tcBorders>
                  <w:shd w:val="clear" w:color="auto" w:fill="auto"/>
                  <w:vAlign w:val="center"/>
                </w:tcPr>
                <w:p w14:paraId="77448F8C">
                  <w:pPr>
                    <w:widowControl/>
                    <w:jc w:val="center"/>
                    <w:textAlignment w:val="center"/>
                    <w:rPr>
                      <w:rFonts w:hint="eastAsia"/>
                      <w:color w:val="auto"/>
                      <w:sz w:val="18"/>
                      <w:szCs w:val="18"/>
                      <w:lang w:val="en-US" w:eastAsia="zh-CN"/>
                    </w:rPr>
                  </w:pPr>
                  <w:r>
                    <w:rPr>
                      <w:rFonts w:hint="eastAsia"/>
                      <w:color w:val="auto"/>
                      <w:sz w:val="18"/>
                      <w:szCs w:val="18"/>
                      <w:lang w:val="en-US" w:eastAsia="zh-CN"/>
                    </w:rPr>
                    <w:t>是</w:t>
                  </w:r>
                </w:p>
              </w:tc>
              <w:tc>
                <w:tcPr>
                  <w:tcW w:w="300" w:type="pct"/>
                  <w:tcBorders>
                    <w:tl2br w:val="nil"/>
                    <w:tr2bl w:val="nil"/>
                  </w:tcBorders>
                  <w:shd w:val="clear" w:color="auto" w:fill="auto"/>
                  <w:vAlign w:val="center"/>
                </w:tcPr>
                <w:p w14:paraId="78E8027B">
                  <w:pPr>
                    <w:widowControl/>
                    <w:jc w:val="center"/>
                    <w:textAlignment w:val="center"/>
                    <w:rPr>
                      <w:rFonts w:hint="default"/>
                      <w:color w:val="auto"/>
                      <w:sz w:val="18"/>
                      <w:szCs w:val="18"/>
                      <w:lang w:val="en-US" w:eastAsia="zh-CN"/>
                    </w:rPr>
                  </w:pPr>
                  <w:r>
                    <w:rPr>
                      <w:rFonts w:hint="eastAsia"/>
                      <w:color w:val="auto"/>
                      <w:sz w:val="18"/>
                      <w:szCs w:val="18"/>
                      <w:lang w:val="en-US" w:eastAsia="zh-CN"/>
                    </w:rPr>
                    <w:t>袋式除尘器</w:t>
                  </w:r>
                </w:p>
              </w:tc>
              <w:tc>
                <w:tcPr>
                  <w:tcW w:w="267" w:type="pct"/>
                  <w:tcBorders>
                    <w:tl2br w:val="nil"/>
                    <w:tr2bl w:val="nil"/>
                  </w:tcBorders>
                  <w:shd w:val="clear" w:color="auto" w:fill="auto"/>
                  <w:vAlign w:val="center"/>
                </w:tcPr>
                <w:p w14:paraId="4A7B6D11">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17.3 </w:t>
                  </w:r>
                </w:p>
              </w:tc>
              <w:tc>
                <w:tcPr>
                  <w:tcW w:w="261" w:type="pct"/>
                  <w:tcBorders>
                    <w:tl2br w:val="nil"/>
                    <w:tr2bl w:val="nil"/>
                  </w:tcBorders>
                  <w:shd w:val="clear" w:color="auto" w:fill="auto"/>
                  <w:vAlign w:val="center"/>
                </w:tcPr>
                <w:p w14:paraId="107451CC">
                  <w:pPr>
                    <w:widowControl/>
                    <w:jc w:val="center"/>
                    <w:textAlignment w:val="center"/>
                    <w:rPr>
                      <w:rFonts w:hint="default"/>
                      <w:color w:val="auto"/>
                      <w:sz w:val="18"/>
                      <w:szCs w:val="18"/>
                      <w:lang w:val="en-US" w:eastAsia="zh-CN"/>
                    </w:rPr>
                  </w:pPr>
                  <w:r>
                    <w:rPr>
                      <w:rFonts w:hint="eastAsia"/>
                      <w:color w:val="auto"/>
                      <w:sz w:val="18"/>
                      <w:szCs w:val="18"/>
                      <w:lang w:val="en-US" w:eastAsia="zh-CN"/>
                    </w:rPr>
                    <w:t xml:space="preserve">1.039 </w:t>
                  </w:r>
                </w:p>
              </w:tc>
              <w:tc>
                <w:tcPr>
                  <w:tcW w:w="272" w:type="pct"/>
                  <w:tcBorders>
                    <w:tl2br w:val="nil"/>
                    <w:tr2bl w:val="nil"/>
                  </w:tcBorders>
                  <w:shd w:val="clear" w:color="auto" w:fill="auto"/>
                  <w:vAlign w:val="center"/>
                </w:tcPr>
                <w:p w14:paraId="24B839C7">
                  <w:pPr>
                    <w:widowControl/>
                    <w:jc w:val="center"/>
                    <w:textAlignment w:val="center"/>
                    <w:rPr>
                      <w:rFonts w:hint="default"/>
                      <w:color w:val="auto"/>
                      <w:sz w:val="18"/>
                      <w:szCs w:val="18"/>
                      <w:lang w:val="en-US" w:eastAsia="zh-CN"/>
                    </w:rPr>
                  </w:pPr>
                  <w:r>
                    <w:rPr>
                      <w:rFonts w:hint="eastAsia"/>
                      <w:color w:val="auto"/>
                      <w:sz w:val="18"/>
                      <w:szCs w:val="18"/>
                      <w:lang w:val="en-US" w:eastAsia="zh-CN"/>
                    </w:rPr>
                    <w:t xml:space="preserve">2.661 </w:t>
                  </w:r>
                </w:p>
              </w:tc>
              <w:tc>
                <w:tcPr>
                  <w:tcW w:w="285" w:type="pct"/>
                  <w:tcBorders>
                    <w:tl2br w:val="nil"/>
                    <w:tr2bl w:val="nil"/>
                  </w:tcBorders>
                  <w:shd w:val="clear" w:color="auto" w:fill="auto"/>
                  <w:vAlign w:val="center"/>
                </w:tcPr>
                <w:p w14:paraId="5461BB2B">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DA005</w:t>
                  </w:r>
                </w:p>
              </w:tc>
              <w:tc>
                <w:tcPr>
                  <w:tcW w:w="167" w:type="pct"/>
                  <w:tcBorders>
                    <w:tl2br w:val="nil"/>
                    <w:tr2bl w:val="nil"/>
                  </w:tcBorders>
                  <w:shd w:val="clear" w:color="auto" w:fill="auto"/>
                  <w:vAlign w:val="center"/>
                </w:tcPr>
                <w:p w14:paraId="064E4FD2">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w:t>
                  </w:r>
                </w:p>
              </w:tc>
              <w:tc>
                <w:tcPr>
                  <w:tcW w:w="168" w:type="pct"/>
                  <w:tcBorders>
                    <w:tl2br w:val="nil"/>
                    <w:tr2bl w:val="nil"/>
                  </w:tcBorders>
                  <w:shd w:val="clear" w:color="auto" w:fill="auto"/>
                  <w:vAlign w:val="center"/>
                </w:tcPr>
                <w:p w14:paraId="54513220">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w:t>
                  </w:r>
                </w:p>
              </w:tc>
              <w:tc>
                <w:tcPr>
                  <w:tcW w:w="173" w:type="pct"/>
                  <w:tcBorders>
                    <w:tl2br w:val="nil"/>
                    <w:tr2bl w:val="nil"/>
                  </w:tcBorders>
                  <w:shd w:val="clear" w:color="auto" w:fill="auto"/>
                  <w:vAlign w:val="center"/>
                </w:tcPr>
                <w:p w14:paraId="5349B713">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227" w:type="pct"/>
                  <w:tcBorders>
                    <w:tl2br w:val="nil"/>
                    <w:tr2bl w:val="nil"/>
                  </w:tcBorders>
                  <w:shd w:val="clear" w:color="auto" w:fill="auto"/>
                  <w:vAlign w:val="center"/>
                </w:tcPr>
                <w:p w14:paraId="6FBF3BC7">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232" w:type="pct"/>
                  <w:tcBorders>
                    <w:tl2br w:val="nil"/>
                    <w:tr2bl w:val="nil"/>
                  </w:tcBorders>
                  <w:shd w:val="clear" w:color="auto" w:fill="auto"/>
                  <w:vAlign w:val="center"/>
                </w:tcPr>
                <w:p w14:paraId="13BC869D">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0665EF2F">
                  <w:pPr>
                    <w:jc w:val="center"/>
                    <w:rPr>
                      <w:rFonts w:hint="default" w:eastAsia="宋体"/>
                      <w:color w:val="auto"/>
                      <w:sz w:val="18"/>
                      <w:szCs w:val="18"/>
                      <w:lang w:val="en-US" w:eastAsia="zh-CN"/>
                    </w:rPr>
                  </w:pPr>
                  <w:r>
                    <w:rPr>
                      <w:rFonts w:hint="eastAsia"/>
                      <w:color w:val="auto"/>
                      <w:sz w:val="18"/>
                      <w:szCs w:val="18"/>
                      <w:lang w:val="en-US" w:eastAsia="zh-CN"/>
                    </w:rPr>
                    <w:t>/</w:t>
                  </w:r>
                </w:p>
              </w:tc>
            </w:tr>
            <w:tr w14:paraId="692EDE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329" w:type="pct"/>
                  <w:tcBorders>
                    <w:tl2br w:val="nil"/>
                    <w:tr2bl w:val="nil"/>
                  </w:tcBorders>
                  <w:shd w:val="clear" w:color="auto" w:fill="auto"/>
                  <w:vAlign w:val="center"/>
                </w:tcPr>
                <w:p w14:paraId="3A080F87">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铸件抛丸清理、二次抛丸</w:t>
                  </w:r>
                </w:p>
              </w:tc>
              <w:tc>
                <w:tcPr>
                  <w:tcW w:w="151" w:type="pct"/>
                  <w:tcBorders>
                    <w:tl2br w:val="nil"/>
                    <w:tr2bl w:val="nil"/>
                  </w:tcBorders>
                  <w:shd w:val="clear" w:color="auto" w:fill="auto"/>
                  <w:vAlign w:val="center"/>
                </w:tcPr>
                <w:p w14:paraId="14F0311C">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6E0E4061">
                  <w:pPr>
                    <w:widowControl/>
                    <w:jc w:val="center"/>
                    <w:textAlignment w:val="center"/>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0C3C0B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260.7 </w:t>
                  </w:r>
                </w:p>
              </w:tc>
              <w:tc>
                <w:tcPr>
                  <w:tcW w:w="272" w:type="pct"/>
                  <w:tcBorders>
                    <w:tl2br w:val="nil"/>
                    <w:tr2bl w:val="nil"/>
                  </w:tcBorders>
                  <w:shd w:val="clear" w:color="auto" w:fill="auto"/>
                  <w:vAlign w:val="center"/>
                </w:tcPr>
                <w:p w14:paraId="21C6BB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9.126</w:t>
                  </w:r>
                </w:p>
              </w:tc>
              <w:tc>
                <w:tcPr>
                  <w:tcW w:w="272" w:type="pct"/>
                  <w:tcBorders>
                    <w:tl2br w:val="nil"/>
                    <w:tr2bl w:val="nil"/>
                  </w:tcBorders>
                  <w:shd w:val="clear" w:color="auto" w:fill="auto"/>
                  <w:vAlign w:val="center"/>
                </w:tcPr>
                <w:p w14:paraId="5B0D5F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65.7</w:t>
                  </w:r>
                </w:p>
              </w:tc>
              <w:tc>
                <w:tcPr>
                  <w:tcW w:w="263" w:type="pct"/>
                  <w:tcBorders>
                    <w:tl2br w:val="nil"/>
                    <w:tr2bl w:val="nil"/>
                  </w:tcBorders>
                  <w:shd w:val="clear" w:color="auto" w:fill="auto"/>
                  <w:vAlign w:val="center"/>
                </w:tcPr>
                <w:p w14:paraId="78ABAE71">
                  <w:pPr>
                    <w:widowControl/>
                    <w:jc w:val="center"/>
                    <w:textAlignment w:val="center"/>
                    <w:rPr>
                      <w:rFonts w:hint="default"/>
                      <w:color w:val="auto"/>
                      <w:sz w:val="18"/>
                      <w:szCs w:val="18"/>
                      <w:lang w:val="en-US" w:eastAsia="zh-CN"/>
                    </w:rPr>
                  </w:pPr>
                  <w:r>
                    <w:rPr>
                      <w:rFonts w:hint="eastAsia"/>
                      <w:color w:val="auto"/>
                      <w:sz w:val="18"/>
                      <w:szCs w:val="18"/>
                      <w:lang w:val="en-US" w:eastAsia="zh-CN"/>
                    </w:rPr>
                    <w:t>35000</w:t>
                  </w:r>
                </w:p>
              </w:tc>
              <w:tc>
                <w:tcPr>
                  <w:tcW w:w="177" w:type="pct"/>
                  <w:tcBorders>
                    <w:tl2br w:val="nil"/>
                    <w:tr2bl w:val="nil"/>
                  </w:tcBorders>
                  <w:shd w:val="clear" w:color="auto" w:fill="auto"/>
                  <w:vAlign w:val="center"/>
                </w:tcPr>
                <w:p w14:paraId="6A9EAC5D">
                  <w:pPr>
                    <w:widowControl/>
                    <w:jc w:val="center"/>
                    <w:textAlignment w:val="center"/>
                    <w:rPr>
                      <w:rFonts w:hint="default"/>
                      <w:color w:val="auto"/>
                      <w:sz w:val="18"/>
                      <w:szCs w:val="18"/>
                      <w:lang w:val="en-US" w:eastAsia="zh-CN"/>
                    </w:rPr>
                  </w:pPr>
                  <w:r>
                    <w:rPr>
                      <w:rFonts w:hint="eastAsia"/>
                      <w:color w:val="auto"/>
                      <w:sz w:val="18"/>
                      <w:szCs w:val="18"/>
                      <w:lang w:val="en-US" w:eastAsia="zh-CN"/>
                    </w:rPr>
                    <w:t>100</w:t>
                  </w:r>
                </w:p>
              </w:tc>
              <w:tc>
                <w:tcPr>
                  <w:tcW w:w="203" w:type="pct"/>
                  <w:tcBorders>
                    <w:tl2br w:val="nil"/>
                    <w:tr2bl w:val="nil"/>
                  </w:tcBorders>
                  <w:shd w:val="clear" w:color="auto" w:fill="auto"/>
                  <w:vAlign w:val="center"/>
                </w:tcPr>
                <w:p w14:paraId="0564D712">
                  <w:pPr>
                    <w:widowControl/>
                    <w:jc w:val="center"/>
                    <w:textAlignment w:val="center"/>
                    <w:rPr>
                      <w:rFonts w:hint="default"/>
                      <w:color w:val="auto"/>
                      <w:sz w:val="18"/>
                      <w:szCs w:val="18"/>
                      <w:lang w:val="en-US" w:eastAsia="zh-CN"/>
                    </w:rPr>
                  </w:pPr>
                  <w:r>
                    <w:rPr>
                      <w:rFonts w:hint="eastAsia"/>
                      <w:color w:val="auto"/>
                      <w:sz w:val="18"/>
                      <w:szCs w:val="18"/>
                      <w:lang w:val="en-US" w:eastAsia="zh-CN"/>
                    </w:rPr>
                    <w:t>95</w:t>
                  </w:r>
                </w:p>
              </w:tc>
              <w:tc>
                <w:tcPr>
                  <w:tcW w:w="224" w:type="pct"/>
                  <w:tcBorders>
                    <w:tl2br w:val="nil"/>
                    <w:tr2bl w:val="nil"/>
                  </w:tcBorders>
                  <w:shd w:val="clear" w:color="auto" w:fill="auto"/>
                  <w:vAlign w:val="center"/>
                </w:tcPr>
                <w:p w14:paraId="01AA26B9">
                  <w:pPr>
                    <w:widowControl/>
                    <w:jc w:val="center"/>
                    <w:textAlignment w:val="center"/>
                    <w:rPr>
                      <w:rFonts w:hint="eastAsia"/>
                      <w:color w:val="auto"/>
                      <w:sz w:val="18"/>
                      <w:szCs w:val="18"/>
                      <w:lang w:val="en-US" w:eastAsia="zh-CN"/>
                    </w:rPr>
                  </w:pPr>
                  <w:r>
                    <w:rPr>
                      <w:rFonts w:hint="eastAsia"/>
                      <w:color w:val="auto"/>
                      <w:sz w:val="18"/>
                      <w:szCs w:val="18"/>
                      <w:lang w:val="en-US" w:eastAsia="zh-CN"/>
                    </w:rPr>
                    <w:t>是</w:t>
                  </w:r>
                </w:p>
              </w:tc>
              <w:tc>
                <w:tcPr>
                  <w:tcW w:w="300" w:type="pct"/>
                  <w:tcBorders>
                    <w:tl2br w:val="nil"/>
                    <w:tr2bl w:val="nil"/>
                  </w:tcBorders>
                  <w:shd w:val="clear" w:color="auto" w:fill="auto"/>
                  <w:vAlign w:val="center"/>
                </w:tcPr>
                <w:p w14:paraId="45EE1FAE">
                  <w:pPr>
                    <w:widowControl/>
                    <w:jc w:val="center"/>
                    <w:textAlignment w:val="center"/>
                    <w:rPr>
                      <w:rFonts w:hint="default"/>
                      <w:color w:val="auto"/>
                      <w:sz w:val="18"/>
                      <w:szCs w:val="18"/>
                      <w:lang w:val="en-US" w:eastAsia="zh-CN"/>
                    </w:rPr>
                  </w:pPr>
                  <w:r>
                    <w:rPr>
                      <w:rFonts w:hint="eastAsia"/>
                      <w:color w:val="auto"/>
                      <w:sz w:val="18"/>
                      <w:szCs w:val="18"/>
                      <w:lang w:val="en-US" w:eastAsia="zh-CN"/>
                    </w:rPr>
                    <w:t>袋式除尘器</w:t>
                  </w:r>
                </w:p>
              </w:tc>
              <w:tc>
                <w:tcPr>
                  <w:tcW w:w="267" w:type="pct"/>
                  <w:tcBorders>
                    <w:tl2br w:val="nil"/>
                    <w:tr2bl w:val="nil"/>
                  </w:tcBorders>
                  <w:shd w:val="clear" w:color="auto" w:fill="auto"/>
                  <w:vAlign w:val="center"/>
                </w:tcPr>
                <w:p w14:paraId="49763E19">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13.0 </w:t>
                  </w:r>
                </w:p>
              </w:tc>
              <w:tc>
                <w:tcPr>
                  <w:tcW w:w="261" w:type="pct"/>
                  <w:tcBorders>
                    <w:tl2br w:val="nil"/>
                    <w:tr2bl w:val="nil"/>
                  </w:tcBorders>
                  <w:shd w:val="clear" w:color="auto" w:fill="auto"/>
                  <w:vAlign w:val="center"/>
                </w:tcPr>
                <w:p w14:paraId="3B63DED7">
                  <w:pPr>
                    <w:widowControl/>
                    <w:jc w:val="center"/>
                    <w:textAlignment w:val="center"/>
                    <w:rPr>
                      <w:rFonts w:hint="default"/>
                      <w:color w:val="auto"/>
                      <w:sz w:val="18"/>
                      <w:szCs w:val="18"/>
                      <w:lang w:val="en-US" w:eastAsia="zh-CN"/>
                    </w:rPr>
                  </w:pPr>
                  <w:r>
                    <w:rPr>
                      <w:rFonts w:hint="eastAsia"/>
                      <w:color w:val="auto"/>
                      <w:sz w:val="18"/>
                      <w:szCs w:val="18"/>
                      <w:lang w:val="en-US" w:eastAsia="zh-CN"/>
                    </w:rPr>
                    <w:t xml:space="preserve">0.456 </w:t>
                  </w:r>
                </w:p>
              </w:tc>
              <w:tc>
                <w:tcPr>
                  <w:tcW w:w="272" w:type="pct"/>
                  <w:tcBorders>
                    <w:tl2br w:val="nil"/>
                    <w:tr2bl w:val="nil"/>
                  </w:tcBorders>
                  <w:shd w:val="clear" w:color="auto" w:fill="auto"/>
                  <w:vAlign w:val="center"/>
                </w:tcPr>
                <w:p w14:paraId="45B4BCB9">
                  <w:pPr>
                    <w:widowControl/>
                    <w:jc w:val="center"/>
                    <w:textAlignment w:val="center"/>
                    <w:rPr>
                      <w:rFonts w:hint="default"/>
                      <w:color w:val="auto"/>
                      <w:sz w:val="18"/>
                      <w:szCs w:val="18"/>
                      <w:lang w:val="en-US" w:eastAsia="zh-CN"/>
                    </w:rPr>
                  </w:pPr>
                  <w:r>
                    <w:rPr>
                      <w:rFonts w:hint="eastAsia"/>
                      <w:color w:val="auto"/>
                      <w:sz w:val="18"/>
                      <w:szCs w:val="18"/>
                      <w:lang w:val="en-US" w:eastAsia="zh-CN"/>
                    </w:rPr>
                    <w:t xml:space="preserve">3.285 </w:t>
                  </w:r>
                </w:p>
              </w:tc>
              <w:tc>
                <w:tcPr>
                  <w:tcW w:w="285" w:type="pct"/>
                  <w:tcBorders>
                    <w:tl2br w:val="nil"/>
                    <w:tr2bl w:val="nil"/>
                  </w:tcBorders>
                  <w:shd w:val="clear" w:color="auto" w:fill="auto"/>
                  <w:vAlign w:val="center"/>
                </w:tcPr>
                <w:p w14:paraId="22199B68">
                  <w:pPr>
                    <w:jc w:val="center"/>
                    <w:rPr>
                      <w:rFonts w:hint="default" w:ascii="宋体" w:hAnsi="宋体" w:eastAsia="宋体" w:cs="宋体"/>
                      <w:color w:val="auto"/>
                      <w:sz w:val="18"/>
                      <w:szCs w:val="18"/>
                      <w:lang w:val="en-US" w:eastAsia="zh-CN"/>
                    </w:rPr>
                  </w:pPr>
                  <w:r>
                    <w:rPr>
                      <w:rFonts w:hint="default" w:ascii="Times New Roman" w:hAnsi="Times New Roman" w:cs="Times New Roman"/>
                      <w:color w:val="auto"/>
                      <w:sz w:val="18"/>
                      <w:szCs w:val="18"/>
                      <w:lang w:val="en-US" w:eastAsia="zh-CN"/>
                    </w:rPr>
                    <w:t>DA006</w:t>
                  </w:r>
                </w:p>
              </w:tc>
              <w:tc>
                <w:tcPr>
                  <w:tcW w:w="167" w:type="pct"/>
                  <w:tcBorders>
                    <w:tl2br w:val="nil"/>
                    <w:tr2bl w:val="nil"/>
                  </w:tcBorders>
                  <w:shd w:val="clear" w:color="auto" w:fill="auto"/>
                  <w:vAlign w:val="center"/>
                </w:tcPr>
                <w:p w14:paraId="09CBF36F">
                  <w:pPr>
                    <w:widowControl/>
                    <w:jc w:val="center"/>
                    <w:textAlignment w:val="center"/>
                    <w:rPr>
                      <w:rFonts w:hint="default" w:eastAsia="宋体"/>
                      <w:color w:val="auto"/>
                      <w:sz w:val="18"/>
                      <w:szCs w:val="18"/>
                      <w:lang w:val="en-US" w:eastAsia="zh-CN"/>
                    </w:rPr>
                  </w:pPr>
                  <w:r>
                    <w:rPr>
                      <w:rFonts w:hint="eastAsia"/>
                      <w:color w:val="auto"/>
                      <w:sz w:val="18"/>
                      <w:szCs w:val="18"/>
                      <w:lang w:val="en-US" w:eastAsia="zh-CN"/>
                    </w:rPr>
                    <w:t>15</w:t>
                  </w:r>
                </w:p>
              </w:tc>
              <w:tc>
                <w:tcPr>
                  <w:tcW w:w="168" w:type="pct"/>
                  <w:tcBorders>
                    <w:tl2br w:val="nil"/>
                    <w:tr2bl w:val="nil"/>
                  </w:tcBorders>
                  <w:shd w:val="clear" w:color="auto" w:fill="auto"/>
                  <w:vAlign w:val="center"/>
                </w:tcPr>
                <w:p w14:paraId="0BBC00E9">
                  <w:pPr>
                    <w:widowControl/>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0.8</w:t>
                  </w:r>
                </w:p>
              </w:tc>
              <w:tc>
                <w:tcPr>
                  <w:tcW w:w="173" w:type="pct"/>
                  <w:tcBorders>
                    <w:tl2br w:val="nil"/>
                    <w:tr2bl w:val="nil"/>
                  </w:tcBorders>
                  <w:shd w:val="clear" w:color="auto" w:fill="auto"/>
                  <w:vAlign w:val="center"/>
                </w:tcPr>
                <w:p w14:paraId="113FD6A5">
                  <w:pPr>
                    <w:widowControl/>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0"/>
                      <w:sz w:val="18"/>
                      <w:szCs w:val="18"/>
                      <w:highlight w:val="none"/>
                      <w:lang w:bidi="ar"/>
                    </w:rPr>
                    <w:t>常温</w:t>
                  </w:r>
                </w:p>
              </w:tc>
              <w:tc>
                <w:tcPr>
                  <w:tcW w:w="227" w:type="pct"/>
                  <w:tcBorders>
                    <w:tl2br w:val="nil"/>
                    <w:tr2bl w:val="nil"/>
                  </w:tcBorders>
                  <w:shd w:val="clear" w:color="auto" w:fill="auto"/>
                  <w:vAlign w:val="center"/>
                </w:tcPr>
                <w:p w14:paraId="0C6D1A1E">
                  <w:pPr>
                    <w:widowControl/>
                    <w:jc w:val="center"/>
                    <w:textAlignment w:val="center"/>
                    <w:rPr>
                      <w:rFonts w:hint="default"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232" w:type="pct"/>
                  <w:tcBorders>
                    <w:tl2br w:val="nil"/>
                    <w:tr2bl w:val="nil"/>
                  </w:tcBorders>
                  <w:shd w:val="clear" w:color="auto" w:fill="auto"/>
                  <w:vAlign w:val="center"/>
                </w:tcPr>
                <w:p w14:paraId="3AF9D7C0">
                  <w:pPr>
                    <w:jc w:val="center"/>
                    <w:rPr>
                      <w:rFonts w:hint="default" w:eastAsia="宋体"/>
                      <w:color w:val="auto"/>
                      <w:sz w:val="18"/>
                      <w:szCs w:val="18"/>
                      <w:lang w:val="en-US" w:eastAsia="zh-CN"/>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4D28A01F">
                  <w:pPr>
                    <w:jc w:val="center"/>
                    <w:rPr>
                      <w:rFonts w:hint="default" w:eastAsia="宋体"/>
                      <w:color w:val="auto"/>
                      <w:sz w:val="18"/>
                      <w:szCs w:val="18"/>
                      <w:lang w:val="en-US" w:eastAsia="zh-CN"/>
                    </w:rPr>
                  </w:pPr>
                  <w:r>
                    <w:rPr>
                      <w:rFonts w:hint="eastAsia"/>
                      <w:color w:val="auto"/>
                      <w:sz w:val="18"/>
                      <w:szCs w:val="18"/>
                      <w:lang w:val="en-US" w:eastAsia="zh-CN"/>
                    </w:rPr>
                    <w:t>/</w:t>
                  </w:r>
                </w:p>
              </w:tc>
            </w:tr>
            <w:tr w14:paraId="3CB46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restart"/>
                  <w:tcBorders>
                    <w:tl2br w:val="nil"/>
                    <w:tr2bl w:val="nil"/>
                  </w:tcBorders>
                  <w:shd w:val="clear" w:color="auto" w:fill="auto"/>
                  <w:vAlign w:val="center"/>
                </w:tcPr>
                <w:p w14:paraId="23881CE6">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熔模铸件退火</w:t>
                  </w:r>
                </w:p>
              </w:tc>
              <w:tc>
                <w:tcPr>
                  <w:tcW w:w="151" w:type="pct"/>
                  <w:vMerge w:val="restart"/>
                  <w:tcBorders>
                    <w:tl2br w:val="nil"/>
                    <w:tr2bl w:val="nil"/>
                  </w:tcBorders>
                  <w:shd w:val="clear" w:color="auto" w:fill="auto"/>
                  <w:vAlign w:val="center"/>
                </w:tcPr>
                <w:p w14:paraId="70EBD3E2">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54E92FDE">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5B7AAF0A">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21.3 </w:t>
                  </w:r>
                </w:p>
              </w:tc>
              <w:tc>
                <w:tcPr>
                  <w:tcW w:w="272" w:type="pct"/>
                  <w:tcBorders>
                    <w:tl2br w:val="nil"/>
                    <w:tr2bl w:val="nil"/>
                  </w:tcBorders>
                  <w:shd w:val="clear" w:color="auto" w:fill="auto"/>
                  <w:vAlign w:val="center"/>
                </w:tcPr>
                <w:p w14:paraId="6A5E9D04">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0.010 </w:t>
                  </w:r>
                </w:p>
              </w:tc>
              <w:tc>
                <w:tcPr>
                  <w:tcW w:w="272" w:type="pct"/>
                  <w:tcBorders>
                    <w:tl2br w:val="nil"/>
                    <w:tr2bl w:val="nil"/>
                  </w:tcBorders>
                  <w:shd w:val="clear" w:color="auto" w:fill="auto"/>
                  <w:vAlign w:val="center"/>
                </w:tcPr>
                <w:p w14:paraId="43939A5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0.029</w:t>
                  </w:r>
                </w:p>
              </w:tc>
              <w:tc>
                <w:tcPr>
                  <w:tcW w:w="263" w:type="pct"/>
                  <w:vMerge w:val="restart"/>
                  <w:tcBorders>
                    <w:tl2br w:val="nil"/>
                    <w:tr2bl w:val="nil"/>
                  </w:tcBorders>
                  <w:shd w:val="clear" w:color="auto" w:fill="auto"/>
                  <w:vAlign w:val="center"/>
                </w:tcPr>
                <w:p w14:paraId="2DC22C1B">
                  <w:pPr>
                    <w:widowControl/>
                    <w:jc w:val="center"/>
                    <w:textAlignment w:val="center"/>
                    <w:rPr>
                      <w:rFonts w:hint="default"/>
                      <w:color w:val="auto"/>
                      <w:sz w:val="18"/>
                      <w:szCs w:val="18"/>
                      <w:lang w:val="en-US" w:eastAsia="zh-CN"/>
                    </w:rPr>
                  </w:pPr>
                  <w:r>
                    <w:rPr>
                      <w:rFonts w:hint="eastAsia"/>
                      <w:color w:val="auto"/>
                      <w:sz w:val="18"/>
                      <w:szCs w:val="18"/>
                      <w:lang w:val="en-US" w:eastAsia="zh-CN"/>
                    </w:rPr>
                    <w:t>453.3</w:t>
                  </w:r>
                </w:p>
              </w:tc>
              <w:tc>
                <w:tcPr>
                  <w:tcW w:w="177" w:type="pct"/>
                  <w:vMerge w:val="restart"/>
                  <w:tcBorders>
                    <w:tl2br w:val="nil"/>
                    <w:tr2bl w:val="nil"/>
                  </w:tcBorders>
                  <w:shd w:val="clear" w:color="auto" w:fill="auto"/>
                  <w:vAlign w:val="center"/>
                </w:tcPr>
                <w:p w14:paraId="6A5B210F">
                  <w:pPr>
                    <w:widowControl/>
                    <w:jc w:val="center"/>
                    <w:textAlignment w:val="center"/>
                    <w:rPr>
                      <w:rFonts w:hint="default"/>
                      <w:color w:val="auto"/>
                      <w:sz w:val="18"/>
                      <w:szCs w:val="18"/>
                      <w:lang w:val="en-US" w:eastAsia="zh-CN"/>
                    </w:rPr>
                  </w:pPr>
                  <w:r>
                    <w:rPr>
                      <w:rFonts w:hint="eastAsia"/>
                      <w:color w:val="auto"/>
                      <w:sz w:val="18"/>
                      <w:szCs w:val="18"/>
                      <w:lang w:val="en-US" w:eastAsia="zh-CN"/>
                    </w:rPr>
                    <w:t>100</w:t>
                  </w:r>
                </w:p>
              </w:tc>
              <w:tc>
                <w:tcPr>
                  <w:tcW w:w="203" w:type="pct"/>
                  <w:vMerge w:val="restart"/>
                  <w:tcBorders>
                    <w:tl2br w:val="nil"/>
                    <w:tr2bl w:val="nil"/>
                  </w:tcBorders>
                  <w:shd w:val="clear" w:color="auto" w:fill="auto"/>
                  <w:vAlign w:val="center"/>
                </w:tcPr>
                <w:p w14:paraId="1993A8B5">
                  <w:pPr>
                    <w:widowControl/>
                    <w:jc w:val="center"/>
                    <w:textAlignment w:val="center"/>
                    <w:rPr>
                      <w:rFonts w:hint="default"/>
                      <w:color w:val="auto"/>
                      <w:sz w:val="18"/>
                      <w:szCs w:val="18"/>
                      <w:lang w:val="en-US" w:eastAsia="zh-CN"/>
                    </w:rPr>
                  </w:pPr>
                  <w:r>
                    <w:rPr>
                      <w:rFonts w:hint="eastAsia"/>
                      <w:color w:val="auto"/>
                      <w:sz w:val="18"/>
                      <w:szCs w:val="18"/>
                      <w:lang w:val="en-US" w:eastAsia="zh-CN"/>
                    </w:rPr>
                    <w:t>0</w:t>
                  </w:r>
                </w:p>
              </w:tc>
              <w:tc>
                <w:tcPr>
                  <w:tcW w:w="224" w:type="pct"/>
                  <w:vMerge w:val="restart"/>
                  <w:tcBorders>
                    <w:tl2br w:val="nil"/>
                    <w:tr2bl w:val="nil"/>
                  </w:tcBorders>
                  <w:shd w:val="clear" w:color="auto" w:fill="auto"/>
                  <w:vAlign w:val="center"/>
                </w:tcPr>
                <w:p w14:paraId="57E9C61D">
                  <w:pPr>
                    <w:widowControl/>
                    <w:jc w:val="center"/>
                    <w:textAlignment w:val="center"/>
                    <w:rPr>
                      <w:rFonts w:hint="default"/>
                      <w:color w:val="auto"/>
                      <w:sz w:val="18"/>
                      <w:szCs w:val="18"/>
                      <w:lang w:val="en-US" w:eastAsia="zh-CN"/>
                    </w:rPr>
                  </w:pPr>
                  <w:r>
                    <w:rPr>
                      <w:rFonts w:hint="eastAsia"/>
                      <w:color w:val="auto"/>
                      <w:sz w:val="18"/>
                      <w:szCs w:val="18"/>
                      <w:lang w:val="en-US" w:eastAsia="zh-CN"/>
                    </w:rPr>
                    <w:t>/</w:t>
                  </w:r>
                </w:p>
              </w:tc>
              <w:tc>
                <w:tcPr>
                  <w:tcW w:w="300" w:type="pct"/>
                  <w:vMerge w:val="restart"/>
                  <w:tcBorders>
                    <w:tl2br w:val="nil"/>
                    <w:tr2bl w:val="nil"/>
                  </w:tcBorders>
                  <w:shd w:val="clear" w:color="auto" w:fill="auto"/>
                  <w:vAlign w:val="center"/>
                </w:tcPr>
                <w:p w14:paraId="199E6EBA">
                  <w:pPr>
                    <w:widowControl/>
                    <w:jc w:val="center"/>
                    <w:textAlignment w:val="center"/>
                    <w:rPr>
                      <w:rFonts w:hint="default"/>
                      <w:color w:val="auto"/>
                      <w:sz w:val="18"/>
                      <w:szCs w:val="18"/>
                      <w:lang w:val="en-US" w:eastAsia="zh-CN"/>
                    </w:rPr>
                  </w:pPr>
                  <w:r>
                    <w:rPr>
                      <w:rFonts w:hint="eastAsia"/>
                      <w:color w:val="auto"/>
                      <w:sz w:val="18"/>
                      <w:szCs w:val="18"/>
                      <w:lang w:val="en-US" w:eastAsia="zh-CN"/>
                    </w:rPr>
                    <w:t>/</w:t>
                  </w:r>
                </w:p>
              </w:tc>
              <w:tc>
                <w:tcPr>
                  <w:tcW w:w="267" w:type="pct"/>
                  <w:tcBorders>
                    <w:tl2br w:val="nil"/>
                    <w:tr2bl w:val="nil"/>
                  </w:tcBorders>
                  <w:shd w:val="clear" w:color="auto" w:fill="auto"/>
                  <w:vAlign w:val="center"/>
                </w:tcPr>
                <w:p w14:paraId="5C956EBA">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21.3 </w:t>
                  </w:r>
                </w:p>
              </w:tc>
              <w:tc>
                <w:tcPr>
                  <w:tcW w:w="261" w:type="pct"/>
                  <w:tcBorders>
                    <w:tl2br w:val="nil"/>
                    <w:tr2bl w:val="nil"/>
                  </w:tcBorders>
                  <w:shd w:val="clear" w:color="auto" w:fill="auto"/>
                  <w:vAlign w:val="center"/>
                </w:tcPr>
                <w:p w14:paraId="71FE6070">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0.010 </w:t>
                  </w:r>
                </w:p>
              </w:tc>
              <w:tc>
                <w:tcPr>
                  <w:tcW w:w="272" w:type="pct"/>
                  <w:tcBorders>
                    <w:tl2br w:val="nil"/>
                    <w:tr2bl w:val="nil"/>
                  </w:tcBorders>
                  <w:shd w:val="clear" w:color="auto" w:fill="auto"/>
                  <w:vAlign w:val="center"/>
                </w:tcPr>
                <w:p w14:paraId="004BB400">
                  <w:pPr>
                    <w:widowControl/>
                    <w:jc w:val="center"/>
                    <w:textAlignment w:val="center"/>
                    <w:rPr>
                      <w:rFonts w:hint="eastAsia"/>
                      <w:color w:val="auto"/>
                      <w:sz w:val="18"/>
                      <w:szCs w:val="18"/>
                      <w:lang w:val="en-US" w:eastAsia="zh-CN"/>
                    </w:rPr>
                  </w:pPr>
                  <w:r>
                    <w:rPr>
                      <w:rFonts w:hint="eastAsia"/>
                      <w:color w:val="auto"/>
                      <w:sz w:val="18"/>
                      <w:szCs w:val="18"/>
                      <w:lang w:val="en-US" w:eastAsia="zh-CN"/>
                    </w:rPr>
                    <w:t>0.029</w:t>
                  </w:r>
                </w:p>
              </w:tc>
              <w:tc>
                <w:tcPr>
                  <w:tcW w:w="285" w:type="pct"/>
                  <w:vMerge w:val="restart"/>
                  <w:tcBorders>
                    <w:tl2br w:val="nil"/>
                    <w:tr2bl w:val="nil"/>
                  </w:tcBorders>
                  <w:shd w:val="clear" w:color="auto" w:fill="auto"/>
                  <w:vAlign w:val="center"/>
                </w:tcPr>
                <w:p w14:paraId="60E2F03C">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DA00</w:t>
                  </w:r>
                  <w:r>
                    <w:rPr>
                      <w:rFonts w:hint="eastAsia" w:cs="Times New Roman"/>
                      <w:color w:val="auto"/>
                      <w:sz w:val="18"/>
                      <w:szCs w:val="18"/>
                      <w:lang w:val="en-US" w:eastAsia="zh-CN"/>
                    </w:rPr>
                    <w:t>7</w:t>
                  </w:r>
                </w:p>
              </w:tc>
              <w:tc>
                <w:tcPr>
                  <w:tcW w:w="167" w:type="pct"/>
                  <w:vMerge w:val="restart"/>
                  <w:tcBorders>
                    <w:tl2br w:val="nil"/>
                    <w:tr2bl w:val="nil"/>
                  </w:tcBorders>
                  <w:shd w:val="clear" w:color="auto" w:fill="auto"/>
                  <w:vAlign w:val="center"/>
                </w:tcPr>
                <w:p w14:paraId="2BF9785B">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15</w:t>
                  </w:r>
                </w:p>
              </w:tc>
              <w:tc>
                <w:tcPr>
                  <w:tcW w:w="168" w:type="pct"/>
                  <w:vMerge w:val="restart"/>
                  <w:tcBorders>
                    <w:tl2br w:val="nil"/>
                    <w:tr2bl w:val="nil"/>
                  </w:tcBorders>
                  <w:shd w:val="clear" w:color="auto" w:fill="auto"/>
                  <w:vAlign w:val="center"/>
                </w:tcPr>
                <w:p w14:paraId="399374DD">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0.2</w:t>
                  </w:r>
                </w:p>
              </w:tc>
              <w:tc>
                <w:tcPr>
                  <w:tcW w:w="173" w:type="pct"/>
                  <w:vMerge w:val="restart"/>
                  <w:tcBorders>
                    <w:tl2br w:val="nil"/>
                    <w:tr2bl w:val="nil"/>
                  </w:tcBorders>
                  <w:shd w:val="clear" w:color="auto" w:fill="auto"/>
                  <w:vAlign w:val="center"/>
                </w:tcPr>
                <w:p w14:paraId="5B5555E4">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温度120℃</w:t>
                  </w:r>
                </w:p>
              </w:tc>
              <w:tc>
                <w:tcPr>
                  <w:tcW w:w="227" w:type="pct"/>
                  <w:vMerge w:val="restart"/>
                  <w:tcBorders>
                    <w:tl2br w:val="nil"/>
                    <w:tr2bl w:val="nil"/>
                  </w:tcBorders>
                  <w:shd w:val="clear" w:color="auto" w:fill="auto"/>
                  <w:vAlign w:val="center"/>
                </w:tcPr>
                <w:p w14:paraId="42849F45">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232" w:type="pct"/>
                  <w:tcBorders>
                    <w:tl2br w:val="nil"/>
                    <w:tr2bl w:val="nil"/>
                  </w:tcBorders>
                  <w:shd w:val="clear" w:color="auto" w:fill="auto"/>
                  <w:vAlign w:val="center"/>
                </w:tcPr>
                <w:p w14:paraId="68087396">
                  <w:pPr>
                    <w:jc w:val="center"/>
                    <w:rPr>
                      <w:rFonts w:hint="default"/>
                      <w:color w:val="auto"/>
                      <w:sz w:val="18"/>
                      <w:szCs w:val="18"/>
                      <w:lang w:val="en-US" w:eastAsia="zh-CN"/>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5B2488C9">
                  <w:pPr>
                    <w:jc w:val="center"/>
                    <w:rPr>
                      <w:rFonts w:hint="eastAsia"/>
                      <w:color w:val="auto"/>
                      <w:sz w:val="18"/>
                      <w:szCs w:val="18"/>
                      <w:lang w:val="en-US" w:eastAsia="zh-CN"/>
                    </w:rPr>
                  </w:pPr>
                  <w:r>
                    <w:rPr>
                      <w:rFonts w:hint="eastAsia"/>
                      <w:color w:val="auto"/>
                      <w:sz w:val="18"/>
                      <w:szCs w:val="18"/>
                      <w:lang w:val="en-US" w:eastAsia="zh-CN"/>
                    </w:rPr>
                    <w:t>/</w:t>
                  </w:r>
                </w:p>
              </w:tc>
            </w:tr>
            <w:tr w14:paraId="5AF8C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0371C762">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7459940D">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08ADA77B">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二氧化硫</w:t>
                  </w:r>
                </w:p>
              </w:tc>
              <w:tc>
                <w:tcPr>
                  <w:tcW w:w="306" w:type="pct"/>
                  <w:tcBorders>
                    <w:tl2br w:val="nil"/>
                    <w:tr2bl w:val="nil"/>
                  </w:tcBorders>
                  <w:shd w:val="clear" w:color="auto" w:fill="auto"/>
                  <w:vAlign w:val="center"/>
                </w:tcPr>
                <w:p w14:paraId="22CCD573">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14.7 </w:t>
                  </w:r>
                </w:p>
              </w:tc>
              <w:tc>
                <w:tcPr>
                  <w:tcW w:w="272" w:type="pct"/>
                  <w:tcBorders>
                    <w:tl2br w:val="nil"/>
                    <w:tr2bl w:val="nil"/>
                  </w:tcBorders>
                  <w:shd w:val="clear" w:color="auto" w:fill="auto"/>
                  <w:vAlign w:val="center"/>
                </w:tcPr>
                <w:p w14:paraId="35EEECE6">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0.007 </w:t>
                  </w:r>
                </w:p>
              </w:tc>
              <w:tc>
                <w:tcPr>
                  <w:tcW w:w="272" w:type="pct"/>
                  <w:tcBorders>
                    <w:tl2br w:val="nil"/>
                    <w:tr2bl w:val="nil"/>
                  </w:tcBorders>
                  <w:shd w:val="clear" w:color="auto" w:fill="auto"/>
                  <w:vAlign w:val="center"/>
                </w:tcPr>
                <w:p w14:paraId="760110A2">
                  <w:pPr>
                    <w:widowControl/>
                    <w:jc w:val="center"/>
                    <w:textAlignment w:val="center"/>
                    <w:rPr>
                      <w:rFonts w:hint="eastAsia"/>
                      <w:color w:val="auto"/>
                      <w:sz w:val="18"/>
                      <w:szCs w:val="18"/>
                      <w:lang w:val="en-US" w:eastAsia="zh-CN"/>
                    </w:rPr>
                  </w:pPr>
                  <w:r>
                    <w:rPr>
                      <w:rFonts w:hint="eastAsia"/>
                      <w:color w:val="auto"/>
                      <w:sz w:val="18"/>
                      <w:szCs w:val="18"/>
                      <w:lang w:val="en-US" w:eastAsia="zh-CN"/>
                    </w:rPr>
                    <w:t>0.02</w:t>
                  </w:r>
                </w:p>
              </w:tc>
              <w:tc>
                <w:tcPr>
                  <w:tcW w:w="263" w:type="pct"/>
                  <w:vMerge w:val="continue"/>
                  <w:tcBorders>
                    <w:tl2br w:val="nil"/>
                    <w:tr2bl w:val="nil"/>
                  </w:tcBorders>
                  <w:shd w:val="clear" w:color="auto" w:fill="auto"/>
                  <w:vAlign w:val="center"/>
                </w:tcPr>
                <w:p w14:paraId="67F7263B">
                  <w:pPr>
                    <w:widowControl/>
                    <w:jc w:val="center"/>
                    <w:textAlignment w:val="center"/>
                    <w:rPr>
                      <w:rFonts w:hint="eastAsia"/>
                      <w:color w:val="auto"/>
                      <w:sz w:val="18"/>
                      <w:szCs w:val="18"/>
                      <w:lang w:val="en-US" w:eastAsia="zh-CN"/>
                    </w:rPr>
                  </w:pPr>
                </w:p>
              </w:tc>
              <w:tc>
                <w:tcPr>
                  <w:tcW w:w="177" w:type="pct"/>
                  <w:vMerge w:val="continue"/>
                  <w:tcBorders>
                    <w:tl2br w:val="nil"/>
                    <w:tr2bl w:val="nil"/>
                  </w:tcBorders>
                  <w:shd w:val="clear" w:color="auto" w:fill="auto"/>
                  <w:vAlign w:val="center"/>
                </w:tcPr>
                <w:p w14:paraId="22D469C0">
                  <w:pPr>
                    <w:widowControl/>
                    <w:jc w:val="center"/>
                    <w:textAlignment w:val="center"/>
                    <w:rPr>
                      <w:rFonts w:hint="eastAsia"/>
                      <w:color w:val="auto"/>
                      <w:sz w:val="18"/>
                      <w:szCs w:val="18"/>
                      <w:lang w:val="en-US" w:eastAsia="zh-CN"/>
                    </w:rPr>
                  </w:pPr>
                </w:p>
              </w:tc>
              <w:tc>
                <w:tcPr>
                  <w:tcW w:w="203" w:type="pct"/>
                  <w:vMerge w:val="continue"/>
                  <w:tcBorders>
                    <w:tl2br w:val="nil"/>
                    <w:tr2bl w:val="nil"/>
                  </w:tcBorders>
                  <w:shd w:val="clear" w:color="auto" w:fill="auto"/>
                  <w:vAlign w:val="center"/>
                </w:tcPr>
                <w:p w14:paraId="2877A725">
                  <w:pPr>
                    <w:widowControl/>
                    <w:jc w:val="center"/>
                    <w:textAlignment w:val="center"/>
                    <w:rPr>
                      <w:rFonts w:hint="eastAsia"/>
                      <w:color w:val="auto"/>
                      <w:sz w:val="18"/>
                      <w:szCs w:val="18"/>
                      <w:lang w:val="en-US" w:eastAsia="zh-CN"/>
                    </w:rPr>
                  </w:pPr>
                </w:p>
              </w:tc>
              <w:tc>
                <w:tcPr>
                  <w:tcW w:w="224" w:type="pct"/>
                  <w:vMerge w:val="continue"/>
                  <w:tcBorders>
                    <w:tl2br w:val="nil"/>
                    <w:tr2bl w:val="nil"/>
                  </w:tcBorders>
                  <w:shd w:val="clear" w:color="auto" w:fill="auto"/>
                  <w:vAlign w:val="center"/>
                </w:tcPr>
                <w:p w14:paraId="4ADEC547">
                  <w:pPr>
                    <w:widowControl/>
                    <w:jc w:val="center"/>
                    <w:textAlignment w:val="center"/>
                    <w:rPr>
                      <w:rFonts w:hint="eastAsia"/>
                      <w:color w:val="auto"/>
                      <w:sz w:val="18"/>
                      <w:szCs w:val="18"/>
                      <w:lang w:val="en-US" w:eastAsia="zh-CN"/>
                    </w:rPr>
                  </w:pPr>
                </w:p>
              </w:tc>
              <w:tc>
                <w:tcPr>
                  <w:tcW w:w="300" w:type="pct"/>
                  <w:vMerge w:val="continue"/>
                  <w:tcBorders>
                    <w:tl2br w:val="nil"/>
                    <w:tr2bl w:val="nil"/>
                  </w:tcBorders>
                  <w:shd w:val="clear" w:color="auto" w:fill="auto"/>
                  <w:vAlign w:val="center"/>
                </w:tcPr>
                <w:p w14:paraId="29A29F7D">
                  <w:pPr>
                    <w:widowControl/>
                    <w:jc w:val="center"/>
                    <w:textAlignment w:val="center"/>
                    <w:rPr>
                      <w:rFonts w:hint="eastAsia"/>
                      <w:color w:val="auto"/>
                      <w:sz w:val="18"/>
                      <w:szCs w:val="18"/>
                      <w:lang w:val="en-US" w:eastAsia="zh-CN"/>
                    </w:rPr>
                  </w:pPr>
                </w:p>
              </w:tc>
              <w:tc>
                <w:tcPr>
                  <w:tcW w:w="267" w:type="pct"/>
                  <w:tcBorders>
                    <w:tl2br w:val="nil"/>
                    <w:tr2bl w:val="nil"/>
                  </w:tcBorders>
                  <w:shd w:val="clear" w:color="auto" w:fill="auto"/>
                  <w:vAlign w:val="center"/>
                </w:tcPr>
                <w:p w14:paraId="5EB74FDA">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14.7 </w:t>
                  </w:r>
                </w:p>
              </w:tc>
              <w:tc>
                <w:tcPr>
                  <w:tcW w:w="261" w:type="pct"/>
                  <w:tcBorders>
                    <w:tl2br w:val="nil"/>
                    <w:tr2bl w:val="nil"/>
                  </w:tcBorders>
                  <w:shd w:val="clear" w:color="auto" w:fill="auto"/>
                  <w:vAlign w:val="center"/>
                </w:tcPr>
                <w:p w14:paraId="4A75598D">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0.007 </w:t>
                  </w:r>
                </w:p>
              </w:tc>
              <w:tc>
                <w:tcPr>
                  <w:tcW w:w="272" w:type="pct"/>
                  <w:tcBorders>
                    <w:tl2br w:val="nil"/>
                    <w:tr2bl w:val="nil"/>
                  </w:tcBorders>
                  <w:shd w:val="clear" w:color="auto" w:fill="auto"/>
                  <w:vAlign w:val="center"/>
                </w:tcPr>
                <w:p w14:paraId="7F768CD8">
                  <w:pPr>
                    <w:widowControl/>
                    <w:jc w:val="center"/>
                    <w:textAlignment w:val="center"/>
                    <w:rPr>
                      <w:rFonts w:hint="eastAsia"/>
                      <w:color w:val="auto"/>
                      <w:sz w:val="18"/>
                      <w:szCs w:val="18"/>
                      <w:lang w:val="en-US" w:eastAsia="zh-CN"/>
                    </w:rPr>
                  </w:pPr>
                  <w:r>
                    <w:rPr>
                      <w:rFonts w:hint="eastAsia"/>
                      <w:color w:val="auto"/>
                      <w:sz w:val="18"/>
                      <w:szCs w:val="18"/>
                      <w:lang w:val="en-US" w:eastAsia="zh-CN"/>
                    </w:rPr>
                    <w:t>0.02</w:t>
                  </w:r>
                </w:p>
              </w:tc>
              <w:tc>
                <w:tcPr>
                  <w:tcW w:w="285" w:type="pct"/>
                  <w:vMerge w:val="continue"/>
                  <w:tcBorders>
                    <w:tl2br w:val="nil"/>
                    <w:tr2bl w:val="nil"/>
                  </w:tcBorders>
                  <w:shd w:val="clear" w:color="auto" w:fill="auto"/>
                  <w:vAlign w:val="center"/>
                </w:tcPr>
                <w:p w14:paraId="10E86775">
                  <w:pPr>
                    <w:jc w:val="center"/>
                    <w:rPr>
                      <w:rFonts w:hint="eastAsia" w:ascii="宋体" w:hAnsi="宋体" w:cs="宋体"/>
                      <w:color w:val="auto"/>
                      <w:sz w:val="18"/>
                      <w:szCs w:val="18"/>
                      <w:lang w:val="en-US" w:eastAsia="zh-CN"/>
                    </w:rPr>
                  </w:pPr>
                </w:p>
              </w:tc>
              <w:tc>
                <w:tcPr>
                  <w:tcW w:w="167" w:type="pct"/>
                  <w:vMerge w:val="continue"/>
                  <w:tcBorders>
                    <w:tl2br w:val="nil"/>
                    <w:tr2bl w:val="nil"/>
                  </w:tcBorders>
                  <w:shd w:val="clear" w:color="auto" w:fill="auto"/>
                  <w:vAlign w:val="center"/>
                </w:tcPr>
                <w:p w14:paraId="035AC408">
                  <w:pPr>
                    <w:widowControl/>
                    <w:jc w:val="center"/>
                    <w:textAlignment w:val="center"/>
                    <w:rPr>
                      <w:rFonts w:hint="eastAsia"/>
                      <w:color w:val="auto"/>
                      <w:sz w:val="18"/>
                      <w:szCs w:val="18"/>
                      <w:lang w:val="en-US" w:eastAsia="zh-CN"/>
                    </w:rPr>
                  </w:pPr>
                </w:p>
              </w:tc>
              <w:tc>
                <w:tcPr>
                  <w:tcW w:w="168" w:type="pct"/>
                  <w:vMerge w:val="continue"/>
                  <w:tcBorders>
                    <w:tl2br w:val="nil"/>
                    <w:tr2bl w:val="nil"/>
                  </w:tcBorders>
                  <w:shd w:val="clear" w:color="auto" w:fill="auto"/>
                  <w:vAlign w:val="center"/>
                </w:tcPr>
                <w:p w14:paraId="7B3014E4">
                  <w:pPr>
                    <w:widowControl/>
                    <w:jc w:val="center"/>
                    <w:textAlignment w:val="center"/>
                    <w:rPr>
                      <w:rFonts w:hint="eastAsia"/>
                      <w:color w:val="auto"/>
                      <w:sz w:val="18"/>
                      <w:szCs w:val="18"/>
                      <w:lang w:val="en-US" w:eastAsia="zh-CN"/>
                    </w:rPr>
                  </w:pPr>
                </w:p>
              </w:tc>
              <w:tc>
                <w:tcPr>
                  <w:tcW w:w="173" w:type="pct"/>
                  <w:vMerge w:val="continue"/>
                  <w:tcBorders>
                    <w:tl2br w:val="nil"/>
                    <w:tr2bl w:val="nil"/>
                  </w:tcBorders>
                  <w:shd w:val="clear" w:color="auto" w:fill="auto"/>
                  <w:vAlign w:val="center"/>
                </w:tcPr>
                <w:p w14:paraId="0FCE8804">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2D0D1498">
                  <w:pPr>
                    <w:widowControl/>
                    <w:jc w:val="center"/>
                    <w:textAlignment w:val="center"/>
                    <w:rPr>
                      <w:rFonts w:hint="eastAsia" w:ascii="宋体" w:hAnsi="宋体" w:cs="宋体"/>
                      <w:color w:val="auto"/>
                      <w:kern w:val="0"/>
                      <w:sz w:val="18"/>
                      <w:szCs w:val="18"/>
                      <w:lang w:bidi="ar"/>
                    </w:rPr>
                  </w:pPr>
                </w:p>
              </w:tc>
              <w:tc>
                <w:tcPr>
                  <w:tcW w:w="232" w:type="pct"/>
                  <w:tcBorders>
                    <w:tl2br w:val="nil"/>
                    <w:tr2bl w:val="nil"/>
                  </w:tcBorders>
                  <w:shd w:val="clear" w:color="auto" w:fill="auto"/>
                  <w:vAlign w:val="center"/>
                </w:tcPr>
                <w:p w14:paraId="0861A537">
                  <w:pPr>
                    <w:jc w:val="center"/>
                    <w:rPr>
                      <w:rFonts w:hint="default"/>
                      <w:color w:val="auto"/>
                      <w:sz w:val="18"/>
                      <w:szCs w:val="18"/>
                      <w:lang w:val="en-US" w:eastAsia="zh-CN"/>
                    </w:rPr>
                  </w:pPr>
                  <w:r>
                    <w:rPr>
                      <w:rFonts w:hint="eastAsia"/>
                      <w:color w:val="auto"/>
                      <w:sz w:val="18"/>
                      <w:szCs w:val="18"/>
                      <w:lang w:val="en-US" w:eastAsia="zh-CN"/>
                    </w:rPr>
                    <w:t>100</w:t>
                  </w:r>
                </w:p>
              </w:tc>
              <w:tc>
                <w:tcPr>
                  <w:tcW w:w="205" w:type="pct"/>
                  <w:tcBorders>
                    <w:tl2br w:val="nil"/>
                    <w:tr2bl w:val="nil"/>
                  </w:tcBorders>
                  <w:shd w:val="clear" w:color="auto" w:fill="auto"/>
                  <w:vAlign w:val="center"/>
                </w:tcPr>
                <w:p w14:paraId="3B49B489">
                  <w:pPr>
                    <w:jc w:val="center"/>
                    <w:rPr>
                      <w:rFonts w:hint="eastAsia"/>
                      <w:color w:val="auto"/>
                      <w:sz w:val="18"/>
                      <w:szCs w:val="18"/>
                      <w:lang w:val="en-US" w:eastAsia="zh-CN"/>
                    </w:rPr>
                  </w:pPr>
                  <w:r>
                    <w:rPr>
                      <w:rFonts w:hint="eastAsia"/>
                      <w:color w:val="auto"/>
                      <w:sz w:val="18"/>
                      <w:szCs w:val="18"/>
                      <w:lang w:val="en-US" w:eastAsia="zh-CN"/>
                    </w:rPr>
                    <w:t>/</w:t>
                  </w:r>
                </w:p>
              </w:tc>
            </w:tr>
            <w:tr w14:paraId="511A2F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58863102">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33C24C69">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67A00C91">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氮氧化物</w:t>
                  </w:r>
                </w:p>
              </w:tc>
              <w:tc>
                <w:tcPr>
                  <w:tcW w:w="306" w:type="pct"/>
                  <w:tcBorders>
                    <w:tl2br w:val="nil"/>
                    <w:tr2bl w:val="nil"/>
                  </w:tcBorders>
                  <w:shd w:val="clear" w:color="auto" w:fill="auto"/>
                  <w:vAlign w:val="center"/>
                </w:tcPr>
                <w:p w14:paraId="301641C0">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137.5 </w:t>
                  </w:r>
                </w:p>
              </w:tc>
              <w:tc>
                <w:tcPr>
                  <w:tcW w:w="272" w:type="pct"/>
                  <w:tcBorders>
                    <w:tl2br w:val="nil"/>
                    <w:tr2bl w:val="nil"/>
                  </w:tcBorders>
                  <w:shd w:val="clear" w:color="auto" w:fill="auto"/>
                  <w:vAlign w:val="center"/>
                </w:tcPr>
                <w:p w14:paraId="180BB555">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0.062 </w:t>
                  </w:r>
                </w:p>
              </w:tc>
              <w:tc>
                <w:tcPr>
                  <w:tcW w:w="272" w:type="pct"/>
                  <w:tcBorders>
                    <w:tl2br w:val="nil"/>
                    <w:tr2bl w:val="nil"/>
                  </w:tcBorders>
                  <w:shd w:val="clear" w:color="auto" w:fill="auto"/>
                  <w:vAlign w:val="center"/>
                </w:tcPr>
                <w:p w14:paraId="2219880A">
                  <w:pPr>
                    <w:widowControl/>
                    <w:jc w:val="center"/>
                    <w:textAlignment w:val="center"/>
                    <w:rPr>
                      <w:rFonts w:hint="eastAsia"/>
                      <w:color w:val="auto"/>
                      <w:sz w:val="18"/>
                      <w:szCs w:val="18"/>
                      <w:lang w:val="en-US" w:eastAsia="zh-CN"/>
                    </w:rPr>
                  </w:pPr>
                  <w:r>
                    <w:rPr>
                      <w:rFonts w:hint="eastAsia"/>
                      <w:color w:val="auto"/>
                      <w:sz w:val="18"/>
                      <w:szCs w:val="18"/>
                      <w:lang w:val="en-US" w:eastAsia="zh-CN"/>
                    </w:rPr>
                    <w:t>0.187</w:t>
                  </w:r>
                </w:p>
              </w:tc>
              <w:tc>
                <w:tcPr>
                  <w:tcW w:w="263" w:type="pct"/>
                  <w:vMerge w:val="continue"/>
                  <w:tcBorders>
                    <w:tl2br w:val="nil"/>
                    <w:tr2bl w:val="nil"/>
                  </w:tcBorders>
                  <w:shd w:val="clear" w:color="auto" w:fill="auto"/>
                  <w:vAlign w:val="center"/>
                </w:tcPr>
                <w:p w14:paraId="2A74285E">
                  <w:pPr>
                    <w:widowControl/>
                    <w:jc w:val="center"/>
                    <w:textAlignment w:val="center"/>
                    <w:rPr>
                      <w:rFonts w:hint="eastAsia"/>
                      <w:color w:val="auto"/>
                      <w:sz w:val="18"/>
                      <w:szCs w:val="18"/>
                      <w:lang w:val="en-US" w:eastAsia="zh-CN"/>
                    </w:rPr>
                  </w:pPr>
                </w:p>
              </w:tc>
              <w:tc>
                <w:tcPr>
                  <w:tcW w:w="177" w:type="pct"/>
                  <w:vMerge w:val="continue"/>
                  <w:tcBorders>
                    <w:tl2br w:val="nil"/>
                    <w:tr2bl w:val="nil"/>
                  </w:tcBorders>
                  <w:shd w:val="clear" w:color="auto" w:fill="auto"/>
                  <w:vAlign w:val="center"/>
                </w:tcPr>
                <w:p w14:paraId="159DC6DF">
                  <w:pPr>
                    <w:widowControl/>
                    <w:jc w:val="center"/>
                    <w:textAlignment w:val="center"/>
                    <w:rPr>
                      <w:rFonts w:hint="eastAsia"/>
                      <w:color w:val="auto"/>
                      <w:sz w:val="18"/>
                      <w:szCs w:val="18"/>
                      <w:lang w:val="en-US" w:eastAsia="zh-CN"/>
                    </w:rPr>
                  </w:pPr>
                </w:p>
              </w:tc>
              <w:tc>
                <w:tcPr>
                  <w:tcW w:w="203" w:type="pct"/>
                  <w:vMerge w:val="continue"/>
                  <w:tcBorders>
                    <w:tl2br w:val="nil"/>
                    <w:tr2bl w:val="nil"/>
                  </w:tcBorders>
                  <w:shd w:val="clear" w:color="auto" w:fill="auto"/>
                  <w:vAlign w:val="center"/>
                </w:tcPr>
                <w:p w14:paraId="5FA67FEC">
                  <w:pPr>
                    <w:widowControl/>
                    <w:jc w:val="center"/>
                    <w:textAlignment w:val="center"/>
                    <w:rPr>
                      <w:rFonts w:hint="eastAsia"/>
                      <w:color w:val="auto"/>
                      <w:sz w:val="18"/>
                      <w:szCs w:val="18"/>
                      <w:lang w:val="en-US" w:eastAsia="zh-CN"/>
                    </w:rPr>
                  </w:pPr>
                </w:p>
              </w:tc>
              <w:tc>
                <w:tcPr>
                  <w:tcW w:w="224" w:type="pct"/>
                  <w:vMerge w:val="continue"/>
                  <w:tcBorders>
                    <w:tl2br w:val="nil"/>
                    <w:tr2bl w:val="nil"/>
                  </w:tcBorders>
                  <w:shd w:val="clear" w:color="auto" w:fill="auto"/>
                  <w:vAlign w:val="center"/>
                </w:tcPr>
                <w:p w14:paraId="64B9CEC4">
                  <w:pPr>
                    <w:widowControl/>
                    <w:jc w:val="center"/>
                    <w:textAlignment w:val="center"/>
                    <w:rPr>
                      <w:rFonts w:hint="eastAsia"/>
                      <w:color w:val="auto"/>
                      <w:sz w:val="18"/>
                      <w:szCs w:val="18"/>
                      <w:lang w:val="en-US" w:eastAsia="zh-CN"/>
                    </w:rPr>
                  </w:pPr>
                </w:p>
              </w:tc>
              <w:tc>
                <w:tcPr>
                  <w:tcW w:w="300" w:type="pct"/>
                  <w:vMerge w:val="continue"/>
                  <w:tcBorders>
                    <w:tl2br w:val="nil"/>
                    <w:tr2bl w:val="nil"/>
                  </w:tcBorders>
                  <w:shd w:val="clear" w:color="auto" w:fill="auto"/>
                  <w:vAlign w:val="center"/>
                </w:tcPr>
                <w:p w14:paraId="0B6F00A3">
                  <w:pPr>
                    <w:widowControl/>
                    <w:jc w:val="center"/>
                    <w:textAlignment w:val="center"/>
                    <w:rPr>
                      <w:rFonts w:hint="eastAsia"/>
                      <w:color w:val="auto"/>
                      <w:sz w:val="18"/>
                      <w:szCs w:val="18"/>
                      <w:lang w:val="en-US" w:eastAsia="zh-CN"/>
                    </w:rPr>
                  </w:pPr>
                </w:p>
              </w:tc>
              <w:tc>
                <w:tcPr>
                  <w:tcW w:w="267" w:type="pct"/>
                  <w:tcBorders>
                    <w:tl2br w:val="nil"/>
                    <w:tr2bl w:val="nil"/>
                  </w:tcBorders>
                  <w:shd w:val="clear" w:color="auto" w:fill="auto"/>
                  <w:vAlign w:val="center"/>
                </w:tcPr>
                <w:p w14:paraId="7DD4BB12">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137.5 </w:t>
                  </w:r>
                </w:p>
              </w:tc>
              <w:tc>
                <w:tcPr>
                  <w:tcW w:w="261" w:type="pct"/>
                  <w:tcBorders>
                    <w:tl2br w:val="nil"/>
                    <w:tr2bl w:val="nil"/>
                  </w:tcBorders>
                  <w:shd w:val="clear" w:color="auto" w:fill="auto"/>
                  <w:vAlign w:val="center"/>
                </w:tcPr>
                <w:p w14:paraId="26E3E0F7">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0.062 </w:t>
                  </w:r>
                </w:p>
              </w:tc>
              <w:tc>
                <w:tcPr>
                  <w:tcW w:w="272" w:type="pct"/>
                  <w:tcBorders>
                    <w:tl2br w:val="nil"/>
                    <w:tr2bl w:val="nil"/>
                  </w:tcBorders>
                  <w:shd w:val="clear" w:color="auto" w:fill="auto"/>
                  <w:vAlign w:val="center"/>
                </w:tcPr>
                <w:p w14:paraId="7E224BD4">
                  <w:pPr>
                    <w:widowControl/>
                    <w:jc w:val="center"/>
                    <w:textAlignment w:val="center"/>
                    <w:rPr>
                      <w:rFonts w:hint="eastAsia"/>
                      <w:color w:val="auto"/>
                      <w:sz w:val="18"/>
                      <w:szCs w:val="18"/>
                      <w:lang w:val="en-US" w:eastAsia="zh-CN"/>
                    </w:rPr>
                  </w:pPr>
                  <w:r>
                    <w:rPr>
                      <w:rFonts w:hint="eastAsia"/>
                      <w:color w:val="auto"/>
                      <w:sz w:val="18"/>
                      <w:szCs w:val="18"/>
                      <w:lang w:val="en-US" w:eastAsia="zh-CN"/>
                    </w:rPr>
                    <w:t>0.187</w:t>
                  </w:r>
                </w:p>
              </w:tc>
              <w:tc>
                <w:tcPr>
                  <w:tcW w:w="285" w:type="pct"/>
                  <w:vMerge w:val="continue"/>
                  <w:tcBorders>
                    <w:tl2br w:val="nil"/>
                    <w:tr2bl w:val="nil"/>
                  </w:tcBorders>
                  <w:shd w:val="clear" w:color="auto" w:fill="auto"/>
                  <w:vAlign w:val="center"/>
                </w:tcPr>
                <w:p w14:paraId="3528B3D8">
                  <w:pPr>
                    <w:jc w:val="center"/>
                    <w:rPr>
                      <w:rFonts w:hint="eastAsia" w:ascii="宋体" w:hAnsi="宋体" w:cs="宋体"/>
                      <w:color w:val="auto"/>
                      <w:sz w:val="18"/>
                      <w:szCs w:val="18"/>
                      <w:lang w:val="en-US" w:eastAsia="zh-CN"/>
                    </w:rPr>
                  </w:pPr>
                </w:p>
              </w:tc>
              <w:tc>
                <w:tcPr>
                  <w:tcW w:w="167" w:type="pct"/>
                  <w:vMerge w:val="continue"/>
                  <w:tcBorders>
                    <w:tl2br w:val="nil"/>
                    <w:tr2bl w:val="nil"/>
                  </w:tcBorders>
                  <w:shd w:val="clear" w:color="auto" w:fill="auto"/>
                  <w:vAlign w:val="center"/>
                </w:tcPr>
                <w:p w14:paraId="044F7674">
                  <w:pPr>
                    <w:widowControl/>
                    <w:jc w:val="center"/>
                    <w:textAlignment w:val="center"/>
                    <w:rPr>
                      <w:rFonts w:hint="eastAsia"/>
                      <w:color w:val="auto"/>
                      <w:sz w:val="18"/>
                      <w:szCs w:val="18"/>
                      <w:lang w:val="en-US" w:eastAsia="zh-CN"/>
                    </w:rPr>
                  </w:pPr>
                </w:p>
              </w:tc>
              <w:tc>
                <w:tcPr>
                  <w:tcW w:w="168" w:type="pct"/>
                  <w:vMerge w:val="continue"/>
                  <w:tcBorders>
                    <w:tl2br w:val="nil"/>
                    <w:tr2bl w:val="nil"/>
                  </w:tcBorders>
                  <w:shd w:val="clear" w:color="auto" w:fill="auto"/>
                  <w:vAlign w:val="center"/>
                </w:tcPr>
                <w:p w14:paraId="5FFCD13F">
                  <w:pPr>
                    <w:widowControl/>
                    <w:jc w:val="center"/>
                    <w:textAlignment w:val="center"/>
                    <w:rPr>
                      <w:rFonts w:hint="eastAsia"/>
                      <w:color w:val="auto"/>
                      <w:sz w:val="18"/>
                      <w:szCs w:val="18"/>
                      <w:lang w:val="en-US" w:eastAsia="zh-CN"/>
                    </w:rPr>
                  </w:pPr>
                </w:p>
              </w:tc>
              <w:tc>
                <w:tcPr>
                  <w:tcW w:w="173" w:type="pct"/>
                  <w:vMerge w:val="continue"/>
                  <w:tcBorders>
                    <w:tl2br w:val="nil"/>
                    <w:tr2bl w:val="nil"/>
                  </w:tcBorders>
                  <w:shd w:val="clear" w:color="auto" w:fill="auto"/>
                  <w:vAlign w:val="center"/>
                </w:tcPr>
                <w:p w14:paraId="49F18BCD">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503A8288">
                  <w:pPr>
                    <w:widowControl/>
                    <w:jc w:val="center"/>
                    <w:textAlignment w:val="center"/>
                    <w:rPr>
                      <w:rFonts w:hint="eastAsia" w:ascii="宋体" w:hAnsi="宋体" w:cs="宋体"/>
                      <w:color w:val="auto"/>
                      <w:kern w:val="0"/>
                      <w:sz w:val="18"/>
                      <w:szCs w:val="18"/>
                      <w:lang w:bidi="ar"/>
                    </w:rPr>
                  </w:pPr>
                </w:p>
              </w:tc>
              <w:tc>
                <w:tcPr>
                  <w:tcW w:w="232" w:type="pct"/>
                  <w:tcBorders>
                    <w:tl2br w:val="nil"/>
                    <w:tr2bl w:val="nil"/>
                  </w:tcBorders>
                  <w:shd w:val="clear" w:color="auto" w:fill="auto"/>
                  <w:vAlign w:val="center"/>
                </w:tcPr>
                <w:p w14:paraId="1350ECA4">
                  <w:pPr>
                    <w:jc w:val="center"/>
                    <w:rPr>
                      <w:rFonts w:hint="default"/>
                      <w:color w:val="auto"/>
                      <w:sz w:val="18"/>
                      <w:szCs w:val="18"/>
                      <w:lang w:val="en-US" w:eastAsia="zh-CN"/>
                    </w:rPr>
                  </w:pPr>
                  <w:r>
                    <w:rPr>
                      <w:rFonts w:hint="eastAsia"/>
                      <w:color w:val="auto"/>
                      <w:sz w:val="18"/>
                      <w:szCs w:val="18"/>
                      <w:lang w:val="en-US" w:eastAsia="zh-CN"/>
                    </w:rPr>
                    <w:t>300</w:t>
                  </w:r>
                </w:p>
              </w:tc>
              <w:tc>
                <w:tcPr>
                  <w:tcW w:w="205" w:type="pct"/>
                  <w:tcBorders>
                    <w:tl2br w:val="nil"/>
                    <w:tr2bl w:val="nil"/>
                  </w:tcBorders>
                  <w:shd w:val="clear" w:color="auto" w:fill="auto"/>
                  <w:vAlign w:val="center"/>
                </w:tcPr>
                <w:p w14:paraId="53563DB1">
                  <w:pPr>
                    <w:jc w:val="center"/>
                    <w:rPr>
                      <w:rFonts w:hint="eastAsia"/>
                      <w:color w:val="auto"/>
                      <w:sz w:val="18"/>
                      <w:szCs w:val="18"/>
                      <w:lang w:val="en-US" w:eastAsia="zh-CN"/>
                    </w:rPr>
                  </w:pPr>
                  <w:r>
                    <w:rPr>
                      <w:rFonts w:hint="eastAsia"/>
                      <w:color w:val="auto"/>
                      <w:sz w:val="18"/>
                      <w:szCs w:val="18"/>
                      <w:lang w:val="en-US" w:eastAsia="zh-CN"/>
                    </w:rPr>
                    <w:t>/</w:t>
                  </w:r>
                </w:p>
              </w:tc>
            </w:tr>
            <w:tr w14:paraId="37AC64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tcBorders>
                    <w:tl2br w:val="nil"/>
                    <w:tr2bl w:val="nil"/>
                  </w:tcBorders>
                  <w:shd w:val="clear" w:color="auto" w:fill="auto"/>
                  <w:vAlign w:val="center"/>
                </w:tcPr>
                <w:p w14:paraId="781E33BE">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喷粉</w:t>
                  </w:r>
                </w:p>
              </w:tc>
              <w:tc>
                <w:tcPr>
                  <w:tcW w:w="151" w:type="pct"/>
                  <w:tcBorders>
                    <w:tl2br w:val="nil"/>
                    <w:tr2bl w:val="nil"/>
                  </w:tcBorders>
                  <w:shd w:val="clear" w:color="auto" w:fill="auto"/>
                  <w:vAlign w:val="center"/>
                </w:tcPr>
                <w:p w14:paraId="2A754D0E">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78781143">
                  <w:pPr>
                    <w:widowControl/>
                    <w:jc w:val="center"/>
                    <w:textAlignment w:val="center"/>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788" w:type="dxa"/>
                  <w:tcBorders>
                    <w:tl2br w:val="nil"/>
                    <w:tr2bl w:val="nil"/>
                  </w:tcBorders>
                  <w:shd w:val="clear" w:color="auto" w:fill="auto"/>
                  <w:vAlign w:val="center"/>
                </w:tcPr>
                <w:p w14:paraId="2515B83A">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1128.3 </w:t>
                  </w:r>
                </w:p>
              </w:tc>
              <w:tc>
                <w:tcPr>
                  <w:tcW w:w="700" w:type="dxa"/>
                  <w:tcBorders>
                    <w:tl2br w:val="nil"/>
                    <w:tr2bl w:val="nil"/>
                  </w:tcBorders>
                  <w:shd w:val="clear" w:color="auto" w:fill="auto"/>
                  <w:vAlign w:val="center"/>
                </w:tcPr>
                <w:p w14:paraId="5F0C1499">
                  <w:pPr>
                    <w:widowControl/>
                    <w:jc w:val="center"/>
                    <w:textAlignment w:val="center"/>
                    <w:rPr>
                      <w:rFonts w:hint="default"/>
                      <w:color w:val="auto"/>
                      <w:sz w:val="18"/>
                      <w:szCs w:val="18"/>
                      <w:lang w:val="en-US" w:eastAsia="zh-CN"/>
                    </w:rPr>
                  </w:pPr>
                  <w:r>
                    <w:rPr>
                      <w:rFonts w:hint="eastAsia"/>
                      <w:color w:val="auto"/>
                      <w:sz w:val="18"/>
                      <w:szCs w:val="18"/>
                      <w:lang w:val="en-US" w:eastAsia="zh-CN"/>
                    </w:rPr>
                    <w:t>11.283</w:t>
                  </w:r>
                </w:p>
              </w:tc>
              <w:tc>
                <w:tcPr>
                  <w:tcW w:w="700" w:type="dxa"/>
                  <w:tcBorders>
                    <w:tl2br w:val="nil"/>
                    <w:tr2bl w:val="nil"/>
                  </w:tcBorders>
                  <w:shd w:val="clear" w:color="auto" w:fill="auto"/>
                  <w:vAlign w:val="center"/>
                </w:tcPr>
                <w:p w14:paraId="405806E2">
                  <w:pPr>
                    <w:widowControl/>
                    <w:jc w:val="center"/>
                    <w:textAlignment w:val="center"/>
                    <w:rPr>
                      <w:rFonts w:hint="default"/>
                      <w:color w:val="auto"/>
                      <w:sz w:val="18"/>
                      <w:szCs w:val="18"/>
                      <w:lang w:val="en-US" w:eastAsia="zh-CN"/>
                    </w:rPr>
                  </w:pPr>
                  <w:r>
                    <w:rPr>
                      <w:rFonts w:hint="eastAsia"/>
                      <w:color w:val="auto"/>
                      <w:sz w:val="18"/>
                      <w:szCs w:val="18"/>
                      <w:lang w:val="en-US" w:eastAsia="zh-CN"/>
                    </w:rPr>
                    <w:t>81.240</w:t>
                  </w:r>
                </w:p>
              </w:tc>
              <w:tc>
                <w:tcPr>
                  <w:tcW w:w="263" w:type="pct"/>
                  <w:tcBorders>
                    <w:tl2br w:val="nil"/>
                    <w:tr2bl w:val="nil"/>
                  </w:tcBorders>
                  <w:shd w:val="clear" w:color="auto" w:fill="auto"/>
                  <w:vAlign w:val="center"/>
                </w:tcPr>
                <w:p w14:paraId="11015D4C">
                  <w:pPr>
                    <w:widowControl/>
                    <w:jc w:val="center"/>
                    <w:textAlignment w:val="center"/>
                    <w:rPr>
                      <w:rFonts w:hint="default"/>
                      <w:color w:val="auto"/>
                      <w:sz w:val="18"/>
                      <w:szCs w:val="18"/>
                      <w:lang w:val="en-US" w:eastAsia="zh-CN"/>
                    </w:rPr>
                  </w:pPr>
                  <w:r>
                    <w:rPr>
                      <w:rFonts w:hint="eastAsia"/>
                      <w:color w:val="auto"/>
                      <w:sz w:val="18"/>
                      <w:szCs w:val="18"/>
                      <w:lang w:val="en-US" w:eastAsia="zh-CN"/>
                    </w:rPr>
                    <w:t>10000</w:t>
                  </w:r>
                </w:p>
              </w:tc>
              <w:tc>
                <w:tcPr>
                  <w:tcW w:w="177" w:type="pct"/>
                  <w:tcBorders>
                    <w:tl2br w:val="nil"/>
                    <w:tr2bl w:val="nil"/>
                  </w:tcBorders>
                  <w:shd w:val="clear" w:color="auto" w:fill="auto"/>
                  <w:vAlign w:val="center"/>
                </w:tcPr>
                <w:p w14:paraId="4D8C1E0F">
                  <w:pPr>
                    <w:widowControl/>
                    <w:jc w:val="center"/>
                    <w:textAlignment w:val="center"/>
                    <w:rPr>
                      <w:rFonts w:hint="default"/>
                      <w:color w:val="auto"/>
                      <w:sz w:val="18"/>
                      <w:szCs w:val="18"/>
                      <w:lang w:val="en-US" w:eastAsia="zh-CN"/>
                    </w:rPr>
                  </w:pPr>
                  <w:r>
                    <w:rPr>
                      <w:rFonts w:hint="eastAsia"/>
                      <w:color w:val="auto"/>
                      <w:sz w:val="18"/>
                      <w:szCs w:val="18"/>
                      <w:lang w:val="en-US" w:eastAsia="zh-CN"/>
                    </w:rPr>
                    <w:t>100</w:t>
                  </w:r>
                </w:p>
              </w:tc>
              <w:tc>
                <w:tcPr>
                  <w:tcW w:w="203" w:type="pct"/>
                  <w:tcBorders>
                    <w:tl2br w:val="nil"/>
                    <w:tr2bl w:val="nil"/>
                  </w:tcBorders>
                  <w:shd w:val="clear" w:color="auto" w:fill="auto"/>
                  <w:vAlign w:val="center"/>
                </w:tcPr>
                <w:p w14:paraId="654487B6">
                  <w:pPr>
                    <w:widowControl/>
                    <w:jc w:val="center"/>
                    <w:textAlignment w:val="center"/>
                    <w:rPr>
                      <w:rFonts w:hint="default"/>
                      <w:color w:val="auto"/>
                      <w:sz w:val="18"/>
                      <w:szCs w:val="18"/>
                      <w:lang w:val="en-US" w:eastAsia="zh-CN"/>
                    </w:rPr>
                  </w:pPr>
                  <w:r>
                    <w:rPr>
                      <w:rFonts w:hint="eastAsia"/>
                      <w:color w:val="auto"/>
                      <w:sz w:val="18"/>
                      <w:szCs w:val="18"/>
                      <w:lang w:val="en-US" w:eastAsia="zh-CN"/>
                    </w:rPr>
                    <w:t>99</w:t>
                  </w:r>
                </w:p>
              </w:tc>
              <w:tc>
                <w:tcPr>
                  <w:tcW w:w="224" w:type="pct"/>
                  <w:tcBorders>
                    <w:tl2br w:val="nil"/>
                    <w:tr2bl w:val="nil"/>
                  </w:tcBorders>
                  <w:shd w:val="clear" w:color="auto" w:fill="auto"/>
                  <w:vAlign w:val="center"/>
                </w:tcPr>
                <w:p w14:paraId="05614B99">
                  <w:pPr>
                    <w:widowControl/>
                    <w:jc w:val="center"/>
                    <w:textAlignment w:val="center"/>
                    <w:rPr>
                      <w:rFonts w:hint="eastAsia"/>
                      <w:color w:val="auto"/>
                      <w:sz w:val="18"/>
                      <w:szCs w:val="18"/>
                      <w:lang w:val="en-US" w:eastAsia="zh-CN"/>
                    </w:rPr>
                  </w:pPr>
                  <w:r>
                    <w:rPr>
                      <w:rFonts w:hint="eastAsia"/>
                      <w:color w:val="auto"/>
                      <w:sz w:val="18"/>
                      <w:szCs w:val="18"/>
                      <w:lang w:val="en-US" w:eastAsia="zh-CN"/>
                    </w:rPr>
                    <w:t>是</w:t>
                  </w:r>
                </w:p>
              </w:tc>
              <w:tc>
                <w:tcPr>
                  <w:tcW w:w="300" w:type="pct"/>
                  <w:tcBorders>
                    <w:tl2br w:val="nil"/>
                    <w:tr2bl w:val="nil"/>
                  </w:tcBorders>
                  <w:shd w:val="clear" w:color="auto" w:fill="auto"/>
                  <w:vAlign w:val="center"/>
                </w:tcPr>
                <w:p w14:paraId="684EA172">
                  <w:pPr>
                    <w:widowControl/>
                    <w:jc w:val="center"/>
                    <w:textAlignment w:val="center"/>
                    <w:rPr>
                      <w:rFonts w:hint="eastAsia"/>
                      <w:color w:val="auto"/>
                      <w:sz w:val="18"/>
                      <w:szCs w:val="18"/>
                      <w:lang w:val="en-US" w:eastAsia="zh-CN"/>
                    </w:rPr>
                  </w:pPr>
                  <w:r>
                    <w:rPr>
                      <w:rFonts w:hint="eastAsia"/>
                      <w:color w:val="auto"/>
                      <w:sz w:val="18"/>
                      <w:szCs w:val="18"/>
                      <w:lang w:val="en-US" w:eastAsia="zh-CN"/>
                    </w:rPr>
                    <w:t>袋式除尘器</w:t>
                  </w:r>
                </w:p>
              </w:tc>
              <w:tc>
                <w:tcPr>
                  <w:tcW w:w="686" w:type="dxa"/>
                  <w:tcBorders>
                    <w:tl2br w:val="nil"/>
                    <w:tr2bl w:val="nil"/>
                  </w:tcBorders>
                  <w:shd w:val="clear" w:color="auto" w:fill="auto"/>
                  <w:vAlign w:val="center"/>
                </w:tcPr>
                <w:p w14:paraId="39390728">
                  <w:pPr>
                    <w:widowControl/>
                    <w:jc w:val="center"/>
                    <w:textAlignment w:val="center"/>
                    <w:rPr>
                      <w:rFonts w:hint="default"/>
                      <w:color w:val="auto"/>
                      <w:sz w:val="18"/>
                      <w:szCs w:val="18"/>
                      <w:lang w:val="en-US" w:eastAsia="zh-CN"/>
                    </w:rPr>
                  </w:pPr>
                  <w:r>
                    <w:rPr>
                      <w:rFonts w:hint="eastAsia"/>
                      <w:color w:val="auto"/>
                      <w:sz w:val="18"/>
                      <w:szCs w:val="18"/>
                      <w:lang w:val="en-US" w:eastAsia="zh-CN"/>
                    </w:rPr>
                    <w:t xml:space="preserve">11.3 </w:t>
                  </w:r>
                </w:p>
              </w:tc>
              <w:tc>
                <w:tcPr>
                  <w:tcW w:w="672" w:type="dxa"/>
                  <w:tcBorders>
                    <w:tl2br w:val="nil"/>
                    <w:tr2bl w:val="nil"/>
                  </w:tcBorders>
                  <w:shd w:val="clear" w:color="auto" w:fill="auto"/>
                  <w:vAlign w:val="center"/>
                </w:tcPr>
                <w:p w14:paraId="65FCCB0D">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0.113 </w:t>
                  </w:r>
                </w:p>
              </w:tc>
              <w:tc>
                <w:tcPr>
                  <w:tcW w:w="700" w:type="dxa"/>
                  <w:tcBorders>
                    <w:tl2br w:val="nil"/>
                    <w:tr2bl w:val="nil"/>
                  </w:tcBorders>
                  <w:shd w:val="clear" w:color="auto" w:fill="auto"/>
                  <w:vAlign w:val="center"/>
                </w:tcPr>
                <w:p w14:paraId="7E2C8040">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0.812 </w:t>
                  </w:r>
                </w:p>
              </w:tc>
              <w:tc>
                <w:tcPr>
                  <w:tcW w:w="285" w:type="pct"/>
                  <w:tcBorders>
                    <w:tl2br w:val="nil"/>
                    <w:tr2bl w:val="nil"/>
                  </w:tcBorders>
                  <w:shd w:val="clear" w:color="auto" w:fill="auto"/>
                  <w:vAlign w:val="center"/>
                </w:tcPr>
                <w:p w14:paraId="2AB37CE2">
                  <w:pPr>
                    <w:widowControl/>
                    <w:jc w:val="center"/>
                    <w:textAlignment w:val="center"/>
                    <w:rPr>
                      <w:rFonts w:hint="default"/>
                      <w:color w:val="auto"/>
                      <w:sz w:val="18"/>
                      <w:szCs w:val="18"/>
                      <w:lang w:val="en-US" w:eastAsia="zh-CN"/>
                    </w:rPr>
                  </w:pPr>
                  <w:r>
                    <w:rPr>
                      <w:rFonts w:hint="eastAsia"/>
                      <w:color w:val="auto"/>
                      <w:sz w:val="18"/>
                      <w:szCs w:val="18"/>
                      <w:lang w:val="en-US" w:eastAsia="zh-CN"/>
                    </w:rPr>
                    <w:t>DA008</w:t>
                  </w:r>
                </w:p>
              </w:tc>
              <w:tc>
                <w:tcPr>
                  <w:tcW w:w="167" w:type="pct"/>
                  <w:tcBorders>
                    <w:tl2br w:val="nil"/>
                    <w:tr2bl w:val="nil"/>
                  </w:tcBorders>
                  <w:shd w:val="clear" w:color="auto" w:fill="auto"/>
                  <w:vAlign w:val="center"/>
                </w:tcPr>
                <w:p w14:paraId="4D8CB9FC">
                  <w:pPr>
                    <w:widowControl/>
                    <w:jc w:val="center"/>
                    <w:textAlignment w:val="center"/>
                    <w:rPr>
                      <w:rFonts w:hint="eastAsia"/>
                      <w:color w:val="auto"/>
                      <w:sz w:val="18"/>
                      <w:szCs w:val="18"/>
                      <w:lang w:val="en-US" w:eastAsia="zh-CN"/>
                    </w:rPr>
                  </w:pPr>
                  <w:r>
                    <w:rPr>
                      <w:rFonts w:hint="default"/>
                      <w:color w:val="auto"/>
                      <w:sz w:val="18"/>
                      <w:szCs w:val="18"/>
                      <w:lang w:val="en-US" w:eastAsia="zh-CN"/>
                    </w:rPr>
                    <w:t>15</w:t>
                  </w:r>
                </w:p>
              </w:tc>
              <w:tc>
                <w:tcPr>
                  <w:tcW w:w="168" w:type="pct"/>
                  <w:tcBorders>
                    <w:tl2br w:val="nil"/>
                    <w:tr2bl w:val="nil"/>
                  </w:tcBorders>
                  <w:shd w:val="clear" w:color="auto" w:fill="auto"/>
                  <w:vAlign w:val="center"/>
                </w:tcPr>
                <w:p w14:paraId="11A2A3B1">
                  <w:pPr>
                    <w:widowControl/>
                    <w:jc w:val="center"/>
                    <w:textAlignment w:val="center"/>
                    <w:rPr>
                      <w:rFonts w:hint="eastAsia"/>
                      <w:color w:val="auto"/>
                      <w:sz w:val="18"/>
                      <w:szCs w:val="18"/>
                      <w:lang w:val="en-US" w:eastAsia="zh-CN"/>
                    </w:rPr>
                  </w:pPr>
                  <w:r>
                    <w:rPr>
                      <w:rFonts w:hint="default"/>
                      <w:color w:val="auto"/>
                      <w:sz w:val="18"/>
                      <w:szCs w:val="18"/>
                      <w:lang w:val="en-US" w:eastAsia="zh-CN"/>
                    </w:rPr>
                    <w:t>0.</w:t>
                  </w:r>
                  <w:r>
                    <w:rPr>
                      <w:rFonts w:hint="eastAsia"/>
                      <w:color w:val="auto"/>
                      <w:sz w:val="18"/>
                      <w:szCs w:val="18"/>
                      <w:lang w:val="en-US" w:eastAsia="zh-CN"/>
                    </w:rPr>
                    <w:t>5</w:t>
                  </w:r>
                </w:p>
              </w:tc>
              <w:tc>
                <w:tcPr>
                  <w:tcW w:w="173" w:type="pct"/>
                  <w:tcBorders>
                    <w:tl2br w:val="nil"/>
                    <w:tr2bl w:val="nil"/>
                  </w:tcBorders>
                  <w:shd w:val="clear" w:color="auto" w:fill="auto"/>
                  <w:vAlign w:val="center"/>
                </w:tcPr>
                <w:p w14:paraId="180AFA9F">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227" w:type="pct"/>
                  <w:tcBorders>
                    <w:tl2br w:val="nil"/>
                    <w:tr2bl w:val="nil"/>
                  </w:tcBorders>
                  <w:shd w:val="clear" w:color="auto" w:fill="auto"/>
                  <w:vAlign w:val="center"/>
                </w:tcPr>
                <w:p w14:paraId="427D75B6">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232" w:type="pct"/>
                  <w:tcBorders>
                    <w:tl2br w:val="nil"/>
                    <w:tr2bl w:val="nil"/>
                  </w:tcBorders>
                  <w:shd w:val="clear" w:color="auto" w:fill="auto"/>
                  <w:vAlign w:val="center"/>
                </w:tcPr>
                <w:p w14:paraId="22D8394E">
                  <w:pPr>
                    <w:jc w:val="center"/>
                    <w:rPr>
                      <w:rFonts w:hint="default"/>
                      <w:color w:val="auto"/>
                      <w:sz w:val="18"/>
                      <w:szCs w:val="18"/>
                      <w:lang w:val="en-US" w:eastAsia="zh-CN"/>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1CB89C35">
                  <w:pPr>
                    <w:jc w:val="center"/>
                    <w:rPr>
                      <w:rFonts w:hint="default"/>
                      <w:color w:val="auto"/>
                      <w:sz w:val="18"/>
                      <w:szCs w:val="18"/>
                      <w:lang w:val="en-US" w:eastAsia="zh-CN"/>
                    </w:rPr>
                  </w:pPr>
                  <w:r>
                    <w:rPr>
                      <w:rFonts w:hint="eastAsia"/>
                      <w:color w:val="auto"/>
                      <w:sz w:val="18"/>
                      <w:szCs w:val="18"/>
                      <w:lang w:val="en-US" w:eastAsia="zh-CN"/>
                    </w:rPr>
                    <w:t>/</w:t>
                  </w:r>
                </w:p>
              </w:tc>
            </w:tr>
            <w:tr w14:paraId="790F63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restart"/>
                  <w:tcBorders>
                    <w:tl2br w:val="nil"/>
                    <w:tr2bl w:val="nil"/>
                  </w:tcBorders>
                  <w:shd w:val="clear" w:color="auto" w:fill="auto"/>
                  <w:vAlign w:val="center"/>
                </w:tcPr>
                <w:p w14:paraId="6CD4F766">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喷粉固化</w:t>
                  </w:r>
                </w:p>
              </w:tc>
              <w:tc>
                <w:tcPr>
                  <w:tcW w:w="151" w:type="pct"/>
                  <w:vMerge w:val="restart"/>
                  <w:tcBorders>
                    <w:tl2br w:val="nil"/>
                    <w:tr2bl w:val="nil"/>
                  </w:tcBorders>
                  <w:shd w:val="clear" w:color="auto" w:fill="auto"/>
                  <w:vAlign w:val="center"/>
                </w:tcPr>
                <w:p w14:paraId="5318F06B">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1#车间</w:t>
                  </w:r>
                </w:p>
              </w:tc>
              <w:tc>
                <w:tcPr>
                  <w:tcW w:w="233" w:type="pct"/>
                  <w:tcBorders>
                    <w:tl2br w:val="nil"/>
                    <w:tr2bl w:val="nil"/>
                  </w:tcBorders>
                  <w:shd w:val="clear" w:color="auto" w:fill="auto"/>
                  <w:vAlign w:val="center"/>
                </w:tcPr>
                <w:p w14:paraId="32AF4A92">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非甲烷总烃</w:t>
                  </w:r>
                </w:p>
              </w:tc>
              <w:tc>
                <w:tcPr>
                  <w:tcW w:w="788" w:type="dxa"/>
                  <w:tcBorders>
                    <w:tl2br w:val="nil"/>
                    <w:tr2bl w:val="nil"/>
                  </w:tcBorders>
                  <w:shd w:val="clear" w:color="auto" w:fill="auto"/>
                  <w:vAlign w:val="center"/>
                </w:tcPr>
                <w:p w14:paraId="12EC254A">
                  <w:pPr>
                    <w:widowControl/>
                    <w:jc w:val="center"/>
                    <w:textAlignment w:val="center"/>
                    <w:rPr>
                      <w:rFonts w:hint="default"/>
                      <w:color w:val="auto"/>
                      <w:sz w:val="18"/>
                      <w:szCs w:val="18"/>
                      <w:lang w:val="en-US" w:eastAsia="zh-CN"/>
                    </w:rPr>
                  </w:pPr>
                  <w:r>
                    <w:rPr>
                      <w:rFonts w:hint="eastAsia"/>
                      <w:color w:val="auto"/>
                      <w:sz w:val="18"/>
                      <w:szCs w:val="18"/>
                      <w:lang w:val="en-US" w:eastAsia="zh-CN"/>
                    </w:rPr>
                    <w:t>18.0</w:t>
                  </w:r>
                </w:p>
              </w:tc>
              <w:tc>
                <w:tcPr>
                  <w:tcW w:w="700" w:type="dxa"/>
                  <w:tcBorders>
                    <w:tl2br w:val="nil"/>
                    <w:tr2bl w:val="nil"/>
                  </w:tcBorders>
                  <w:shd w:val="clear" w:color="auto" w:fill="auto"/>
                  <w:vAlign w:val="center"/>
                </w:tcPr>
                <w:p w14:paraId="37477447">
                  <w:pPr>
                    <w:widowControl/>
                    <w:jc w:val="center"/>
                    <w:textAlignment w:val="center"/>
                    <w:rPr>
                      <w:rFonts w:hint="eastAsia"/>
                      <w:color w:val="auto"/>
                      <w:sz w:val="18"/>
                      <w:szCs w:val="18"/>
                      <w:lang w:val="en-US" w:eastAsia="zh-CN"/>
                    </w:rPr>
                  </w:pPr>
                  <w:r>
                    <w:rPr>
                      <w:rFonts w:hint="eastAsia"/>
                      <w:color w:val="auto"/>
                      <w:sz w:val="18"/>
                      <w:szCs w:val="18"/>
                      <w:lang w:val="en-US" w:eastAsia="zh-CN"/>
                    </w:rPr>
                    <w:t>0.045</w:t>
                  </w:r>
                </w:p>
              </w:tc>
              <w:tc>
                <w:tcPr>
                  <w:tcW w:w="700" w:type="dxa"/>
                  <w:tcBorders>
                    <w:tl2br w:val="nil"/>
                    <w:tr2bl w:val="nil"/>
                  </w:tcBorders>
                  <w:shd w:val="clear" w:color="auto" w:fill="auto"/>
                  <w:vAlign w:val="center"/>
                </w:tcPr>
                <w:p w14:paraId="5FB16271">
                  <w:pPr>
                    <w:widowControl/>
                    <w:jc w:val="center"/>
                    <w:textAlignment w:val="center"/>
                    <w:rPr>
                      <w:rFonts w:hint="eastAsia"/>
                      <w:color w:val="auto"/>
                      <w:sz w:val="18"/>
                      <w:szCs w:val="18"/>
                      <w:lang w:val="en-US" w:eastAsia="zh-CN"/>
                    </w:rPr>
                  </w:pPr>
                  <w:r>
                    <w:rPr>
                      <w:rFonts w:hint="eastAsia"/>
                      <w:color w:val="auto"/>
                      <w:sz w:val="18"/>
                      <w:szCs w:val="18"/>
                      <w:lang w:val="en-US" w:eastAsia="zh-CN"/>
                    </w:rPr>
                    <w:t>0.325</w:t>
                  </w:r>
                </w:p>
              </w:tc>
              <w:tc>
                <w:tcPr>
                  <w:tcW w:w="263" w:type="pct"/>
                  <w:vMerge w:val="restart"/>
                  <w:tcBorders>
                    <w:tl2br w:val="nil"/>
                    <w:tr2bl w:val="nil"/>
                  </w:tcBorders>
                  <w:shd w:val="clear" w:color="auto" w:fill="auto"/>
                  <w:vAlign w:val="center"/>
                </w:tcPr>
                <w:p w14:paraId="32488A5E">
                  <w:pPr>
                    <w:widowControl/>
                    <w:jc w:val="center"/>
                    <w:textAlignment w:val="center"/>
                    <w:rPr>
                      <w:rFonts w:hint="default"/>
                      <w:color w:val="auto"/>
                      <w:sz w:val="18"/>
                      <w:szCs w:val="18"/>
                      <w:lang w:val="en-US" w:eastAsia="zh-CN"/>
                    </w:rPr>
                  </w:pPr>
                  <w:r>
                    <w:rPr>
                      <w:rFonts w:hint="eastAsia"/>
                      <w:color w:val="auto"/>
                      <w:sz w:val="18"/>
                      <w:szCs w:val="18"/>
                      <w:lang w:val="en-US" w:eastAsia="zh-CN"/>
                    </w:rPr>
                    <w:t>2500</w:t>
                  </w:r>
                </w:p>
              </w:tc>
              <w:tc>
                <w:tcPr>
                  <w:tcW w:w="177" w:type="pct"/>
                  <w:vMerge w:val="restart"/>
                  <w:tcBorders>
                    <w:tl2br w:val="nil"/>
                    <w:tr2bl w:val="nil"/>
                  </w:tcBorders>
                  <w:shd w:val="clear" w:color="auto" w:fill="auto"/>
                  <w:vAlign w:val="center"/>
                </w:tcPr>
                <w:p w14:paraId="6F719BBB">
                  <w:pPr>
                    <w:widowControl/>
                    <w:jc w:val="center"/>
                    <w:textAlignment w:val="center"/>
                    <w:rPr>
                      <w:rFonts w:hint="default"/>
                      <w:color w:val="auto"/>
                      <w:sz w:val="18"/>
                      <w:szCs w:val="18"/>
                      <w:lang w:val="en-US" w:eastAsia="zh-CN"/>
                    </w:rPr>
                  </w:pPr>
                  <w:r>
                    <w:rPr>
                      <w:rFonts w:hint="eastAsia"/>
                      <w:color w:val="auto"/>
                      <w:sz w:val="18"/>
                      <w:szCs w:val="18"/>
                      <w:lang w:val="en-US" w:eastAsia="zh-CN"/>
                    </w:rPr>
                    <w:t>100</w:t>
                  </w:r>
                </w:p>
              </w:tc>
              <w:tc>
                <w:tcPr>
                  <w:tcW w:w="203" w:type="pct"/>
                  <w:vMerge w:val="restart"/>
                  <w:tcBorders>
                    <w:tl2br w:val="nil"/>
                    <w:tr2bl w:val="nil"/>
                  </w:tcBorders>
                  <w:shd w:val="clear" w:color="auto" w:fill="auto"/>
                  <w:vAlign w:val="center"/>
                </w:tcPr>
                <w:p w14:paraId="388A1BAE">
                  <w:pPr>
                    <w:widowControl/>
                    <w:jc w:val="center"/>
                    <w:textAlignment w:val="center"/>
                    <w:rPr>
                      <w:rFonts w:hint="default"/>
                      <w:color w:val="auto"/>
                      <w:sz w:val="18"/>
                      <w:szCs w:val="18"/>
                      <w:lang w:val="en-US" w:eastAsia="zh-CN"/>
                    </w:rPr>
                  </w:pPr>
                  <w:r>
                    <w:rPr>
                      <w:rFonts w:hint="eastAsia"/>
                      <w:color w:val="auto"/>
                      <w:sz w:val="18"/>
                      <w:szCs w:val="18"/>
                      <w:lang w:val="en-US" w:eastAsia="zh-CN"/>
                    </w:rPr>
                    <w:t>50</w:t>
                  </w:r>
                </w:p>
              </w:tc>
              <w:tc>
                <w:tcPr>
                  <w:tcW w:w="224" w:type="pct"/>
                  <w:vMerge w:val="restart"/>
                  <w:tcBorders>
                    <w:tl2br w:val="nil"/>
                    <w:tr2bl w:val="nil"/>
                  </w:tcBorders>
                  <w:shd w:val="clear" w:color="auto" w:fill="auto"/>
                  <w:vAlign w:val="center"/>
                </w:tcPr>
                <w:p w14:paraId="29FA1A9A">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是</w:t>
                  </w:r>
                </w:p>
              </w:tc>
              <w:tc>
                <w:tcPr>
                  <w:tcW w:w="300" w:type="pct"/>
                  <w:vMerge w:val="restart"/>
                  <w:tcBorders>
                    <w:tl2br w:val="nil"/>
                    <w:tr2bl w:val="nil"/>
                  </w:tcBorders>
                  <w:shd w:val="clear" w:color="auto" w:fill="auto"/>
                  <w:vAlign w:val="center"/>
                </w:tcPr>
                <w:p w14:paraId="7C16BEA5">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水喷淋+干式过滤器+活性炭吸附</w:t>
                  </w:r>
                </w:p>
              </w:tc>
              <w:tc>
                <w:tcPr>
                  <w:tcW w:w="686" w:type="dxa"/>
                  <w:tcBorders>
                    <w:tl2br w:val="nil"/>
                    <w:tr2bl w:val="nil"/>
                  </w:tcBorders>
                  <w:shd w:val="clear" w:color="auto" w:fill="auto"/>
                  <w:vAlign w:val="center"/>
                </w:tcPr>
                <w:p w14:paraId="24DC2216">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9.0 </w:t>
                  </w:r>
                </w:p>
              </w:tc>
              <w:tc>
                <w:tcPr>
                  <w:tcW w:w="672" w:type="dxa"/>
                  <w:tcBorders>
                    <w:tl2br w:val="nil"/>
                    <w:tr2bl w:val="nil"/>
                  </w:tcBorders>
                  <w:shd w:val="clear" w:color="auto" w:fill="auto"/>
                  <w:vAlign w:val="center"/>
                </w:tcPr>
                <w:p w14:paraId="4AE32F20">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0.023 </w:t>
                  </w:r>
                </w:p>
              </w:tc>
              <w:tc>
                <w:tcPr>
                  <w:tcW w:w="700" w:type="dxa"/>
                  <w:tcBorders>
                    <w:tl2br w:val="nil"/>
                    <w:tr2bl w:val="nil"/>
                  </w:tcBorders>
                  <w:shd w:val="clear" w:color="auto" w:fill="auto"/>
                  <w:vAlign w:val="center"/>
                </w:tcPr>
                <w:p w14:paraId="73ACC460">
                  <w:pPr>
                    <w:widowControl/>
                    <w:jc w:val="center"/>
                    <w:textAlignment w:val="center"/>
                    <w:rPr>
                      <w:rFonts w:hint="eastAsia"/>
                      <w:color w:val="auto"/>
                      <w:sz w:val="18"/>
                      <w:szCs w:val="18"/>
                      <w:lang w:val="en-US" w:eastAsia="zh-CN"/>
                    </w:rPr>
                  </w:pPr>
                  <w:r>
                    <w:rPr>
                      <w:rFonts w:hint="eastAsia"/>
                      <w:color w:val="auto"/>
                      <w:sz w:val="18"/>
                      <w:szCs w:val="18"/>
                      <w:lang w:val="en-US" w:eastAsia="zh-CN"/>
                    </w:rPr>
                    <w:t xml:space="preserve">0.163 </w:t>
                  </w:r>
                </w:p>
              </w:tc>
              <w:tc>
                <w:tcPr>
                  <w:tcW w:w="285" w:type="pct"/>
                  <w:vMerge w:val="restart"/>
                  <w:tcBorders>
                    <w:tl2br w:val="nil"/>
                    <w:tr2bl w:val="nil"/>
                  </w:tcBorders>
                  <w:shd w:val="clear" w:color="auto" w:fill="auto"/>
                  <w:vAlign w:val="center"/>
                </w:tcPr>
                <w:p w14:paraId="58C9A6D7">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w:t>
                  </w:r>
                  <w:r>
                    <w:rPr>
                      <w:rFonts w:hint="eastAsia" w:cs="Times New Roman"/>
                      <w:color w:val="auto"/>
                      <w:sz w:val="18"/>
                      <w:szCs w:val="18"/>
                      <w:lang w:val="en-US" w:eastAsia="zh-CN"/>
                    </w:rPr>
                    <w:t>09</w:t>
                  </w:r>
                </w:p>
              </w:tc>
              <w:tc>
                <w:tcPr>
                  <w:tcW w:w="167" w:type="pct"/>
                  <w:vMerge w:val="restart"/>
                  <w:tcBorders>
                    <w:tl2br w:val="nil"/>
                    <w:tr2bl w:val="nil"/>
                  </w:tcBorders>
                  <w:shd w:val="clear" w:color="auto" w:fill="auto"/>
                  <w:vAlign w:val="center"/>
                </w:tcPr>
                <w:p w14:paraId="7D652128">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15</w:t>
                  </w:r>
                </w:p>
              </w:tc>
              <w:tc>
                <w:tcPr>
                  <w:tcW w:w="168" w:type="pct"/>
                  <w:vMerge w:val="restart"/>
                  <w:tcBorders>
                    <w:tl2br w:val="nil"/>
                    <w:tr2bl w:val="nil"/>
                  </w:tcBorders>
                  <w:shd w:val="clear" w:color="auto" w:fill="auto"/>
                  <w:vAlign w:val="center"/>
                </w:tcPr>
                <w:p w14:paraId="2228A2D1">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0.</w:t>
                  </w:r>
                  <w:r>
                    <w:rPr>
                      <w:rFonts w:hint="eastAsia"/>
                      <w:color w:val="auto"/>
                      <w:sz w:val="18"/>
                      <w:szCs w:val="18"/>
                      <w:lang w:val="en-US" w:eastAsia="zh-CN"/>
                    </w:rPr>
                    <w:t>3</w:t>
                  </w:r>
                </w:p>
              </w:tc>
              <w:tc>
                <w:tcPr>
                  <w:tcW w:w="173" w:type="pct"/>
                  <w:vMerge w:val="restart"/>
                  <w:tcBorders>
                    <w:tl2br w:val="nil"/>
                    <w:tr2bl w:val="nil"/>
                  </w:tcBorders>
                  <w:shd w:val="clear" w:color="auto" w:fill="auto"/>
                  <w:vAlign w:val="center"/>
                </w:tcPr>
                <w:p w14:paraId="612AF01C">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227" w:type="pct"/>
                  <w:vMerge w:val="restart"/>
                  <w:tcBorders>
                    <w:tl2br w:val="nil"/>
                    <w:tr2bl w:val="nil"/>
                  </w:tcBorders>
                  <w:shd w:val="clear" w:color="auto" w:fill="auto"/>
                  <w:vAlign w:val="center"/>
                </w:tcPr>
                <w:p w14:paraId="15CC3740">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232" w:type="pct"/>
                  <w:tcBorders>
                    <w:tl2br w:val="nil"/>
                    <w:tr2bl w:val="nil"/>
                  </w:tcBorders>
                  <w:shd w:val="clear" w:color="auto" w:fill="auto"/>
                  <w:vAlign w:val="center"/>
                </w:tcPr>
                <w:p w14:paraId="2F2D8F23">
                  <w:pPr>
                    <w:jc w:val="center"/>
                    <w:rPr>
                      <w:rFonts w:hint="default"/>
                      <w:color w:val="auto"/>
                      <w:sz w:val="18"/>
                      <w:szCs w:val="18"/>
                      <w:lang w:val="en-US" w:eastAsia="zh-CN"/>
                    </w:rPr>
                  </w:pPr>
                  <w:r>
                    <w:rPr>
                      <w:rFonts w:hint="eastAsia"/>
                      <w:color w:val="auto"/>
                      <w:sz w:val="18"/>
                      <w:szCs w:val="18"/>
                      <w:lang w:val="en-US" w:eastAsia="zh-CN"/>
                    </w:rPr>
                    <w:t>60</w:t>
                  </w:r>
                </w:p>
              </w:tc>
              <w:tc>
                <w:tcPr>
                  <w:tcW w:w="205" w:type="pct"/>
                  <w:tcBorders>
                    <w:tl2br w:val="nil"/>
                    <w:tr2bl w:val="nil"/>
                  </w:tcBorders>
                  <w:shd w:val="clear" w:color="auto" w:fill="auto"/>
                  <w:vAlign w:val="center"/>
                </w:tcPr>
                <w:p w14:paraId="59850370">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2.5</w:t>
                  </w:r>
                </w:p>
              </w:tc>
            </w:tr>
            <w:tr w14:paraId="4BB9E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7BC12568">
                  <w:pPr>
                    <w:widowControl/>
                    <w:jc w:val="center"/>
                    <w:textAlignment w:val="center"/>
                    <w:rPr>
                      <w:rFonts w:hint="default"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0A4BF5F0">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733554A9">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0310B284">
                  <w:pPr>
                    <w:keepNext w:val="0"/>
                    <w:keepLines w:val="0"/>
                    <w:widowControl/>
                    <w:suppressLineNumbers w:val="0"/>
                    <w:jc w:val="center"/>
                    <w:textAlignment w:val="center"/>
                    <w:rPr>
                      <w:rFonts w:hint="eastAsia"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14.4</w:t>
                  </w:r>
                </w:p>
              </w:tc>
              <w:tc>
                <w:tcPr>
                  <w:tcW w:w="272" w:type="pct"/>
                  <w:tcBorders>
                    <w:tl2br w:val="nil"/>
                    <w:tr2bl w:val="nil"/>
                  </w:tcBorders>
                  <w:shd w:val="clear" w:color="auto" w:fill="auto"/>
                  <w:vAlign w:val="center"/>
                </w:tcPr>
                <w:p w14:paraId="72CD82B2">
                  <w:pPr>
                    <w:widowControl/>
                    <w:jc w:val="center"/>
                    <w:textAlignment w:val="center"/>
                    <w:rPr>
                      <w:rFonts w:hint="eastAsia"/>
                      <w:color w:val="auto"/>
                      <w:sz w:val="18"/>
                      <w:szCs w:val="18"/>
                      <w:lang w:val="en-US" w:eastAsia="zh-CN"/>
                    </w:rPr>
                  </w:pPr>
                  <w:r>
                    <w:rPr>
                      <w:rFonts w:hint="eastAsia"/>
                      <w:color w:val="auto"/>
                      <w:sz w:val="18"/>
                      <w:szCs w:val="18"/>
                      <w:lang w:val="en-US" w:eastAsia="zh-CN"/>
                    </w:rPr>
                    <w:t>0.036</w:t>
                  </w:r>
                </w:p>
              </w:tc>
              <w:tc>
                <w:tcPr>
                  <w:tcW w:w="272" w:type="pct"/>
                  <w:tcBorders>
                    <w:tl2br w:val="nil"/>
                    <w:tr2bl w:val="nil"/>
                  </w:tcBorders>
                  <w:shd w:val="clear" w:color="auto" w:fill="auto"/>
                  <w:vAlign w:val="center"/>
                </w:tcPr>
                <w:p w14:paraId="5C3EFF09">
                  <w:pPr>
                    <w:widowControl/>
                    <w:jc w:val="center"/>
                    <w:textAlignment w:val="center"/>
                    <w:rPr>
                      <w:rFonts w:hint="eastAsia"/>
                      <w:color w:val="auto"/>
                      <w:sz w:val="18"/>
                      <w:szCs w:val="18"/>
                      <w:lang w:val="en-US" w:eastAsia="zh-CN"/>
                    </w:rPr>
                  </w:pPr>
                  <w:r>
                    <w:rPr>
                      <w:rFonts w:hint="eastAsia"/>
                      <w:color w:val="auto"/>
                      <w:sz w:val="18"/>
                      <w:szCs w:val="18"/>
                      <w:lang w:val="en-US" w:eastAsia="zh-CN"/>
                    </w:rPr>
                    <w:t>0.257</w:t>
                  </w:r>
                </w:p>
              </w:tc>
              <w:tc>
                <w:tcPr>
                  <w:tcW w:w="263" w:type="pct"/>
                  <w:vMerge w:val="continue"/>
                  <w:tcBorders>
                    <w:tl2br w:val="nil"/>
                    <w:tr2bl w:val="nil"/>
                  </w:tcBorders>
                  <w:shd w:val="clear" w:color="auto" w:fill="auto"/>
                  <w:vAlign w:val="center"/>
                </w:tcPr>
                <w:p w14:paraId="26D93457">
                  <w:pPr>
                    <w:widowControl/>
                    <w:jc w:val="center"/>
                    <w:textAlignment w:val="center"/>
                    <w:rPr>
                      <w:rFonts w:hint="eastAsia"/>
                      <w:color w:val="auto"/>
                      <w:sz w:val="18"/>
                      <w:szCs w:val="18"/>
                      <w:lang w:val="en-US" w:eastAsia="zh-CN"/>
                    </w:rPr>
                  </w:pPr>
                </w:p>
              </w:tc>
              <w:tc>
                <w:tcPr>
                  <w:tcW w:w="177" w:type="pct"/>
                  <w:vMerge w:val="continue"/>
                  <w:tcBorders>
                    <w:tl2br w:val="nil"/>
                    <w:tr2bl w:val="nil"/>
                  </w:tcBorders>
                  <w:shd w:val="clear" w:color="auto" w:fill="auto"/>
                  <w:vAlign w:val="center"/>
                </w:tcPr>
                <w:p w14:paraId="6FC31830">
                  <w:pPr>
                    <w:widowControl/>
                    <w:jc w:val="center"/>
                    <w:textAlignment w:val="center"/>
                    <w:rPr>
                      <w:rFonts w:hint="eastAsia"/>
                      <w:color w:val="auto"/>
                      <w:sz w:val="18"/>
                      <w:szCs w:val="18"/>
                      <w:lang w:val="en-US" w:eastAsia="zh-CN"/>
                    </w:rPr>
                  </w:pPr>
                </w:p>
              </w:tc>
              <w:tc>
                <w:tcPr>
                  <w:tcW w:w="203" w:type="pct"/>
                  <w:vMerge w:val="continue"/>
                  <w:tcBorders>
                    <w:tl2br w:val="nil"/>
                    <w:tr2bl w:val="nil"/>
                  </w:tcBorders>
                  <w:shd w:val="clear" w:color="auto" w:fill="auto"/>
                  <w:vAlign w:val="center"/>
                </w:tcPr>
                <w:p w14:paraId="2B5F7EAC">
                  <w:pPr>
                    <w:widowControl/>
                    <w:jc w:val="center"/>
                    <w:textAlignment w:val="center"/>
                    <w:rPr>
                      <w:rFonts w:hint="eastAsia"/>
                      <w:color w:val="auto"/>
                      <w:sz w:val="18"/>
                      <w:szCs w:val="18"/>
                      <w:lang w:val="en-US" w:eastAsia="zh-CN"/>
                    </w:rPr>
                  </w:pPr>
                </w:p>
              </w:tc>
              <w:tc>
                <w:tcPr>
                  <w:tcW w:w="224" w:type="pct"/>
                  <w:vMerge w:val="continue"/>
                  <w:tcBorders>
                    <w:tl2br w:val="nil"/>
                    <w:tr2bl w:val="nil"/>
                  </w:tcBorders>
                  <w:shd w:val="clear" w:color="auto" w:fill="auto"/>
                  <w:vAlign w:val="center"/>
                </w:tcPr>
                <w:p w14:paraId="5E34748C">
                  <w:pPr>
                    <w:widowControl/>
                    <w:jc w:val="center"/>
                    <w:textAlignment w:val="center"/>
                    <w:rPr>
                      <w:rFonts w:hint="eastAsia"/>
                      <w:color w:val="auto"/>
                      <w:sz w:val="18"/>
                      <w:szCs w:val="18"/>
                      <w:lang w:val="en-US" w:eastAsia="zh-CN"/>
                    </w:rPr>
                  </w:pPr>
                </w:p>
              </w:tc>
              <w:tc>
                <w:tcPr>
                  <w:tcW w:w="300" w:type="pct"/>
                  <w:vMerge w:val="continue"/>
                  <w:tcBorders>
                    <w:tl2br w:val="nil"/>
                    <w:tr2bl w:val="nil"/>
                  </w:tcBorders>
                  <w:shd w:val="clear" w:color="auto" w:fill="auto"/>
                  <w:vAlign w:val="center"/>
                </w:tcPr>
                <w:p w14:paraId="0CE1E507">
                  <w:pPr>
                    <w:widowControl/>
                    <w:jc w:val="center"/>
                    <w:textAlignment w:val="center"/>
                    <w:rPr>
                      <w:rFonts w:hint="eastAsia"/>
                      <w:color w:val="auto"/>
                      <w:sz w:val="18"/>
                      <w:szCs w:val="18"/>
                      <w:lang w:val="en-US" w:eastAsia="zh-CN"/>
                    </w:rPr>
                  </w:pPr>
                </w:p>
              </w:tc>
              <w:tc>
                <w:tcPr>
                  <w:tcW w:w="267" w:type="pct"/>
                  <w:tcBorders>
                    <w:tl2br w:val="nil"/>
                    <w:tr2bl w:val="nil"/>
                  </w:tcBorders>
                  <w:shd w:val="clear" w:color="auto" w:fill="auto"/>
                  <w:vAlign w:val="center"/>
                </w:tcPr>
                <w:p w14:paraId="50A5A6E2">
                  <w:pPr>
                    <w:keepNext w:val="0"/>
                    <w:keepLines w:val="0"/>
                    <w:widowControl/>
                    <w:suppressLineNumbers w:val="0"/>
                    <w:jc w:val="center"/>
                    <w:textAlignment w:val="center"/>
                    <w:rPr>
                      <w:rFonts w:hint="eastAsia"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14.4</w:t>
                  </w:r>
                </w:p>
              </w:tc>
              <w:tc>
                <w:tcPr>
                  <w:tcW w:w="261" w:type="pct"/>
                  <w:tcBorders>
                    <w:tl2br w:val="nil"/>
                    <w:tr2bl w:val="nil"/>
                  </w:tcBorders>
                  <w:shd w:val="clear" w:color="auto" w:fill="auto"/>
                  <w:vAlign w:val="center"/>
                </w:tcPr>
                <w:p w14:paraId="67A76981">
                  <w:pPr>
                    <w:widowControl/>
                    <w:jc w:val="center"/>
                    <w:textAlignment w:val="center"/>
                    <w:rPr>
                      <w:rFonts w:hint="eastAsia"/>
                      <w:color w:val="auto"/>
                      <w:sz w:val="18"/>
                      <w:szCs w:val="18"/>
                      <w:lang w:val="en-US" w:eastAsia="zh-CN"/>
                    </w:rPr>
                  </w:pPr>
                  <w:r>
                    <w:rPr>
                      <w:rFonts w:hint="eastAsia"/>
                      <w:color w:val="auto"/>
                      <w:sz w:val="18"/>
                      <w:szCs w:val="18"/>
                      <w:lang w:val="en-US" w:eastAsia="zh-CN"/>
                    </w:rPr>
                    <w:t>0.036</w:t>
                  </w:r>
                </w:p>
              </w:tc>
              <w:tc>
                <w:tcPr>
                  <w:tcW w:w="272" w:type="pct"/>
                  <w:tcBorders>
                    <w:tl2br w:val="nil"/>
                    <w:tr2bl w:val="nil"/>
                  </w:tcBorders>
                  <w:shd w:val="clear" w:color="auto" w:fill="auto"/>
                  <w:vAlign w:val="center"/>
                </w:tcPr>
                <w:p w14:paraId="4D04D60E">
                  <w:pPr>
                    <w:widowControl/>
                    <w:jc w:val="center"/>
                    <w:textAlignment w:val="center"/>
                    <w:rPr>
                      <w:rFonts w:hint="eastAsia"/>
                      <w:color w:val="auto"/>
                      <w:sz w:val="18"/>
                      <w:szCs w:val="18"/>
                      <w:lang w:val="en-US" w:eastAsia="zh-CN"/>
                    </w:rPr>
                  </w:pPr>
                  <w:r>
                    <w:rPr>
                      <w:rFonts w:hint="eastAsia"/>
                      <w:color w:val="auto"/>
                      <w:sz w:val="18"/>
                      <w:szCs w:val="18"/>
                      <w:lang w:val="en-US" w:eastAsia="zh-CN"/>
                    </w:rPr>
                    <w:t>0.257</w:t>
                  </w:r>
                </w:p>
              </w:tc>
              <w:tc>
                <w:tcPr>
                  <w:tcW w:w="285" w:type="pct"/>
                  <w:vMerge w:val="continue"/>
                  <w:tcBorders>
                    <w:tl2br w:val="nil"/>
                    <w:tr2bl w:val="nil"/>
                  </w:tcBorders>
                  <w:shd w:val="clear" w:color="auto" w:fill="auto"/>
                  <w:vAlign w:val="center"/>
                </w:tcPr>
                <w:p w14:paraId="08B06F84">
                  <w:pPr>
                    <w:jc w:val="center"/>
                    <w:rPr>
                      <w:rFonts w:hint="eastAsia" w:ascii="宋体" w:hAnsi="宋体" w:cs="宋体"/>
                      <w:color w:val="auto"/>
                      <w:sz w:val="18"/>
                      <w:szCs w:val="18"/>
                      <w:lang w:val="en-US" w:eastAsia="zh-CN"/>
                    </w:rPr>
                  </w:pPr>
                </w:p>
              </w:tc>
              <w:tc>
                <w:tcPr>
                  <w:tcW w:w="167" w:type="pct"/>
                  <w:vMerge w:val="continue"/>
                  <w:tcBorders>
                    <w:tl2br w:val="nil"/>
                    <w:tr2bl w:val="nil"/>
                  </w:tcBorders>
                  <w:shd w:val="clear" w:color="auto" w:fill="auto"/>
                  <w:vAlign w:val="center"/>
                </w:tcPr>
                <w:p w14:paraId="5D640661">
                  <w:pPr>
                    <w:widowControl/>
                    <w:jc w:val="center"/>
                    <w:textAlignment w:val="center"/>
                    <w:rPr>
                      <w:rFonts w:hint="eastAsia"/>
                      <w:color w:val="auto"/>
                      <w:sz w:val="18"/>
                      <w:szCs w:val="18"/>
                      <w:lang w:val="en-US" w:eastAsia="zh-CN"/>
                    </w:rPr>
                  </w:pPr>
                </w:p>
              </w:tc>
              <w:tc>
                <w:tcPr>
                  <w:tcW w:w="168" w:type="pct"/>
                  <w:vMerge w:val="continue"/>
                  <w:tcBorders>
                    <w:tl2br w:val="nil"/>
                    <w:tr2bl w:val="nil"/>
                  </w:tcBorders>
                  <w:shd w:val="clear" w:color="auto" w:fill="auto"/>
                  <w:vAlign w:val="center"/>
                </w:tcPr>
                <w:p w14:paraId="01A9EC9D">
                  <w:pPr>
                    <w:widowControl/>
                    <w:jc w:val="center"/>
                    <w:textAlignment w:val="center"/>
                    <w:rPr>
                      <w:rFonts w:hint="eastAsia"/>
                      <w:color w:val="auto"/>
                      <w:sz w:val="18"/>
                      <w:szCs w:val="18"/>
                      <w:lang w:val="en-US" w:eastAsia="zh-CN"/>
                    </w:rPr>
                  </w:pPr>
                </w:p>
              </w:tc>
              <w:tc>
                <w:tcPr>
                  <w:tcW w:w="173" w:type="pct"/>
                  <w:vMerge w:val="continue"/>
                  <w:tcBorders>
                    <w:tl2br w:val="nil"/>
                    <w:tr2bl w:val="nil"/>
                  </w:tcBorders>
                  <w:shd w:val="clear" w:color="auto" w:fill="auto"/>
                  <w:vAlign w:val="center"/>
                </w:tcPr>
                <w:p w14:paraId="7C2A7540">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2D798199">
                  <w:pPr>
                    <w:widowControl/>
                    <w:jc w:val="center"/>
                    <w:textAlignment w:val="center"/>
                    <w:rPr>
                      <w:rFonts w:hint="eastAsia" w:ascii="宋体" w:hAnsi="宋体" w:cs="宋体"/>
                      <w:color w:val="auto"/>
                      <w:kern w:val="0"/>
                      <w:sz w:val="18"/>
                      <w:szCs w:val="18"/>
                      <w:lang w:bidi="ar"/>
                    </w:rPr>
                  </w:pPr>
                </w:p>
              </w:tc>
              <w:tc>
                <w:tcPr>
                  <w:tcW w:w="232" w:type="pct"/>
                  <w:tcBorders>
                    <w:tl2br w:val="nil"/>
                    <w:tr2bl w:val="nil"/>
                  </w:tcBorders>
                  <w:shd w:val="clear" w:color="auto" w:fill="auto"/>
                  <w:vAlign w:val="center"/>
                </w:tcPr>
                <w:p w14:paraId="31E111F7">
                  <w:pPr>
                    <w:jc w:val="center"/>
                    <w:rPr>
                      <w:rFonts w:hint="default"/>
                      <w:color w:val="auto"/>
                      <w:sz w:val="18"/>
                      <w:szCs w:val="18"/>
                      <w:lang w:val="en-US" w:eastAsia="zh-CN"/>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0C18961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049E6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31613B50">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637F17BF">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72F75118">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二氧化硫</w:t>
                  </w:r>
                </w:p>
              </w:tc>
              <w:tc>
                <w:tcPr>
                  <w:tcW w:w="306" w:type="pct"/>
                  <w:tcBorders>
                    <w:tl2br w:val="nil"/>
                    <w:tr2bl w:val="nil"/>
                  </w:tcBorders>
                  <w:shd w:val="clear" w:color="auto" w:fill="auto"/>
                  <w:vAlign w:val="center"/>
                </w:tcPr>
                <w:p w14:paraId="63DC5338">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10.0</w:t>
                  </w:r>
                </w:p>
              </w:tc>
              <w:tc>
                <w:tcPr>
                  <w:tcW w:w="272" w:type="pct"/>
                  <w:tcBorders>
                    <w:tl2br w:val="nil"/>
                    <w:tr2bl w:val="nil"/>
                  </w:tcBorders>
                  <w:shd w:val="clear" w:color="auto" w:fill="auto"/>
                  <w:vAlign w:val="center"/>
                </w:tcPr>
                <w:p w14:paraId="2ED6BD9C">
                  <w:pPr>
                    <w:widowControl/>
                    <w:jc w:val="center"/>
                    <w:textAlignment w:val="center"/>
                    <w:rPr>
                      <w:rFonts w:hint="eastAsia"/>
                      <w:color w:val="auto"/>
                      <w:sz w:val="18"/>
                      <w:szCs w:val="18"/>
                      <w:lang w:val="en-US" w:eastAsia="zh-CN"/>
                    </w:rPr>
                  </w:pPr>
                  <w:r>
                    <w:rPr>
                      <w:rFonts w:hint="eastAsia"/>
                      <w:color w:val="auto"/>
                      <w:sz w:val="18"/>
                      <w:szCs w:val="18"/>
                      <w:lang w:val="en-US" w:eastAsia="zh-CN"/>
                    </w:rPr>
                    <w:t>0.025</w:t>
                  </w:r>
                </w:p>
              </w:tc>
              <w:tc>
                <w:tcPr>
                  <w:tcW w:w="272" w:type="pct"/>
                  <w:tcBorders>
                    <w:tl2br w:val="nil"/>
                    <w:tr2bl w:val="nil"/>
                  </w:tcBorders>
                  <w:shd w:val="clear" w:color="auto" w:fill="auto"/>
                  <w:vAlign w:val="center"/>
                </w:tcPr>
                <w:p w14:paraId="510749AD">
                  <w:pPr>
                    <w:widowControl/>
                    <w:jc w:val="center"/>
                    <w:textAlignment w:val="center"/>
                    <w:rPr>
                      <w:rFonts w:hint="eastAsia"/>
                      <w:color w:val="auto"/>
                      <w:sz w:val="18"/>
                      <w:szCs w:val="18"/>
                      <w:lang w:val="en-US" w:eastAsia="zh-CN"/>
                    </w:rPr>
                  </w:pPr>
                  <w:r>
                    <w:rPr>
                      <w:rFonts w:hint="eastAsia"/>
                      <w:color w:val="auto"/>
                      <w:sz w:val="18"/>
                      <w:szCs w:val="18"/>
                      <w:lang w:val="en-US" w:eastAsia="zh-CN"/>
                    </w:rPr>
                    <w:t>0.18</w:t>
                  </w:r>
                </w:p>
              </w:tc>
              <w:tc>
                <w:tcPr>
                  <w:tcW w:w="263" w:type="pct"/>
                  <w:vMerge w:val="continue"/>
                  <w:tcBorders>
                    <w:tl2br w:val="nil"/>
                    <w:tr2bl w:val="nil"/>
                  </w:tcBorders>
                  <w:shd w:val="clear" w:color="auto" w:fill="auto"/>
                  <w:vAlign w:val="center"/>
                </w:tcPr>
                <w:p w14:paraId="56D75E20">
                  <w:pPr>
                    <w:widowControl/>
                    <w:jc w:val="center"/>
                    <w:textAlignment w:val="center"/>
                    <w:rPr>
                      <w:rFonts w:hint="eastAsia"/>
                      <w:color w:val="auto"/>
                      <w:sz w:val="18"/>
                      <w:szCs w:val="18"/>
                      <w:lang w:val="en-US" w:eastAsia="zh-CN"/>
                    </w:rPr>
                  </w:pPr>
                </w:p>
              </w:tc>
              <w:tc>
                <w:tcPr>
                  <w:tcW w:w="177" w:type="pct"/>
                  <w:vMerge w:val="continue"/>
                  <w:tcBorders>
                    <w:tl2br w:val="nil"/>
                    <w:tr2bl w:val="nil"/>
                  </w:tcBorders>
                  <w:shd w:val="clear" w:color="auto" w:fill="auto"/>
                  <w:vAlign w:val="center"/>
                </w:tcPr>
                <w:p w14:paraId="67A08E93">
                  <w:pPr>
                    <w:widowControl/>
                    <w:jc w:val="center"/>
                    <w:textAlignment w:val="center"/>
                    <w:rPr>
                      <w:rFonts w:hint="eastAsia"/>
                      <w:color w:val="auto"/>
                      <w:sz w:val="18"/>
                      <w:szCs w:val="18"/>
                      <w:lang w:val="en-US" w:eastAsia="zh-CN"/>
                    </w:rPr>
                  </w:pPr>
                </w:p>
              </w:tc>
              <w:tc>
                <w:tcPr>
                  <w:tcW w:w="203" w:type="pct"/>
                  <w:vMerge w:val="continue"/>
                  <w:tcBorders>
                    <w:tl2br w:val="nil"/>
                    <w:tr2bl w:val="nil"/>
                  </w:tcBorders>
                  <w:shd w:val="clear" w:color="auto" w:fill="auto"/>
                  <w:vAlign w:val="center"/>
                </w:tcPr>
                <w:p w14:paraId="6D3922C3">
                  <w:pPr>
                    <w:widowControl/>
                    <w:jc w:val="center"/>
                    <w:textAlignment w:val="center"/>
                    <w:rPr>
                      <w:rFonts w:hint="eastAsia"/>
                      <w:color w:val="auto"/>
                      <w:sz w:val="18"/>
                      <w:szCs w:val="18"/>
                      <w:lang w:val="en-US" w:eastAsia="zh-CN"/>
                    </w:rPr>
                  </w:pPr>
                </w:p>
              </w:tc>
              <w:tc>
                <w:tcPr>
                  <w:tcW w:w="224" w:type="pct"/>
                  <w:vMerge w:val="continue"/>
                  <w:tcBorders>
                    <w:tl2br w:val="nil"/>
                    <w:tr2bl w:val="nil"/>
                  </w:tcBorders>
                  <w:shd w:val="clear" w:color="auto" w:fill="auto"/>
                  <w:vAlign w:val="center"/>
                </w:tcPr>
                <w:p w14:paraId="76ADD41C">
                  <w:pPr>
                    <w:widowControl/>
                    <w:jc w:val="center"/>
                    <w:textAlignment w:val="center"/>
                    <w:rPr>
                      <w:rFonts w:hint="eastAsia"/>
                      <w:color w:val="auto"/>
                      <w:sz w:val="18"/>
                      <w:szCs w:val="18"/>
                      <w:lang w:val="en-US" w:eastAsia="zh-CN"/>
                    </w:rPr>
                  </w:pPr>
                </w:p>
              </w:tc>
              <w:tc>
                <w:tcPr>
                  <w:tcW w:w="300" w:type="pct"/>
                  <w:vMerge w:val="continue"/>
                  <w:tcBorders>
                    <w:tl2br w:val="nil"/>
                    <w:tr2bl w:val="nil"/>
                  </w:tcBorders>
                  <w:shd w:val="clear" w:color="auto" w:fill="auto"/>
                  <w:vAlign w:val="center"/>
                </w:tcPr>
                <w:p w14:paraId="34E7981F">
                  <w:pPr>
                    <w:widowControl/>
                    <w:jc w:val="center"/>
                    <w:textAlignment w:val="center"/>
                    <w:rPr>
                      <w:rFonts w:hint="eastAsia"/>
                      <w:color w:val="auto"/>
                      <w:sz w:val="18"/>
                      <w:szCs w:val="18"/>
                      <w:lang w:val="en-US" w:eastAsia="zh-CN"/>
                    </w:rPr>
                  </w:pPr>
                </w:p>
              </w:tc>
              <w:tc>
                <w:tcPr>
                  <w:tcW w:w="267" w:type="pct"/>
                  <w:tcBorders>
                    <w:tl2br w:val="nil"/>
                    <w:tr2bl w:val="nil"/>
                  </w:tcBorders>
                  <w:shd w:val="clear" w:color="auto" w:fill="auto"/>
                  <w:vAlign w:val="center"/>
                </w:tcPr>
                <w:p w14:paraId="3DA0C09F">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10.0</w:t>
                  </w:r>
                </w:p>
              </w:tc>
              <w:tc>
                <w:tcPr>
                  <w:tcW w:w="261" w:type="pct"/>
                  <w:tcBorders>
                    <w:tl2br w:val="nil"/>
                    <w:tr2bl w:val="nil"/>
                  </w:tcBorders>
                  <w:shd w:val="clear" w:color="auto" w:fill="auto"/>
                  <w:vAlign w:val="center"/>
                </w:tcPr>
                <w:p w14:paraId="5DAE4EE9">
                  <w:pPr>
                    <w:widowControl/>
                    <w:jc w:val="center"/>
                    <w:textAlignment w:val="center"/>
                    <w:rPr>
                      <w:rFonts w:hint="eastAsia"/>
                      <w:color w:val="auto"/>
                      <w:sz w:val="18"/>
                      <w:szCs w:val="18"/>
                      <w:lang w:val="en-US" w:eastAsia="zh-CN"/>
                    </w:rPr>
                  </w:pPr>
                  <w:r>
                    <w:rPr>
                      <w:rFonts w:hint="eastAsia"/>
                      <w:color w:val="auto"/>
                      <w:sz w:val="18"/>
                      <w:szCs w:val="18"/>
                      <w:lang w:val="en-US" w:eastAsia="zh-CN"/>
                    </w:rPr>
                    <w:t>0.025</w:t>
                  </w:r>
                </w:p>
              </w:tc>
              <w:tc>
                <w:tcPr>
                  <w:tcW w:w="272" w:type="pct"/>
                  <w:tcBorders>
                    <w:tl2br w:val="nil"/>
                    <w:tr2bl w:val="nil"/>
                  </w:tcBorders>
                  <w:shd w:val="clear" w:color="auto" w:fill="auto"/>
                  <w:vAlign w:val="center"/>
                </w:tcPr>
                <w:p w14:paraId="60D47957">
                  <w:pPr>
                    <w:widowControl/>
                    <w:jc w:val="center"/>
                    <w:textAlignment w:val="center"/>
                    <w:rPr>
                      <w:rFonts w:hint="eastAsia"/>
                      <w:color w:val="auto"/>
                      <w:sz w:val="18"/>
                      <w:szCs w:val="18"/>
                      <w:lang w:val="en-US" w:eastAsia="zh-CN"/>
                    </w:rPr>
                  </w:pPr>
                  <w:r>
                    <w:rPr>
                      <w:rFonts w:hint="eastAsia"/>
                      <w:color w:val="auto"/>
                      <w:sz w:val="18"/>
                      <w:szCs w:val="18"/>
                      <w:lang w:val="en-US" w:eastAsia="zh-CN"/>
                    </w:rPr>
                    <w:t>0.18</w:t>
                  </w:r>
                </w:p>
              </w:tc>
              <w:tc>
                <w:tcPr>
                  <w:tcW w:w="285" w:type="pct"/>
                  <w:vMerge w:val="continue"/>
                  <w:tcBorders>
                    <w:tl2br w:val="nil"/>
                    <w:tr2bl w:val="nil"/>
                  </w:tcBorders>
                  <w:shd w:val="clear" w:color="auto" w:fill="auto"/>
                  <w:vAlign w:val="center"/>
                </w:tcPr>
                <w:p w14:paraId="2EA5DBFE">
                  <w:pPr>
                    <w:jc w:val="center"/>
                    <w:rPr>
                      <w:rFonts w:hint="eastAsia" w:ascii="宋体" w:hAnsi="宋体" w:cs="宋体"/>
                      <w:color w:val="auto"/>
                      <w:sz w:val="18"/>
                      <w:szCs w:val="18"/>
                      <w:lang w:val="en-US" w:eastAsia="zh-CN"/>
                    </w:rPr>
                  </w:pPr>
                </w:p>
              </w:tc>
              <w:tc>
                <w:tcPr>
                  <w:tcW w:w="167" w:type="pct"/>
                  <w:vMerge w:val="continue"/>
                  <w:tcBorders>
                    <w:tl2br w:val="nil"/>
                    <w:tr2bl w:val="nil"/>
                  </w:tcBorders>
                  <w:shd w:val="clear" w:color="auto" w:fill="auto"/>
                  <w:vAlign w:val="center"/>
                </w:tcPr>
                <w:p w14:paraId="5CB96208">
                  <w:pPr>
                    <w:widowControl/>
                    <w:jc w:val="center"/>
                    <w:textAlignment w:val="center"/>
                    <w:rPr>
                      <w:rFonts w:hint="eastAsia"/>
                      <w:color w:val="auto"/>
                      <w:sz w:val="18"/>
                      <w:szCs w:val="18"/>
                      <w:lang w:val="en-US" w:eastAsia="zh-CN"/>
                    </w:rPr>
                  </w:pPr>
                </w:p>
              </w:tc>
              <w:tc>
                <w:tcPr>
                  <w:tcW w:w="168" w:type="pct"/>
                  <w:vMerge w:val="continue"/>
                  <w:tcBorders>
                    <w:tl2br w:val="nil"/>
                    <w:tr2bl w:val="nil"/>
                  </w:tcBorders>
                  <w:shd w:val="clear" w:color="auto" w:fill="auto"/>
                  <w:vAlign w:val="center"/>
                </w:tcPr>
                <w:p w14:paraId="0DA38A83">
                  <w:pPr>
                    <w:widowControl/>
                    <w:jc w:val="center"/>
                    <w:textAlignment w:val="center"/>
                    <w:rPr>
                      <w:rFonts w:hint="eastAsia"/>
                      <w:color w:val="auto"/>
                      <w:sz w:val="18"/>
                      <w:szCs w:val="18"/>
                      <w:lang w:val="en-US" w:eastAsia="zh-CN"/>
                    </w:rPr>
                  </w:pPr>
                </w:p>
              </w:tc>
              <w:tc>
                <w:tcPr>
                  <w:tcW w:w="173" w:type="pct"/>
                  <w:vMerge w:val="continue"/>
                  <w:tcBorders>
                    <w:tl2br w:val="nil"/>
                    <w:tr2bl w:val="nil"/>
                  </w:tcBorders>
                  <w:shd w:val="clear" w:color="auto" w:fill="auto"/>
                  <w:vAlign w:val="center"/>
                </w:tcPr>
                <w:p w14:paraId="2EFA43A1">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7AC2E1DC">
                  <w:pPr>
                    <w:widowControl/>
                    <w:jc w:val="center"/>
                    <w:textAlignment w:val="center"/>
                    <w:rPr>
                      <w:rFonts w:hint="eastAsia" w:ascii="宋体" w:hAnsi="宋体" w:cs="宋体"/>
                      <w:color w:val="auto"/>
                      <w:kern w:val="0"/>
                      <w:sz w:val="18"/>
                      <w:szCs w:val="18"/>
                      <w:lang w:bidi="ar"/>
                    </w:rPr>
                  </w:pPr>
                </w:p>
              </w:tc>
              <w:tc>
                <w:tcPr>
                  <w:tcW w:w="232" w:type="pct"/>
                  <w:tcBorders>
                    <w:tl2br w:val="nil"/>
                    <w:tr2bl w:val="nil"/>
                  </w:tcBorders>
                  <w:shd w:val="clear" w:color="auto" w:fill="auto"/>
                  <w:vAlign w:val="center"/>
                </w:tcPr>
                <w:p w14:paraId="3F3C4867">
                  <w:pPr>
                    <w:jc w:val="center"/>
                    <w:rPr>
                      <w:rFonts w:hint="default"/>
                      <w:color w:val="auto"/>
                      <w:sz w:val="18"/>
                      <w:szCs w:val="18"/>
                      <w:lang w:val="en-US" w:eastAsia="zh-CN"/>
                    </w:rPr>
                  </w:pPr>
                  <w:r>
                    <w:rPr>
                      <w:rFonts w:hint="eastAsia"/>
                      <w:color w:val="auto"/>
                      <w:sz w:val="18"/>
                      <w:szCs w:val="18"/>
                      <w:lang w:val="en-US" w:eastAsia="zh-CN"/>
                    </w:rPr>
                    <w:t>200</w:t>
                  </w:r>
                </w:p>
              </w:tc>
              <w:tc>
                <w:tcPr>
                  <w:tcW w:w="205" w:type="pct"/>
                  <w:tcBorders>
                    <w:tl2br w:val="nil"/>
                    <w:tr2bl w:val="nil"/>
                  </w:tcBorders>
                  <w:shd w:val="clear" w:color="auto" w:fill="auto"/>
                  <w:vAlign w:val="center"/>
                </w:tcPr>
                <w:p w14:paraId="0279974A">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28373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07085734">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1580470E">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1A3A212B">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氮氧化物</w:t>
                  </w:r>
                </w:p>
              </w:tc>
              <w:tc>
                <w:tcPr>
                  <w:tcW w:w="306" w:type="pct"/>
                  <w:tcBorders>
                    <w:tl2br w:val="nil"/>
                    <w:tr2bl w:val="nil"/>
                  </w:tcBorders>
                  <w:shd w:val="clear" w:color="auto" w:fill="auto"/>
                  <w:vAlign w:val="center"/>
                </w:tcPr>
                <w:p w14:paraId="14472F41">
                  <w:pPr>
                    <w:keepNext w:val="0"/>
                    <w:keepLines w:val="0"/>
                    <w:widowControl/>
                    <w:suppressLineNumbers w:val="0"/>
                    <w:jc w:val="center"/>
                    <w:textAlignment w:val="center"/>
                    <w:rPr>
                      <w:rFonts w:hint="eastAsia"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93.6</w:t>
                  </w:r>
                </w:p>
              </w:tc>
              <w:tc>
                <w:tcPr>
                  <w:tcW w:w="272" w:type="pct"/>
                  <w:tcBorders>
                    <w:tl2br w:val="nil"/>
                    <w:tr2bl w:val="nil"/>
                  </w:tcBorders>
                  <w:shd w:val="clear" w:color="auto" w:fill="auto"/>
                  <w:vAlign w:val="center"/>
                </w:tcPr>
                <w:p w14:paraId="4EF36CB1">
                  <w:pPr>
                    <w:widowControl/>
                    <w:jc w:val="center"/>
                    <w:textAlignment w:val="center"/>
                    <w:rPr>
                      <w:rFonts w:hint="eastAsia"/>
                      <w:color w:val="auto"/>
                      <w:sz w:val="18"/>
                      <w:szCs w:val="18"/>
                      <w:lang w:val="en-US" w:eastAsia="zh-CN"/>
                    </w:rPr>
                  </w:pPr>
                  <w:r>
                    <w:rPr>
                      <w:rFonts w:hint="eastAsia"/>
                      <w:color w:val="auto"/>
                      <w:sz w:val="18"/>
                      <w:szCs w:val="18"/>
                      <w:lang w:val="en-US" w:eastAsia="zh-CN"/>
                    </w:rPr>
                    <w:t>0.234</w:t>
                  </w:r>
                </w:p>
              </w:tc>
              <w:tc>
                <w:tcPr>
                  <w:tcW w:w="272" w:type="pct"/>
                  <w:tcBorders>
                    <w:tl2br w:val="nil"/>
                    <w:tr2bl w:val="nil"/>
                  </w:tcBorders>
                  <w:shd w:val="clear" w:color="auto" w:fill="auto"/>
                  <w:vAlign w:val="center"/>
                </w:tcPr>
                <w:p w14:paraId="36C8D065">
                  <w:pPr>
                    <w:widowControl/>
                    <w:jc w:val="center"/>
                    <w:textAlignment w:val="center"/>
                    <w:rPr>
                      <w:rFonts w:hint="eastAsia"/>
                      <w:color w:val="auto"/>
                      <w:sz w:val="18"/>
                      <w:szCs w:val="18"/>
                      <w:lang w:val="en-US" w:eastAsia="zh-CN"/>
                    </w:rPr>
                  </w:pPr>
                  <w:r>
                    <w:rPr>
                      <w:rFonts w:hint="eastAsia"/>
                      <w:color w:val="auto"/>
                      <w:sz w:val="18"/>
                      <w:szCs w:val="18"/>
                      <w:lang w:val="en-US" w:eastAsia="zh-CN"/>
                    </w:rPr>
                    <w:t>1.683</w:t>
                  </w:r>
                </w:p>
              </w:tc>
              <w:tc>
                <w:tcPr>
                  <w:tcW w:w="263" w:type="pct"/>
                  <w:vMerge w:val="continue"/>
                  <w:tcBorders>
                    <w:tl2br w:val="nil"/>
                    <w:tr2bl w:val="nil"/>
                  </w:tcBorders>
                  <w:shd w:val="clear" w:color="auto" w:fill="auto"/>
                  <w:vAlign w:val="center"/>
                </w:tcPr>
                <w:p w14:paraId="41766500">
                  <w:pPr>
                    <w:widowControl/>
                    <w:jc w:val="center"/>
                    <w:textAlignment w:val="center"/>
                    <w:rPr>
                      <w:rFonts w:hint="eastAsia"/>
                      <w:color w:val="auto"/>
                      <w:sz w:val="18"/>
                      <w:szCs w:val="18"/>
                      <w:lang w:val="en-US" w:eastAsia="zh-CN"/>
                    </w:rPr>
                  </w:pPr>
                </w:p>
              </w:tc>
              <w:tc>
                <w:tcPr>
                  <w:tcW w:w="177" w:type="pct"/>
                  <w:vMerge w:val="continue"/>
                  <w:tcBorders>
                    <w:tl2br w:val="nil"/>
                    <w:tr2bl w:val="nil"/>
                  </w:tcBorders>
                  <w:shd w:val="clear" w:color="auto" w:fill="auto"/>
                  <w:vAlign w:val="center"/>
                </w:tcPr>
                <w:p w14:paraId="0B6F72CF">
                  <w:pPr>
                    <w:widowControl/>
                    <w:jc w:val="center"/>
                    <w:textAlignment w:val="center"/>
                    <w:rPr>
                      <w:rFonts w:hint="eastAsia"/>
                      <w:color w:val="auto"/>
                      <w:sz w:val="18"/>
                      <w:szCs w:val="18"/>
                      <w:lang w:val="en-US" w:eastAsia="zh-CN"/>
                    </w:rPr>
                  </w:pPr>
                </w:p>
              </w:tc>
              <w:tc>
                <w:tcPr>
                  <w:tcW w:w="203" w:type="pct"/>
                  <w:vMerge w:val="continue"/>
                  <w:tcBorders>
                    <w:tl2br w:val="nil"/>
                    <w:tr2bl w:val="nil"/>
                  </w:tcBorders>
                  <w:shd w:val="clear" w:color="auto" w:fill="auto"/>
                  <w:vAlign w:val="center"/>
                </w:tcPr>
                <w:p w14:paraId="14EDD85C">
                  <w:pPr>
                    <w:widowControl/>
                    <w:jc w:val="center"/>
                    <w:textAlignment w:val="center"/>
                    <w:rPr>
                      <w:rFonts w:hint="eastAsia"/>
                      <w:color w:val="auto"/>
                      <w:sz w:val="18"/>
                      <w:szCs w:val="18"/>
                      <w:lang w:val="en-US" w:eastAsia="zh-CN"/>
                    </w:rPr>
                  </w:pPr>
                </w:p>
              </w:tc>
              <w:tc>
                <w:tcPr>
                  <w:tcW w:w="224" w:type="pct"/>
                  <w:vMerge w:val="continue"/>
                  <w:tcBorders>
                    <w:tl2br w:val="nil"/>
                    <w:tr2bl w:val="nil"/>
                  </w:tcBorders>
                  <w:shd w:val="clear" w:color="auto" w:fill="auto"/>
                  <w:vAlign w:val="center"/>
                </w:tcPr>
                <w:p w14:paraId="7D84FF45">
                  <w:pPr>
                    <w:widowControl/>
                    <w:jc w:val="center"/>
                    <w:textAlignment w:val="center"/>
                    <w:rPr>
                      <w:rFonts w:hint="eastAsia"/>
                      <w:color w:val="auto"/>
                      <w:sz w:val="18"/>
                      <w:szCs w:val="18"/>
                      <w:lang w:val="en-US" w:eastAsia="zh-CN"/>
                    </w:rPr>
                  </w:pPr>
                </w:p>
              </w:tc>
              <w:tc>
                <w:tcPr>
                  <w:tcW w:w="300" w:type="pct"/>
                  <w:vMerge w:val="continue"/>
                  <w:tcBorders>
                    <w:tl2br w:val="nil"/>
                    <w:tr2bl w:val="nil"/>
                  </w:tcBorders>
                  <w:shd w:val="clear" w:color="auto" w:fill="auto"/>
                  <w:vAlign w:val="center"/>
                </w:tcPr>
                <w:p w14:paraId="060F23F7">
                  <w:pPr>
                    <w:widowControl/>
                    <w:jc w:val="center"/>
                    <w:textAlignment w:val="center"/>
                    <w:rPr>
                      <w:rFonts w:hint="eastAsia"/>
                      <w:color w:val="auto"/>
                      <w:sz w:val="18"/>
                      <w:szCs w:val="18"/>
                      <w:lang w:val="en-US" w:eastAsia="zh-CN"/>
                    </w:rPr>
                  </w:pPr>
                </w:p>
              </w:tc>
              <w:tc>
                <w:tcPr>
                  <w:tcW w:w="267" w:type="pct"/>
                  <w:tcBorders>
                    <w:tl2br w:val="nil"/>
                    <w:tr2bl w:val="nil"/>
                  </w:tcBorders>
                  <w:shd w:val="clear" w:color="auto" w:fill="auto"/>
                  <w:vAlign w:val="center"/>
                </w:tcPr>
                <w:p w14:paraId="40E20B12">
                  <w:pPr>
                    <w:keepNext w:val="0"/>
                    <w:keepLines w:val="0"/>
                    <w:widowControl/>
                    <w:suppressLineNumbers w:val="0"/>
                    <w:jc w:val="center"/>
                    <w:textAlignment w:val="center"/>
                    <w:rPr>
                      <w:rFonts w:hint="eastAsia"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93.6</w:t>
                  </w:r>
                </w:p>
              </w:tc>
              <w:tc>
                <w:tcPr>
                  <w:tcW w:w="261" w:type="pct"/>
                  <w:tcBorders>
                    <w:tl2br w:val="nil"/>
                    <w:tr2bl w:val="nil"/>
                  </w:tcBorders>
                  <w:shd w:val="clear" w:color="auto" w:fill="auto"/>
                  <w:vAlign w:val="center"/>
                </w:tcPr>
                <w:p w14:paraId="6942B0D6">
                  <w:pPr>
                    <w:widowControl/>
                    <w:jc w:val="center"/>
                    <w:textAlignment w:val="center"/>
                    <w:rPr>
                      <w:rFonts w:hint="eastAsia"/>
                      <w:color w:val="auto"/>
                      <w:sz w:val="18"/>
                      <w:szCs w:val="18"/>
                      <w:lang w:val="en-US" w:eastAsia="zh-CN"/>
                    </w:rPr>
                  </w:pPr>
                  <w:r>
                    <w:rPr>
                      <w:rFonts w:hint="eastAsia"/>
                      <w:color w:val="auto"/>
                      <w:sz w:val="18"/>
                      <w:szCs w:val="18"/>
                      <w:lang w:val="en-US" w:eastAsia="zh-CN"/>
                    </w:rPr>
                    <w:t>0.234</w:t>
                  </w:r>
                </w:p>
              </w:tc>
              <w:tc>
                <w:tcPr>
                  <w:tcW w:w="272" w:type="pct"/>
                  <w:tcBorders>
                    <w:tl2br w:val="nil"/>
                    <w:tr2bl w:val="nil"/>
                  </w:tcBorders>
                  <w:shd w:val="clear" w:color="auto" w:fill="auto"/>
                  <w:vAlign w:val="center"/>
                </w:tcPr>
                <w:p w14:paraId="0E9D25AB">
                  <w:pPr>
                    <w:widowControl/>
                    <w:jc w:val="center"/>
                    <w:textAlignment w:val="center"/>
                    <w:rPr>
                      <w:rFonts w:hint="eastAsia"/>
                      <w:color w:val="auto"/>
                      <w:sz w:val="18"/>
                      <w:szCs w:val="18"/>
                      <w:lang w:val="en-US" w:eastAsia="zh-CN"/>
                    </w:rPr>
                  </w:pPr>
                  <w:r>
                    <w:rPr>
                      <w:rFonts w:hint="eastAsia"/>
                      <w:color w:val="auto"/>
                      <w:sz w:val="18"/>
                      <w:szCs w:val="18"/>
                      <w:lang w:val="en-US" w:eastAsia="zh-CN"/>
                    </w:rPr>
                    <w:t>1.683</w:t>
                  </w:r>
                </w:p>
              </w:tc>
              <w:tc>
                <w:tcPr>
                  <w:tcW w:w="285" w:type="pct"/>
                  <w:vMerge w:val="continue"/>
                  <w:tcBorders>
                    <w:tl2br w:val="nil"/>
                    <w:tr2bl w:val="nil"/>
                  </w:tcBorders>
                  <w:shd w:val="clear" w:color="auto" w:fill="auto"/>
                  <w:vAlign w:val="center"/>
                </w:tcPr>
                <w:p w14:paraId="56CC7A22">
                  <w:pPr>
                    <w:jc w:val="center"/>
                    <w:rPr>
                      <w:rFonts w:hint="eastAsia" w:ascii="宋体" w:hAnsi="宋体" w:cs="宋体"/>
                      <w:color w:val="auto"/>
                      <w:sz w:val="18"/>
                      <w:szCs w:val="18"/>
                      <w:lang w:val="en-US" w:eastAsia="zh-CN"/>
                    </w:rPr>
                  </w:pPr>
                </w:p>
              </w:tc>
              <w:tc>
                <w:tcPr>
                  <w:tcW w:w="167" w:type="pct"/>
                  <w:vMerge w:val="continue"/>
                  <w:tcBorders>
                    <w:tl2br w:val="nil"/>
                    <w:tr2bl w:val="nil"/>
                  </w:tcBorders>
                  <w:shd w:val="clear" w:color="auto" w:fill="auto"/>
                  <w:vAlign w:val="center"/>
                </w:tcPr>
                <w:p w14:paraId="469EBEB5">
                  <w:pPr>
                    <w:widowControl/>
                    <w:jc w:val="center"/>
                    <w:textAlignment w:val="center"/>
                    <w:rPr>
                      <w:rFonts w:hint="eastAsia"/>
                      <w:color w:val="auto"/>
                      <w:sz w:val="18"/>
                      <w:szCs w:val="18"/>
                      <w:lang w:val="en-US" w:eastAsia="zh-CN"/>
                    </w:rPr>
                  </w:pPr>
                </w:p>
              </w:tc>
              <w:tc>
                <w:tcPr>
                  <w:tcW w:w="168" w:type="pct"/>
                  <w:vMerge w:val="continue"/>
                  <w:tcBorders>
                    <w:tl2br w:val="nil"/>
                    <w:tr2bl w:val="nil"/>
                  </w:tcBorders>
                  <w:shd w:val="clear" w:color="auto" w:fill="auto"/>
                  <w:vAlign w:val="center"/>
                </w:tcPr>
                <w:p w14:paraId="69761D53">
                  <w:pPr>
                    <w:widowControl/>
                    <w:jc w:val="center"/>
                    <w:textAlignment w:val="center"/>
                    <w:rPr>
                      <w:rFonts w:hint="eastAsia"/>
                      <w:color w:val="auto"/>
                      <w:sz w:val="18"/>
                      <w:szCs w:val="18"/>
                      <w:lang w:val="en-US" w:eastAsia="zh-CN"/>
                    </w:rPr>
                  </w:pPr>
                </w:p>
              </w:tc>
              <w:tc>
                <w:tcPr>
                  <w:tcW w:w="173" w:type="pct"/>
                  <w:vMerge w:val="continue"/>
                  <w:tcBorders>
                    <w:tl2br w:val="nil"/>
                    <w:tr2bl w:val="nil"/>
                  </w:tcBorders>
                  <w:shd w:val="clear" w:color="auto" w:fill="auto"/>
                  <w:vAlign w:val="center"/>
                </w:tcPr>
                <w:p w14:paraId="3024F0B9">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6D7BA064">
                  <w:pPr>
                    <w:widowControl/>
                    <w:jc w:val="center"/>
                    <w:textAlignment w:val="center"/>
                    <w:rPr>
                      <w:rFonts w:hint="eastAsia" w:ascii="宋体" w:hAnsi="宋体" w:cs="宋体"/>
                      <w:color w:val="auto"/>
                      <w:kern w:val="0"/>
                      <w:sz w:val="18"/>
                      <w:szCs w:val="18"/>
                      <w:lang w:bidi="ar"/>
                    </w:rPr>
                  </w:pPr>
                </w:p>
              </w:tc>
              <w:tc>
                <w:tcPr>
                  <w:tcW w:w="232" w:type="pct"/>
                  <w:tcBorders>
                    <w:tl2br w:val="nil"/>
                    <w:tr2bl w:val="nil"/>
                  </w:tcBorders>
                  <w:shd w:val="clear" w:color="auto" w:fill="auto"/>
                  <w:vAlign w:val="center"/>
                </w:tcPr>
                <w:p w14:paraId="77E73DD0">
                  <w:pPr>
                    <w:jc w:val="center"/>
                    <w:rPr>
                      <w:rFonts w:hint="default"/>
                      <w:color w:val="auto"/>
                      <w:sz w:val="18"/>
                      <w:szCs w:val="18"/>
                      <w:lang w:val="en-US" w:eastAsia="zh-CN"/>
                    </w:rPr>
                  </w:pPr>
                  <w:r>
                    <w:rPr>
                      <w:rFonts w:hint="eastAsia"/>
                      <w:color w:val="auto"/>
                      <w:sz w:val="18"/>
                      <w:szCs w:val="18"/>
                      <w:lang w:val="en-US" w:eastAsia="zh-CN"/>
                    </w:rPr>
                    <w:t>300</w:t>
                  </w:r>
                </w:p>
              </w:tc>
              <w:tc>
                <w:tcPr>
                  <w:tcW w:w="205" w:type="pct"/>
                  <w:tcBorders>
                    <w:tl2br w:val="nil"/>
                    <w:tr2bl w:val="nil"/>
                  </w:tcBorders>
                  <w:shd w:val="clear" w:color="auto" w:fill="auto"/>
                  <w:vAlign w:val="center"/>
                </w:tcPr>
                <w:p w14:paraId="59D95DB2">
                  <w:pPr>
                    <w:jc w:val="center"/>
                    <w:rPr>
                      <w:rFonts w:hint="default"/>
                      <w:color w:val="auto"/>
                      <w:sz w:val="18"/>
                      <w:szCs w:val="18"/>
                      <w:lang w:val="en-US" w:eastAsia="zh-CN"/>
                    </w:rPr>
                  </w:pPr>
                  <w:r>
                    <w:rPr>
                      <w:rFonts w:hint="eastAsia"/>
                      <w:color w:val="auto"/>
                      <w:sz w:val="18"/>
                      <w:szCs w:val="18"/>
                      <w:lang w:val="en-US" w:eastAsia="zh-CN"/>
                    </w:rPr>
                    <w:t>/</w:t>
                  </w:r>
                </w:p>
              </w:tc>
            </w:tr>
            <w:tr w14:paraId="42F62A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tcBorders>
                    <w:tl2br w:val="nil"/>
                    <w:tr2bl w:val="nil"/>
                  </w:tcBorders>
                  <w:shd w:val="clear" w:color="auto" w:fill="auto"/>
                  <w:vAlign w:val="center"/>
                </w:tcPr>
                <w:p w14:paraId="59A0407A">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投料、拌料</w:t>
                  </w:r>
                </w:p>
              </w:tc>
              <w:tc>
                <w:tcPr>
                  <w:tcW w:w="151" w:type="pct"/>
                  <w:tcBorders>
                    <w:tl2br w:val="nil"/>
                    <w:tr2bl w:val="nil"/>
                  </w:tcBorders>
                  <w:shd w:val="clear" w:color="auto" w:fill="auto"/>
                  <w:vAlign w:val="center"/>
                </w:tcPr>
                <w:p w14:paraId="553D3F8E">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2#车间</w:t>
                  </w:r>
                </w:p>
              </w:tc>
              <w:tc>
                <w:tcPr>
                  <w:tcW w:w="233" w:type="pct"/>
                  <w:tcBorders>
                    <w:tl2br w:val="nil"/>
                    <w:tr2bl w:val="nil"/>
                  </w:tcBorders>
                  <w:shd w:val="clear" w:color="auto" w:fill="auto"/>
                  <w:vAlign w:val="center"/>
                </w:tcPr>
                <w:p w14:paraId="48B3225A">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6C622E11">
                  <w:pPr>
                    <w:keepNext w:val="0"/>
                    <w:keepLines w:val="0"/>
                    <w:widowControl/>
                    <w:suppressLineNumbers w:val="0"/>
                    <w:jc w:val="center"/>
                    <w:textAlignment w:val="center"/>
                    <w:rPr>
                      <w:rFonts w:hint="default"/>
                      <w:color w:val="auto"/>
                      <w:sz w:val="18"/>
                      <w:szCs w:val="18"/>
                      <w:lang w:val="en-US" w:eastAsia="zh-CN"/>
                    </w:rPr>
                  </w:pPr>
                  <w:r>
                    <w:rPr>
                      <w:rFonts w:hint="eastAsia" w:cs="Times New Roman"/>
                      <w:i w:val="0"/>
                      <w:iCs w:val="0"/>
                      <w:color w:val="auto"/>
                      <w:kern w:val="0"/>
                      <w:sz w:val="18"/>
                      <w:szCs w:val="18"/>
                      <w:u w:val="none"/>
                      <w:lang w:val="en-US" w:eastAsia="zh-CN" w:bidi="ar"/>
                    </w:rPr>
                    <w:t>66.8</w:t>
                  </w:r>
                </w:p>
              </w:tc>
              <w:tc>
                <w:tcPr>
                  <w:tcW w:w="272" w:type="pct"/>
                  <w:tcBorders>
                    <w:tl2br w:val="nil"/>
                    <w:tr2bl w:val="nil"/>
                  </w:tcBorders>
                  <w:shd w:val="clear" w:color="auto" w:fill="auto"/>
                  <w:vAlign w:val="center"/>
                </w:tcPr>
                <w:p w14:paraId="48A09168">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0.401</w:t>
                  </w:r>
                </w:p>
              </w:tc>
              <w:tc>
                <w:tcPr>
                  <w:tcW w:w="272" w:type="pct"/>
                  <w:tcBorders>
                    <w:tl2br w:val="nil"/>
                    <w:tr2bl w:val="nil"/>
                  </w:tcBorders>
                  <w:shd w:val="clear" w:color="auto" w:fill="auto"/>
                  <w:vAlign w:val="center"/>
                </w:tcPr>
                <w:p w14:paraId="38C6796D">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1.926</w:t>
                  </w:r>
                </w:p>
              </w:tc>
              <w:tc>
                <w:tcPr>
                  <w:tcW w:w="263" w:type="pct"/>
                  <w:tcBorders>
                    <w:tl2br w:val="nil"/>
                    <w:tr2bl w:val="nil"/>
                  </w:tcBorders>
                  <w:shd w:val="clear" w:color="auto" w:fill="auto"/>
                  <w:vAlign w:val="center"/>
                </w:tcPr>
                <w:p w14:paraId="1A949E2B">
                  <w:pPr>
                    <w:widowControl/>
                    <w:jc w:val="center"/>
                    <w:textAlignment w:val="center"/>
                    <w:rPr>
                      <w:rFonts w:hint="default"/>
                      <w:color w:val="auto"/>
                      <w:sz w:val="18"/>
                      <w:szCs w:val="18"/>
                      <w:lang w:val="en-US" w:eastAsia="zh-CN"/>
                    </w:rPr>
                  </w:pPr>
                  <w:r>
                    <w:rPr>
                      <w:rFonts w:hint="eastAsia"/>
                      <w:color w:val="auto"/>
                      <w:sz w:val="18"/>
                      <w:szCs w:val="18"/>
                      <w:lang w:val="en-US" w:eastAsia="zh-CN"/>
                    </w:rPr>
                    <w:t>6000</w:t>
                  </w:r>
                </w:p>
              </w:tc>
              <w:tc>
                <w:tcPr>
                  <w:tcW w:w="177" w:type="pct"/>
                  <w:tcBorders>
                    <w:tl2br w:val="nil"/>
                    <w:tr2bl w:val="nil"/>
                  </w:tcBorders>
                  <w:shd w:val="clear" w:color="auto" w:fill="auto"/>
                  <w:vAlign w:val="center"/>
                </w:tcPr>
                <w:p w14:paraId="506A6C9C">
                  <w:pPr>
                    <w:widowControl/>
                    <w:jc w:val="center"/>
                    <w:textAlignment w:val="center"/>
                    <w:rPr>
                      <w:rFonts w:hint="default"/>
                      <w:color w:val="auto"/>
                      <w:sz w:val="18"/>
                      <w:szCs w:val="18"/>
                      <w:lang w:val="en-US" w:eastAsia="zh-CN"/>
                    </w:rPr>
                  </w:pPr>
                  <w:r>
                    <w:rPr>
                      <w:rFonts w:hint="eastAsia"/>
                      <w:color w:val="auto"/>
                      <w:sz w:val="18"/>
                      <w:szCs w:val="18"/>
                      <w:lang w:val="en-US" w:eastAsia="zh-CN"/>
                    </w:rPr>
                    <w:t>80</w:t>
                  </w:r>
                </w:p>
              </w:tc>
              <w:tc>
                <w:tcPr>
                  <w:tcW w:w="203" w:type="pct"/>
                  <w:tcBorders>
                    <w:tl2br w:val="nil"/>
                    <w:tr2bl w:val="nil"/>
                  </w:tcBorders>
                  <w:shd w:val="clear" w:color="auto" w:fill="auto"/>
                  <w:vAlign w:val="center"/>
                </w:tcPr>
                <w:p w14:paraId="2487DC5C">
                  <w:pPr>
                    <w:widowControl/>
                    <w:jc w:val="center"/>
                    <w:textAlignment w:val="center"/>
                    <w:rPr>
                      <w:rFonts w:hint="default"/>
                      <w:color w:val="auto"/>
                      <w:sz w:val="18"/>
                      <w:szCs w:val="18"/>
                      <w:lang w:val="en-US" w:eastAsia="zh-CN"/>
                    </w:rPr>
                  </w:pPr>
                  <w:r>
                    <w:rPr>
                      <w:rFonts w:hint="eastAsia"/>
                      <w:color w:val="auto"/>
                      <w:sz w:val="18"/>
                      <w:szCs w:val="18"/>
                      <w:lang w:val="en-US" w:eastAsia="zh-CN"/>
                    </w:rPr>
                    <w:t>95</w:t>
                  </w:r>
                </w:p>
              </w:tc>
              <w:tc>
                <w:tcPr>
                  <w:tcW w:w="224" w:type="pct"/>
                  <w:tcBorders>
                    <w:tl2br w:val="nil"/>
                    <w:tr2bl w:val="nil"/>
                  </w:tcBorders>
                  <w:shd w:val="clear" w:color="auto" w:fill="auto"/>
                  <w:vAlign w:val="center"/>
                </w:tcPr>
                <w:p w14:paraId="17DEAF3D">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是</w:t>
                  </w:r>
                </w:p>
              </w:tc>
              <w:tc>
                <w:tcPr>
                  <w:tcW w:w="300" w:type="pct"/>
                  <w:tcBorders>
                    <w:tl2br w:val="nil"/>
                    <w:tr2bl w:val="nil"/>
                  </w:tcBorders>
                  <w:shd w:val="clear" w:color="auto" w:fill="auto"/>
                  <w:vAlign w:val="center"/>
                </w:tcPr>
                <w:p w14:paraId="70068FFE">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袋式除尘器</w:t>
                  </w:r>
                </w:p>
              </w:tc>
              <w:tc>
                <w:tcPr>
                  <w:tcW w:w="267" w:type="pct"/>
                  <w:tcBorders>
                    <w:tl2br w:val="nil"/>
                    <w:tr2bl w:val="nil"/>
                  </w:tcBorders>
                  <w:shd w:val="clear" w:color="auto" w:fill="auto"/>
                  <w:vAlign w:val="center"/>
                </w:tcPr>
                <w:p w14:paraId="5C783CB0">
                  <w:pPr>
                    <w:keepNext w:val="0"/>
                    <w:keepLines w:val="0"/>
                    <w:widowControl/>
                    <w:suppressLineNumbers w:val="0"/>
                    <w:jc w:val="center"/>
                    <w:textAlignment w:val="center"/>
                    <w:rPr>
                      <w:rFonts w:hint="default"/>
                      <w:color w:val="auto"/>
                      <w:sz w:val="18"/>
                      <w:szCs w:val="18"/>
                      <w:lang w:val="en-US" w:eastAsia="zh-CN"/>
                    </w:rPr>
                  </w:pPr>
                  <w:r>
                    <w:rPr>
                      <w:rFonts w:hint="eastAsia" w:cs="Times New Roman"/>
                      <w:i w:val="0"/>
                      <w:iCs w:val="0"/>
                      <w:color w:val="auto"/>
                      <w:kern w:val="0"/>
                      <w:sz w:val="18"/>
                      <w:szCs w:val="18"/>
                      <w:u w:val="none"/>
                      <w:lang w:val="en-US" w:eastAsia="zh-CN" w:bidi="ar"/>
                    </w:rPr>
                    <w:t>3.3</w:t>
                  </w:r>
                </w:p>
              </w:tc>
              <w:tc>
                <w:tcPr>
                  <w:tcW w:w="261" w:type="pct"/>
                  <w:tcBorders>
                    <w:tl2br w:val="nil"/>
                    <w:tr2bl w:val="nil"/>
                  </w:tcBorders>
                  <w:shd w:val="clear" w:color="auto" w:fill="auto"/>
                  <w:vAlign w:val="center"/>
                </w:tcPr>
                <w:p w14:paraId="605675EF">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0.020 </w:t>
                  </w:r>
                </w:p>
              </w:tc>
              <w:tc>
                <w:tcPr>
                  <w:tcW w:w="272" w:type="pct"/>
                  <w:tcBorders>
                    <w:tl2br w:val="nil"/>
                    <w:tr2bl w:val="nil"/>
                  </w:tcBorders>
                  <w:shd w:val="clear" w:color="auto" w:fill="auto"/>
                  <w:vAlign w:val="center"/>
                </w:tcPr>
                <w:p w14:paraId="7E26A58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0.096 </w:t>
                  </w:r>
                </w:p>
              </w:tc>
              <w:tc>
                <w:tcPr>
                  <w:tcW w:w="285" w:type="pct"/>
                  <w:tcBorders>
                    <w:tl2br w:val="nil"/>
                    <w:tr2bl w:val="nil"/>
                  </w:tcBorders>
                  <w:shd w:val="clear" w:color="auto" w:fill="auto"/>
                  <w:vAlign w:val="center"/>
                </w:tcPr>
                <w:p w14:paraId="0725C2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DA01</w:t>
                  </w:r>
                  <w:r>
                    <w:rPr>
                      <w:rFonts w:hint="eastAsia" w:cs="Times New Roman"/>
                      <w:i w:val="0"/>
                      <w:iCs w:val="0"/>
                      <w:color w:val="auto"/>
                      <w:kern w:val="0"/>
                      <w:sz w:val="18"/>
                      <w:szCs w:val="18"/>
                      <w:u w:val="none"/>
                      <w:lang w:val="en-US" w:eastAsia="zh-CN" w:bidi="ar"/>
                    </w:rPr>
                    <w:t>0</w:t>
                  </w:r>
                </w:p>
              </w:tc>
              <w:tc>
                <w:tcPr>
                  <w:tcW w:w="167" w:type="pct"/>
                  <w:tcBorders>
                    <w:tl2br w:val="nil"/>
                    <w:tr2bl w:val="nil"/>
                  </w:tcBorders>
                  <w:shd w:val="clear" w:color="auto" w:fill="auto"/>
                  <w:vAlign w:val="center"/>
                </w:tcPr>
                <w:p w14:paraId="081B0705">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15</w:t>
                  </w:r>
                </w:p>
              </w:tc>
              <w:tc>
                <w:tcPr>
                  <w:tcW w:w="168" w:type="pct"/>
                  <w:tcBorders>
                    <w:tl2br w:val="nil"/>
                    <w:tr2bl w:val="nil"/>
                  </w:tcBorders>
                  <w:shd w:val="clear" w:color="auto" w:fill="auto"/>
                  <w:vAlign w:val="center"/>
                </w:tcPr>
                <w:p w14:paraId="4AAA03A0">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0.</w:t>
                  </w:r>
                  <w:r>
                    <w:rPr>
                      <w:rFonts w:hint="eastAsia"/>
                      <w:color w:val="auto"/>
                      <w:sz w:val="18"/>
                      <w:szCs w:val="18"/>
                      <w:lang w:val="en-US" w:eastAsia="zh-CN"/>
                    </w:rPr>
                    <w:t>3</w:t>
                  </w:r>
                </w:p>
              </w:tc>
              <w:tc>
                <w:tcPr>
                  <w:tcW w:w="173" w:type="pct"/>
                  <w:tcBorders>
                    <w:tl2br w:val="nil"/>
                    <w:tr2bl w:val="nil"/>
                  </w:tcBorders>
                  <w:shd w:val="clear" w:color="auto" w:fill="auto"/>
                  <w:vAlign w:val="center"/>
                </w:tcPr>
                <w:p w14:paraId="255FF9F3">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227" w:type="pct"/>
                  <w:tcBorders>
                    <w:tl2br w:val="nil"/>
                    <w:tr2bl w:val="nil"/>
                  </w:tcBorders>
                  <w:shd w:val="clear" w:color="auto" w:fill="auto"/>
                  <w:vAlign w:val="center"/>
                </w:tcPr>
                <w:p w14:paraId="590B51B9">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232" w:type="pct"/>
                  <w:tcBorders>
                    <w:tl2br w:val="nil"/>
                    <w:tr2bl w:val="nil"/>
                  </w:tcBorders>
                  <w:shd w:val="clear" w:color="auto" w:fill="auto"/>
                  <w:vAlign w:val="center"/>
                </w:tcPr>
                <w:p w14:paraId="39BBAB3A">
                  <w:pPr>
                    <w:jc w:val="center"/>
                    <w:rPr>
                      <w:rFonts w:hint="default"/>
                      <w:color w:val="auto"/>
                      <w:sz w:val="18"/>
                      <w:szCs w:val="18"/>
                      <w:lang w:val="en-US" w:eastAsia="zh-CN"/>
                    </w:rPr>
                  </w:pPr>
                  <w:r>
                    <w:rPr>
                      <w:rFonts w:hint="eastAsia"/>
                      <w:color w:val="auto"/>
                      <w:sz w:val="18"/>
                      <w:szCs w:val="18"/>
                      <w:lang w:val="en-US" w:eastAsia="zh-CN"/>
                    </w:rPr>
                    <w:t>120</w:t>
                  </w:r>
                </w:p>
              </w:tc>
              <w:tc>
                <w:tcPr>
                  <w:tcW w:w="205" w:type="pct"/>
                  <w:tcBorders>
                    <w:tl2br w:val="nil"/>
                    <w:tr2bl w:val="nil"/>
                  </w:tcBorders>
                  <w:shd w:val="clear" w:color="auto" w:fill="auto"/>
                  <w:vAlign w:val="center"/>
                </w:tcPr>
                <w:p w14:paraId="5F5955CD">
                  <w:pPr>
                    <w:jc w:val="center"/>
                    <w:rPr>
                      <w:rFonts w:hint="default"/>
                      <w:color w:val="auto"/>
                      <w:sz w:val="18"/>
                      <w:szCs w:val="18"/>
                      <w:lang w:val="en-US" w:eastAsia="zh-CN"/>
                    </w:rPr>
                  </w:pPr>
                  <w:r>
                    <w:rPr>
                      <w:rFonts w:hint="eastAsia"/>
                      <w:color w:val="auto"/>
                      <w:sz w:val="18"/>
                      <w:szCs w:val="18"/>
                      <w:lang w:val="en-US" w:eastAsia="zh-CN"/>
                    </w:rPr>
                    <w:t>3.5</w:t>
                  </w:r>
                </w:p>
              </w:tc>
            </w:tr>
            <w:tr w14:paraId="0C1158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tcBorders>
                    <w:tl2br w:val="nil"/>
                    <w:tr2bl w:val="nil"/>
                  </w:tcBorders>
                  <w:shd w:val="clear" w:color="auto" w:fill="auto"/>
                  <w:vAlign w:val="center"/>
                </w:tcPr>
                <w:p w14:paraId="6FB382D2">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造粒、挤出、挤管</w:t>
                  </w:r>
                </w:p>
              </w:tc>
              <w:tc>
                <w:tcPr>
                  <w:tcW w:w="151" w:type="pct"/>
                  <w:tcBorders>
                    <w:tl2br w:val="nil"/>
                    <w:tr2bl w:val="nil"/>
                  </w:tcBorders>
                  <w:shd w:val="clear" w:color="auto" w:fill="auto"/>
                  <w:vAlign w:val="center"/>
                </w:tcPr>
                <w:p w14:paraId="48F64344">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2#车间</w:t>
                  </w:r>
                </w:p>
              </w:tc>
              <w:tc>
                <w:tcPr>
                  <w:tcW w:w="233" w:type="pct"/>
                  <w:tcBorders>
                    <w:tl2br w:val="nil"/>
                    <w:tr2bl w:val="nil"/>
                  </w:tcBorders>
                  <w:shd w:val="clear" w:color="auto" w:fill="auto"/>
                  <w:vAlign w:val="center"/>
                </w:tcPr>
                <w:p w14:paraId="1B42456A">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非甲烷总烃</w:t>
                  </w:r>
                </w:p>
              </w:tc>
              <w:tc>
                <w:tcPr>
                  <w:tcW w:w="306" w:type="pct"/>
                  <w:tcBorders>
                    <w:tl2br w:val="nil"/>
                    <w:tr2bl w:val="nil"/>
                  </w:tcBorders>
                  <w:shd w:val="clear" w:color="auto" w:fill="auto"/>
                  <w:vAlign w:val="center"/>
                </w:tcPr>
                <w:p w14:paraId="6CC6F5D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24.9 </w:t>
                  </w:r>
                </w:p>
              </w:tc>
              <w:tc>
                <w:tcPr>
                  <w:tcW w:w="272" w:type="pct"/>
                  <w:tcBorders>
                    <w:tl2br w:val="nil"/>
                    <w:tr2bl w:val="nil"/>
                  </w:tcBorders>
                  <w:shd w:val="clear" w:color="auto" w:fill="auto"/>
                  <w:vAlign w:val="center"/>
                </w:tcPr>
                <w:p w14:paraId="16DE627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0.199 </w:t>
                  </w:r>
                </w:p>
              </w:tc>
              <w:tc>
                <w:tcPr>
                  <w:tcW w:w="272" w:type="pct"/>
                  <w:tcBorders>
                    <w:tl2br w:val="nil"/>
                    <w:tr2bl w:val="nil"/>
                  </w:tcBorders>
                  <w:shd w:val="clear" w:color="auto" w:fill="auto"/>
                  <w:vAlign w:val="center"/>
                </w:tcPr>
                <w:p w14:paraId="75CEF32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0.957 </w:t>
                  </w:r>
                </w:p>
              </w:tc>
              <w:tc>
                <w:tcPr>
                  <w:tcW w:w="263" w:type="pct"/>
                  <w:tcBorders>
                    <w:tl2br w:val="nil"/>
                    <w:tr2bl w:val="nil"/>
                  </w:tcBorders>
                  <w:shd w:val="clear" w:color="auto" w:fill="auto"/>
                  <w:vAlign w:val="center"/>
                </w:tcPr>
                <w:p w14:paraId="612B87D2">
                  <w:pPr>
                    <w:widowControl/>
                    <w:jc w:val="center"/>
                    <w:textAlignment w:val="center"/>
                    <w:rPr>
                      <w:rFonts w:hint="default"/>
                      <w:color w:val="auto"/>
                      <w:sz w:val="18"/>
                      <w:szCs w:val="18"/>
                      <w:lang w:val="en-US" w:eastAsia="zh-CN"/>
                    </w:rPr>
                  </w:pPr>
                  <w:r>
                    <w:rPr>
                      <w:rFonts w:hint="eastAsia"/>
                      <w:color w:val="auto"/>
                      <w:sz w:val="18"/>
                      <w:szCs w:val="18"/>
                      <w:lang w:val="en-US" w:eastAsia="zh-CN"/>
                    </w:rPr>
                    <w:t>8000</w:t>
                  </w:r>
                </w:p>
              </w:tc>
              <w:tc>
                <w:tcPr>
                  <w:tcW w:w="177" w:type="pct"/>
                  <w:tcBorders>
                    <w:tl2br w:val="nil"/>
                    <w:tr2bl w:val="nil"/>
                  </w:tcBorders>
                  <w:shd w:val="clear" w:color="auto" w:fill="auto"/>
                  <w:vAlign w:val="center"/>
                </w:tcPr>
                <w:p w14:paraId="2399E43D">
                  <w:pPr>
                    <w:widowControl/>
                    <w:jc w:val="center"/>
                    <w:textAlignment w:val="center"/>
                    <w:rPr>
                      <w:rFonts w:hint="default"/>
                      <w:color w:val="auto"/>
                      <w:sz w:val="18"/>
                      <w:szCs w:val="18"/>
                      <w:lang w:val="en-US" w:eastAsia="zh-CN"/>
                    </w:rPr>
                  </w:pPr>
                  <w:r>
                    <w:rPr>
                      <w:rFonts w:hint="eastAsia"/>
                      <w:color w:val="auto"/>
                      <w:sz w:val="18"/>
                      <w:szCs w:val="18"/>
                      <w:lang w:val="en-US" w:eastAsia="zh-CN"/>
                    </w:rPr>
                    <w:t>80</w:t>
                  </w:r>
                </w:p>
              </w:tc>
              <w:tc>
                <w:tcPr>
                  <w:tcW w:w="203" w:type="pct"/>
                  <w:tcBorders>
                    <w:tl2br w:val="nil"/>
                    <w:tr2bl w:val="nil"/>
                  </w:tcBorders>
                  <w:shd w:val="clear" w:color="auto" w:fill="auto"/>
                  <w:vAlign w:val="center"/>
                </w:tcPr>
                <w:p w14:paraId="56655C7A">
                  <w:pPr>
                    <w:widowControl/>
                    <w:jc w:val="center"/>
                    <w:textAlignment w:val="center"/>
                    <w:rPr>
                      <w:rFonts w:hint="default"/>
                      <w:color w:val="auto"/>
                      <w:sz w:val="18"/>
                      <w:szCs w:val="18"/>
                      <w:lang w:val="en-US" w:eastAsia="zh-CN"/>
                    </w:rPr>
                  </w:pPr>
                  <w:r>
                    <w:rPr>
                      <w:rFonts w:hint="eastAsia"/>
                      <w:color w:val="auto"/>
                      <w:sz w:val="18"/>
                      <w:szCs w:val="18"/>
                      <w:lang w:val="en-US" w:eastAsia="zh-CN"/>
                    </w:rPr>
                    <w:t>50</w:t>
                  </w:r>
                </w:p>
              </w:tc>
              <w:tc>
                <w:tcPr>
                  <w:tcW w:w="224" w:type="pct"/>
                  <w:tcBorders>
                    <w:tl2br w:val="nil"/>
                    <w:tr2bl w:val="nil"/>
                  </w:tcBorders>
                  <w:shd w:val="clear" w:color="auto" w:fill="auto"/>
                  <w:vAlign w:val="center"/>
                </w:tcPr>
                <w:p w14:paraId="14A92E09">
                  <w:pPr>
                    <w:widowControl/>
                    <w:jc w:val="center"/>
                    <w:textAlignment w:val="center"/>
                    <w:rPr>
                      <w:rFonts w:hint="default"/>
                      <w:color w:val="auto"/>
                      <w:sz w:val="18"/>
                      <w:szCs w:val="18"/>
                      <w:lang w:val="en-US" w:eastAsia="zh-CN"/>
                    </w:rPr>
                  </w:pPr>
                  <w:r>
                    <w:rPr>
                      <w:rFonts w:hint="eastAsia"/>
                      <w:color w:val="auto"/>
                      <w:sz w:val="18"/>
                      <w:szCs w:val="18"/>
                      <w:lang w:val="en-US" w:eastAsia="zh-CN"/>
                    </w:rPr>
                    <w:t>是</w:t>
                  </w:r>
                </w:p>
              </w:tc>
              <w:tc>
                <w:tcPr>
                  <w:tcW w:w="300" w:type="pct"/>
                  <w:tcBorders>
                    <w:tl2br w:val="nil"/>
                    <w:tr2bl w:val="nil"/>
                  </w:tcBorders>
                  <w:shd w:val="clear" w:color="auto" w:fill="auto"/>
                  <w:vAlign w:val="center"/>
                </w:tcPr>
                <w:p w14:paraId="2CDAA9B3">
                  <w:pPr>
                    <w:widowControl/>
                    <w:jc w:val="center"/>
                    <w:textAlignment w:val="center"/>
                    <w:rPr>
                      <w:rFonts w:hint="default"/>
                      <w:color w:val="auto"/>
                      <w:sz w:val="18"/>
                      <w:szCs w:val="18"/>
                      <w:lang w:val="en-US" w:eastAsia="zh-CN"/>
                    </w:rPr>
                  </w:pPr>
                  <w:r>
                    <w:rPr>
                      <w:rFonts w:hint="eastAsia"/>
                      <w:color w:val="auto"/>
                      <w:sz w:val="18"/>
                      <w:szCs w:val="18"/>
                      <w:lang w:val="en-US" w:eastAsia="zh-CN"/>
                    </w:rPr>
                    <w:t>活性炭吸附</w:t>
                  </w:r>
                </w:p>
              </w:tc>
              <w:tc>
                <w:tcPr>
                  <w:tcW w:w="267" w:type="pct"/>
                  <w:tcBorders>
                    <w:tl2br w:val="nil"/>
                    <w:tr2bl w:val="nil"/>
                  </w:tcBorders>
                  <w:shd w:val="clear" w:color="auto" w:fill="auto"/>
                  <w:vAlign w:val="center"/>
                </w:tcPr>
                <w:p w14:paraId="38B4404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12.5 </w:t>
                  </w:r>
                </w:p>
              </w:tc>
              <w:tc>
                <w:tcPr>
                  <w:tcW w:w="261" w:type="pct"/>
                  <w:tcBorders>
                    <w:tl2br w:val="nil"/>
                    <w:tr2bl w:val="nil"/>
                  </w:tcBorders>
                  <w:shd w:val="clear" w:color="auto" w:fill="auto"/>
                  <w:vAlign w:val="center"/>
                </w:tcPr>
                <w:p w14:paraId="13DB704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0.100 </w:t>
                  </w:r>
                </w:p>
              </w:tc>
              <w:tc>
                <w:tcPr>
                  <w:tcW w:w="272" w:type="pct"/>
                  <w:tcBorders>
                    <w:tl2br w:val="nil"/>
                    <w:tr2bl w:val="nil"/>
                  </w:tcBorders>
                  <w:shd w:val="clear" w:color="auto" w:fill="auto"/>
                  <w:vAlign w:val="center"/>
                </w:tcPr>
                <w:p w14:paraId="73B7992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0.479 </w:t>
                  </w:r>
                </w:p>
              </w:tc>
              <w:tc>
                <w:tcPr>
                  <w:tcW w:w="285" w:type="pct"/>
                  <w:tcBorders>
                    <w:tl2br w:val="nil"/>
                    <w:tr2bl w:val="nil"/>
                  </w:tcBorders>
                  <w:shd w:val="clear" w:color="auto" w:fill="auto"/>
                  <w:vAlign w:val="center"/>
                </w:tcPr>
                <w:p w14:paraId="79FAF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DA01</w:t>
                  </w:r>
                  <w:r>
                    <w:rPr>
                      <w:rFonts w:hint="eastAsia" w:cs="Times New Roman"/>
                      <w:i w:val="0"/>
                      <w:iCs w:val="0"/>
                      <w:color w:val="auto"/>
                      <w:kern w:val="0"/>
                      <w:sz w:val="18"/>
                      <w:szCs w:val="18"/>
                      <w:u w:val="none"/>
                      <w:lang w:val="en-US" w:eastAsia="zh-CN" w:bidi="ar"/>
                    </w:rPr>
                    <w:t>1</w:t>
                  </w:r>
                </w:p>
              </w:tc>
              <w:tc>
                <w:tcPr>
                  <w:tcW w:w="167" w:type="pct"/>
                  <w:tcBorders>
                    <w:tl2br w:val="nil"/>
                    <w:tr2bl w:val="nil"/>
                  </w:tcBorders>
                  <w:shd w:val="clear" w:color="auto" w:fill="auto"/>
                  <w:vAlign w:val="center"/>
                </w:tcPr>
                <w:p w14:paraId="5205AD92">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15</w:t>
                  </w:r>
                </w:p>
              </w:tc>
              <w:tc>
                <w:tcPr>
                  <w:tcW w:w="168" w:type="pct"/>
                  <w:tcBorders>
                    <w:tl2br w:val="nil"/>
                    <w:tr2bl w:val="nil"/>
                  </w:tcBorders>
                  <w:shd w:val="clear" w:color="auto" w:fill="auto"/>
                  <w:vAlign w:val="center"/>
                </w:tcPr>
                <w:p w14:paraId="08508018">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0.</w:t>
                  </w:r>
                  <w:r>
                    <w:rPr>
                      <w:rFonts w:hint="eastAsia"/>
                      <w:color w:val="auto"/>
                      <w:sz w:val="18"/>
                      <w:szCs w:val="18"/>
                      <w:lang w:val="en-US" w:eastAsia="zh-CN"/>
                    </w:rPr>
                    <w:t>4</w:t>
                  </w:r>
                </w:p>
              </w:tc>
              <w:tc>
                <w:tcPr>
                  <w:tcW w:w="173" w:type="pct"/>
                  <w:tcBorders>
                    <w:tl2br w:val="nil"/>
                    <w:tr2bl w:val="nil"/>
                  </w:tcBorders>
                  <w:shd w:val="clear" w:color="auto" w:fill="auto"/>
                  <w:vAlign w:val="center"/>
                </w:tcPr>
                <w:p w14:paraId="0804A271">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227" w:type="pct"/>
                  <w:tcBorders>
                    <w:tl2br w:val="nil"/>
                    <w:tr2bl w:val="nil"/>
                  </w:tcBorders>
                  <w:shd w:val="clear" w:color="auto" w:fill="auto"/>
                  <w:vAlign w:val="center"/>
                </w:tcPr>
                <w:p w14:paraId="65AE0270">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232" w:type="pct"/>
                  <w:tcBorders>
                    <w:tl2br w:val="nil"/>
                    <w:tr2bl w:val="nil"/>
                  </w:tcBorders>
                  <w:shd w:val="clear" w:color="auto" w:fill="auto"/>
                  <w:vAlign w:val="center"/>
                </w:tcPr>
                <w:p w14:paraId="179B9BA2">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100</w:t>
                  </w:r>
                </w:p>
              </w:tc>
              <w:tc>
                <w:tcPr>
                  <w:tcW w:w="205" w:type="pct"/>
                  <w:tcBorders>
                    <w:tl2br w:val="nil"/>
                    <w:tr2bl w:val="nil"/>
                  </w:tcBorders>
                  <w:shd w:val="clear" w:color="auto" w:fill="auto"/>
                  <w:vAlign w:val="center"/>
                </w:tcPr>
                <w:p w14:paraId="6A4A81F3">
                  <w:pPr>
                    <w:jc w:val="center"/>
                    <w:rPr>
                      <w:rFonts w:hint="default"/>
                      <w:color w:val="auto"/>
                      <w:sz w:val="18"/>
                      <w:szCs w:val="18"/>
                      <w:lang w:val="en-US" w:eastAsia="zh-CN"/>
                    </w:rPr>
                  </w:pPr>
                  <w:r>
                    <w:rPr>
                      <w:rFonts w:hint="eastAsia"/>
                      <w:color w:val="auto"/>
                      <w:sz w:val="18"/>
                      <w:szCs w:val="18"/>
                      <w:lang w:val="en-US" w:eastAsia="zh-CN"/>
                    </w:rPr>
                    <w:t>10</w:t>
                  </w:r>
                </w:p>
              </w:tc>
            </w:tr>
            <w:tr w14:paraId="78A084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restart"/>
                  <w:tcBorders>
                    <w:tl2br w:val="nil"/>
                    <w:tr2bl w:val="nil"/>
                  </w:tcBorders>
                  <w:shd w:val="clear" w:color="auto" w:fill="auto"/>
                  <w:vAlign w:val="center"/>
                </w:tcPr>
                <w:p w14:paraId="66565230">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锅炉废气</w:t>
                  </w:r>
                </w:p>
              </w:tc>
              <w:tc>
                <w:tcPr>
                  <w:tcW w:w="151" w:type="pct"/>
                  <w:vMerge w:val="restart"/>
                  <w:tcBorders>
                    <w:tl2br w:val="nil"/>
                    <w:tr2bl w:val="nil"/>
                  </w:tcBorders>
                  <w:shd w:val="clear" w:color="auto" w:fill="auto"/>
                  <w:vAlign w:val="center"/>
                </w:tcPr>
                <w:p w14:paraId="7F653D17">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3#车间</w:t>
                  </w:r>
                </w:p>
              </w:tc>
              <w:tc>
                <w:tcPr>
                  <w:tcW w:w="233" w:type="pct"/>
                  <w:tcBorders>
                    <w:tl2br w:val="nil"/>
                    <w:tr2bl w:val="nil"/>
                  </w:tcBorders>
                  <w:shd w:val="clear" w:color="auto" w:fill="auto"/>
                  <w:vAlign w:val="center"/>
                </w:tcPr>
                <w:p w14:paraId="358700D4">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3E0842C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w:t>
                  </w:r>
                  <w:r>
                    <w:rPr>
                      <w:rFonts w:hint="eastAsia" w:cs="Times New Roman"/>
                      <w:i w:val="0"/>
                      <w:iCs w:val="0"/>
                      <w:color w:val="auto"/>
                      <w:kern w:val="0"/>
                      <w:sz w:val="18"/>
                      <w:szCs w:val="18"/>
                      <w:u w:val="none"/>
                      <w:lang w:val="en-US" w:eastAsia="zh-CN" w:bidi="ar"/>
                    </w:rPr>
                    <w:t>6.0</w:t>
                  </w:r>
                  <w:r>
                    <w:rPr>
                      <w:rFonts w:hint="eastAsia" w:ascii="Times New Roman" w:hAnsi="Times New Roman" w:eastAsia="宋体" w:cs="Times New Roman"/>
                      <w:i w:val="0"/>
                      <w:iCs w:val="0"/>
                      <w:color w:val="auto"/>
                      <w:kern w:val="0"/>
                      <w:sz w:val="18"/>
                      <w:szCs w:val="18"/>
                      <w:u w:val="none"/>
                      <w:lang w:val="en-US" w:eastAsia="zh-CN" w:bidi="ar"/>
                    </w:rPr>
                    <w:t xml:space="preserve"> </w:t>
                  </w:r>
                </w:p>
              </w:tc>
              <w:tc>
                <w:tcPr>
                  <w:tcW w:w="272" w:type="pct"/>
                  <w:tcBorders>
                    <w:tl2br w:val="nil"/>
                    <w:tr2bl w:val="nil"/>
                  </w:tcBorders>
                  <w:shd w:val="clear" w:color="auto" w:fill="auto"/>
                  <w:vAlign w:val="center"/>
                </w:tcPr>
                <w:p w14:paraId="57B9D93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0.021</w:t>
                  </w:r>
                </w:p>
              </w:tc>
              <w:tc>
                <w:tcPr>
                  <w:tcW w:w="272" w:type="pct"/>
                  <w:tcBorders>
                    <w:tl2br w:val="nil"/>
                    <w:tr2bl w:val="nil"/>
                  </w:tcBorders>
                  <w:shd w:val="clear" w:color="auto" w:fill="auto"/>
                  <w:vAlign w:val="center"/>
                </w:tcPr>
                <w:p w14:paraId="263EE6F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0.103</w:t>
                  </w:r>
                </w:p>
              </w:tc>
              <w:tc>
                <w:tcPr>
                  <w:tcW w:w="263" w:type="pct"/>
                  <w:vMerge w:val="restart"/>
                  <w:tcBorders>
                    <w:tl2br w:val="nil"/>
                    <w:tr2bl w:val="nil"/>
                  </w:tcBorders>
                  <w:shd w:val="clear" w:color="auto" w:fill="auto"/>
                  <w:vAlign w:val="center"/>
                </w:tcPr>
                <w:p w14:paraId="0B28577F">
                  <w:pPr>
                    <w:widowControl/>
                    <w:jc w:val="center"/>
                    <w:textAlignment w:val="center"/>
                    <w:rPr>
                      <w:rFonts w:hint="default"/>
                      <w:color w:val="auto"/>
                      <w:sz w:val="18"/>
                      <w:szCs w:val="18"/>
                      <w:lang w:val="en-US" w:eastAsia="zh-CN"/>
                    </w:rPr>
                  </w:pPr>
                  <w:r>
                    <w:rPr>
                      <w:rFonts w:hint="eastAsia"/>
                      <w:color w:val="auto"/>
                      <w:sz w:val="18"/>
                      <w:szCs w:val="18"/>
                      <w:lang w:val="en-US" w:eastAsia="zh-CN"/>
                    </w:rPr>
                    <w:t>808.1</w:t>
                  </w:r>
                </w:p>
              </w:tc>
              <w:tc>
                <w:tcPr>
                  <w:tcW w:w="177" w:type="pct"/>
                  <w:vMerge w:val="restart"/>
                  <w:tcBorders>
                    <w:tl2br w:val="nil"/>
                    <w:tr2bl w:val="nil"/>
                  </w:tcBorders>
                  <w:shd w:val="clear" w:color="auto" w:fill="auto"/>
                  <w:vAlign w:val="center"/>
                </w:tcPr>
                <w:p w14:paraId="0BA7C825">
                  <w:pPr>
                    <w:widowControl/>
                    <w:jc w:val="center"/>
                    <w:textAlignment w:val="center"/>
                    <w:rPr>
                      <w:rFonts w:hint="default"/>
                      <w:color w:val="auto"/>
                      <w:sz w:val="18"/>
                      <w:szCs w:val="18"/>
                      <w:lang w:val="en-US" w:eastAsia="zh-CN"/>
                    </w:rPr>
                  </w:pPr>
                  <w:r>
                    <w:rPr>
                      <w:rFonts w:hint="eastAsia"/>
                      <w:color w:val="auto"/>
                      <w:sz w:val="18"/>
                      <w:szCs w:val="18"/>
                      <w:lang w:val="en-US" w:eastAsia="zh-CN"/>
                    </w:rPr>
                    <w:t>100</w:t>
                  </w:r>
                </w:p>
              </w:tc>
              <w:tc>
                <w:tcPr>
                  <w:tcW w:w="203" w:type="pct"/>
                  <w:vMerge w:val="restart"/>
                  <w:tcBorders>
                    <w:tl2br w:val="nil"/>
                    <w:tr2bl w:val="nil"/>
                  </w:tcBorders>
                  <w:shd w:val="clear" w:color="auto" w:fill="auto"/>
                  <w:vAlign w:val="center"/>
                </w:tcPr>
                <w:p w14:paraId="70A8FFD4">
                  <w:pPr>
                    <w:widowControl/>
                    <w:jc w:val="center"/>
                    <w:textAlignment w:val="center"/>
                    <w:rPr>
                      <w:rFonts w:hint="default"/>
                      <w:color w:val="auto"/>
                      <w:sz w:val="18"/>
                      <w:szCs w:val="18"/>
                      <w:lang w:val="en-US" w:eastAsia="zh-CN"/>
                    </w:rPr>
                  </w:pPr>
                  <w:r>
                    <w:rPr>
                      <w:rFonts w:hint="eastAsia"/>
                      <w:color w:val="auto"/>
                      <w:sz w:val="18"/>
                      <w:szCs w:val="18"/>
                      <w:lang w:val="en-US" w:eastAsia="zh-CN"/>
                    </w:rPr>
                    <w:t>0</w:t>
                  </w:r>
                </w:p>
              </w:tc>
              <w:tc>
                <w:tcPr>
                  <w:tcW w:w="224" w:type="pct"/>
                  <w:vMerge w:val="restart"/>
                  <w:tcBorders>
                    <w:tl2br w:val="nil"/>
                    <w:tr2bl w:val="nil"/>
                  </w:tcBorders>
                  <w:shd w:val="clear" w:color="auto" w:fill="auto"/>
                  <w:vAlign w:val="center"/>
                </w:tcPr>
                <w:p w14:paraId="08213D18">
                  <w:pPr>
                    <w:widowControl/>
                    <w:jc w:val="center"/>
                    <w:textAlignment w:val="center"/>
                    <w:rPr>
                      <w:rFonts w:hint="default"/>
                      <w:color w:val="auto"/>
                      <w:sz w:val="18"/>
                      <w:szCs w:val="18"/>
                      <w:lang w:val="en-US" w:eastAsia="zh-CN"/>
                    </w:rPr>
                  </w:pPr>
                  <w:r>
                    <w:rPr>
                      <w:rFonts w:hint="eastAsia"/>
                      <w:color w:val="auto"/>
                      <w:sz w:val="18"/>
                      <w:szCs w:val="18"/>
                      <w:lang w:val="en-US" w:eastAsia="zh-CN"/>
                    </w:rPr>
                    <w:t>是</w:t>
                  </w:r>
                </w:p>
              </w:tc>
              <w:tc>
                <w:tcPr>
                  <w:tcW w:w="300" w:type="pct"/>
                  <w:vMerge w:val="restart"/>
                  <w:tcBorders>
                    <w:tl2br w:val="nil"/>
                    <w:tr2bl w:val="nil"/>
                  </w:tcBorders>
                  <w:shd w:val="clear" w:color="auto" w:fill="auto"/>
                  <w:vAlign w:val="center"/>
                </w:tcPr>
                <w:p w14:paraId="1DB141AE">
                  <w:pPr>
                    <w:widowControl/>
                    <w:jc w:val="center"/>
                    <w:textAlignment w:val="center"/>
                    <w:rPr>
                      <w:rFonts w:hint="default"/>
                      <w:color w:val="auto"/>
                      <w:sz w:val="18"/>
                      <w:szCs w:val="18"/>
                      <w:lang w:val="en-US" w:eastAsia="zh-CN"/>
                    </w:rPr>
                  </w:pPr>
                  <w:r>
                    <w:rPr>
                      <w:rFonts w:hint="eastAsia"/>
                      <w:color w:val="auto"/>
                      <w:sz w:val="18"/>
                      <w:szCs w:val="18"/>
                      <w:lang w:val="en-US" w:eastAsia="zh-CN"/>
                    </w:rPr>
                    <w:t>/</w:t>
                  </w:r>
                </w:p>
              </w:tc>
              <w:tc>
                <w:tcPr>
                  <w:tcW w:w="267" w:type="pct"/>
                  <w:tcBorders>
                    <w:tl2br w:val="nil"/>
                    <w:tr2bl w:val="nil"/>
                  </w:tcBorders>
                  <w:shd w:val="clear" w:color="auto" w:fill="auto"/>
                  <w:vAlign w:val="center"/>
                </w:tcPr>
                <w:p w14:paraId="7EA40A3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w:t>
                  </w:r>
                  <w:r>
                    <w:rPr>
                      <w:rFonts w:hint="eastAsia" w:cs="Times New Roman"/>
                      <w:i w:val="0"/>
                      <w:iCs w:val="0"/>
                      <w:color w:val="auto"/>
                      <w:kern w:val="0"/>
                      <w:sz w:val="18"/>
                      <w:szCs w:val="18"/>
                      <w:u w:val="none"/>
                      <w:lang w:val="en-US" w:eastAsia="zh-CN" w:bidi="ar"/>
                    </w:rPr>
                    <w:t>6.0</w:t>
                  </w:r>
                  <w:r>
                    <w:rPr>
                      <w:rFonts w:hint="eastAsia" w:ascii="Times New Roman" w:hAnsi="Times New Roman" w:eastAsia="宋体" w:cs="Times New Roman"/>
                      <w:i w:val="0"/>
                      <w:iCs w:val="0"/>
                      <w:color w:val="auto"/>
                      <w:kern w:val="0"/>
                      <w:sz w:val="18"/>
                      <w:szCs w:val="18"/>
                      <w:u w:val="none"/>
                      <w:lang w:val="en-US" w:eastAsia="zh-CN" w:bidi="ar"/>
                    </w:rPr>
                    <w:t xml:space="preserve"> </w:t>
                  </w:r>
                </w:p>
              </w:tc>
              <w:tc>
                <w:tcPr>
                  <w:tcW w:w="261" w:type="pct"/>
                  <w:tcBorders>
                    <w:tl2br w:val="nil"/>
                    <w:tr2bl w:val="nil"/>
                  </w:tcBorders>
                  <w:shd w:val="clear" w:color="auto" w:fill="auto"/>
                  <w:vAlign w:val="center"/>
                </w:tcPr>
                <w:p w14:paraId="5E2668A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0.021</w:t>
                  </w:r>
                </w:p>
              </w:tc>
              <w:tc>
                <w:tcPr>
                  <w:tcW w:w="272" w:type="pct"/>
                  <w:tcBorders>
                    <w:tl2br w:val="nil"/>
                    <w:tr2bl w:val="nil"/>
                  </w:tcBorders>
                  <w:shd w:val="clear" w:color="auto" w:fill="auto"/>
                  <w:vAlign w:val="center"/>
                </w:tcPr>
                <w:p w14:paraId="5F847D5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0.103</w:t>
                  </w:r>
                </w:p>
              </w:tc>
              <w:tc>
                <w:tcPr>
                  <w:tcW w:w="285" w:type="pct"/>
                  <w:vMerge w:val="restart"/>
                  <w:tcBorders>
                    <w:tl2br w:val="nil"/>
                    <w:tr2bl w:val="nil"/>
                  </w:tcBorders>
                  <w:shd w:val="clear" w:color="auto" w:fill="auto"/>
                  <w:vAlign w:val="center"/>
                </w:tcPr>
                <w:p w14:paraId="3A7E21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DA01</w:t>
                  </w:r>
                  <w:r>
                    <w:rPr>
                      <w:rFonts w:hint="eastAsia" w:cs="Times New Roman"/>
                      <w:i w:val="0"/>
                      <w:iCs w:val="0"/>
                      <w:color w:val="auto"/>
                      <w:kern w:val="0"/>
                      <w:sz w:val="18"/>
                      <w:szCs w:val="18"/>
                      <w:u w:val="none"/>
                      <w:lang w:val="en-US" w:eastAsia="zh-CN" w:bidi="ar"/>
                    </w:rPr>
                    <w:t>2</w:t>
                  </w:r>
                </w:p>
              </w:tc>
              <w:tc>
                <w:tcPr>
                  <w:tcW w:w="167" w:type="pct"/>
                  <w:vMerge w:val="restart"/>
                  <w:tcBorders>
                    <w:tl2br w:val="nil"/>
                    <w:tr2bl w:val="nil"/>
                  </w:tcBorders>
                  <w:shd w:val="clear" w:color="auto" w:fill="auto"/>
                  <w:vAlign w:val="center"/>
                </w:tcPr>
                <w:p w14:paraId="6F0BF068">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15</w:t>
                  </w:r>
                </w:p>
              </w:tc>
              <w:tc>
                <w:tcPr>
                  <w:tcW w:w="168" w:type="pct"/>
                  <w:vMerge w:val="restart"/>
                  <w:tcBorders>
                    <w:tl2br w:val="nil"/>
                    <w:tr2bl w:val="nil"/>
                  </w:tcBorders>
                  <w:shd w:val="clear" w:color="auto" w:fill="auto"/>
                  <w:vAlign w:val="center"/>
                </w:tcPr>
                <w:p w14:paraId="7AC38273">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0.</w:t>
                  </w:r>
                  <w:r>
                    <w:rPr>
                      <w:rFonts w:hint="eastAsia"/>
                      <w:color w:val="auto"/>
                      <w:sz w:val="18"/>
                      <w:szCs w:val="18"/>
                      <w:lang w:val="en-US" w:eastAsia="zh-CN"/>
                    </w:rPr>
                    <w:t>2</w:t>
                  </w:r>
                </w:p>
              </w:tc>
              <w:tc>
                <w:tcPr>
                  <w:tcW w:w="173" w:type="pct"/>
                  <w:vMerge w:val="restart"/>
                  <w:tcBorders>
                    <w:tl2br w:val="nil"/>
                    <w:tr2bl w:val="nil"/>
                  </w:tcBorders>
                  <w:shd w:val="clear" w:color="auto" w:fill="auto"/>
                  <w:vAlign w:val="center"/>
                </w:tcPr>
                <w:p w14:paraId="1F4B453F">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温度120℃</w:t>
                  </w:r>
                </w:p>
              </w:tc>
              <w:tc>
                <w:tcPr>
                  <w:tcW w:w="227" w:type="pct"/>
                  <w:vMerge w:val="restart"/>
                  <w:tcBorders>
                    <w:tl2br w:val="nil"/>
                    <w:tr2bl w:val="nil"/>
                  </w:tcBorders>
                  <w:shd w:val="clear" w:color="auto" w:fill="auto"/>
                  <w:vAlign w:val="center"/>
                </w:tcPr>
                <w:p w14:paraId="6FE990EF">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232" w:type="pct"/>
                  <w:tcBorders>
                    <w:tl2br w:val="nil"/>
                    <w:tr2bl w:val="nil"/>
                  </w:tcBorders>
                  <w:shd w:val="clear" w:color="auto" w:fill="auto"/>
                  <w:vAlign w:val="center"/>
                </w:tcPr>
                <w:p w14:paraId="00D4AF7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w:t>
                  </w:r>
                </w:p>
              </w:tc>
              <w:tc>
                <w:tcPr>
                  <w:tcW w:w="205" w:type="pct"/>
                  <w:tcBorders>
                    <w:tl2br w:val="nil"/>
                    <w:tr2bl w:val="nil"/>
                  </w:tcBorders>
                  <w:shd w:val="clear" w:color="auto" w:fill="auto"/>
                  <w:vAlign w:val="center"/>
                </w:tcPr>
                <w:p w14:paraId="6D54A3AB">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14237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716D689D">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0E973B60">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379032E6">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二氧化硫</w:t>
                  </w:r>
                </w:p>
              </w:tc>
              <w:tc>
                <w:tcPr>
                  <w:tcW w:w="306" w:type="pct"/>
                  <w:tcBorders>
                    <w:tl2br w:val="nil"/>
                    <w:tr2bl w:val="nil"/>
                  </w:tcBorders>
                  <w:shd w:val="clear" w:color="auto" w:fill="auto"/>
                  <w:vAlign w:val="center"/>
                </w:tcPr>
                <w:p w14:paraId="4F95115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18.</w:t>
                  </w:r>
                  <w:r>
                    <w:rPr>
                      <w:rFonts w:hint="eastAsia" w:cs="Times New Roman"/>
                      <w:i w:val="0"/>
                      <w:iCs w:val="0"/>
                      <w:color w:val="auto"/>
                      <w:kern w:val="0"/>
                      <w:sz w:val="18"/>
                      <w:szCs w:val="18"/>
                      <w:u w:val="none"/>
                      <w:lang w:val="en-US" w:eastAsia="zh-CN" w:bidi="ar"/>
                    </w:rPr>
                    <w:t>6</w:t>
                  </w:r>
                  <w:r>
                    <w:rPr>
                      <w:rFonts w:hint="eastAsia" w:ascii="Times New Roman" w:hAnsi="Times New Roman" w:eastAsia="宋体" w:cs="Times New Roman"/>
                      <w:i w:val="0"/>
                      <w:iCs w:val="0"/>
                      <w:color w:val="auto"/>
                      <w:kern w:val="0"/>
                      <w:sz w:val="18"/>
                      <w:szCs w:val="18"/>
                      <w:u w:val="none"/>
                      <w:lang w:val="en-US" w:eastAsia="zh-CN" w:bidi="ar"/>
                    </w:rPr>
                    <w:t xml:space="preserve"> </w:t>
                  </w:r>
                </w:p>
              </w:tc>
              <w:tc>
                <w:tcPr>
                  <w:tcW w:w="272" w:type="pct"/>
                  <w:tcBorders>
                    <w:tl2br w:val="nil"/>
                    <w:tr2bl w:val="nil"/>
                  </w:tcBorders>
                  <w:shd w:val="clear" w:color="auto" w:fill="auto"/>
                  <w:vAlign w:val="center"/>
                </w:tcPr>
                <w:p w14:paraId="0BA602E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0.015</w:t>
                  </w:r>
                </w:p>
              </w:tc>
              <w:tc>
                <w:tcPr>
                  <w:tcW w:w="272" w:type="pct"/>
                  <w:tcBorders>
                    <w:tl2br w:val="nil"/>
                    <w:tr2bl w:val="nil"/>
                  </w:tcBorders>
                  <w:shd w:val="clear" w:color="auto" w:fill="auto"/>
                  <w:vAlign w:val="center"/>
                </w:tcPr>
                <w:p w14:paraId="258300B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0.072</w:t>
                  </w:r>
                </w:p>
              </w:tc>
              <w:tc>
                <w:tcPr>
                  <w:tcW w:w="263" w:type="pct"/>
                  <w:vMerge w:val="continue"/>
                  <w:tcBorders>
                    <w:tl2br w:val="nil"/>
                    <w:tr2bl w:val="nil"/>
                  </w:tcBorders>
                  <w:shd w:val="clear" w:color="auto" w:fill="auto"/>
                  <w:vAlign w:val="center"/>
                </w:tcPr>
                <w:p w14:paraId="3CD61175">
                  <w:pPr>
                    <w:widowControl/>
                    <w:jc w:val="center"/>
                    <w:textAlignment w:val="center"/>
                    <w:rPr>
                      <w:rFonts w:hint="eastAsia"/>
                      <w:color w:val="auto"/>
                      <w:sz w:val="18"/>
                      <w:szCs w:val="18"/>
                      <w:lang w:val="en-US" w:eastAsia="zh-CN"/>
                    </w:rPr>
                  </w:pPr>
                </w:p>
              </w:tc>
              <w:tc>
                <w:tcPr>
                  <w:tcW w:w="177" w:type="pct"/>
                  <w:vMerge w:val="continue"/>
                  <w:tcBorders>
                    <w:tl2br w:val="nil"/>
                    <w:tr2bl w:val="nil"/>
                  </w:tcBorders>
                  <w:shd w:val="clear" w:color="auto" w:fill="auto"/>
                  <w:vAlign w:val="center"/>
                </w:tcPr>
                <w:p w14:paraId="45336D6E">
                  <w:pPr>
                    <w:widowControl/>
                    <w:jc w:val="center"/>
                    <w:textAlignment w:val="center"/>
                    <w:rPr>
                      <w:rFonts w:hint="eastAsia"/>
                      <w:color w:val="auto"/>
                      <w:sz w:val="18"/>
                      <w:szCs w:val="18"/>
                      <w:lang w:val="en-US" w:eastAsia="zh-CN"/>
                    </w:rPr>
                  </w:pPr>
                </w:p>
              </w:tc>
              <w:tc>
                <w:tcPr>
                  <w:tcW w:w="203" w:type="pct"/>
                  <w:vMerge w:val="continue"/>
                  <w:tcBorders>
                    <w:tl2br w:val="nil"/>
                    <w:tr2bl w:val="nil"/>
                  </w:tcBorders>
                  <w:shd w:val="clear" w:color="auto" w:fill="auto"/>
                  <w:vAlign w:val="center"/>
                </w:tcPr>
                <w:p w14:paraId="360A1527">
                  <w:pPr>
                    <w:widowControl/>
                    <w:jc w:val="center"/>
                    <w:textAlignment w:val="center"/>
                    <w:rPr>
                      <w:rFonts w:hint="eastAsia"/>
                      <w:color w:val="auto"/>
                      <w:sz w:val="18"/>
                      <w:szCs w:val="18"/>
                      <w:lang w:val="en-US" w:eastAsia="zh-CN"/>
                    </w:rPr>
                  </w:pPr>
                </w:p>
              </w:tc>
              <w:tc>
                <w:tcPr>
                  <w:tcW w:w="224" w:type="pct"/>
                  <w:vMerge w:val="continue"/>
                  <w:tcBorders>
                    <w:tl2br w:val="nil"/>
                    <w:tr2bl w:val="nil"/>
                  </w:tcBorders>
                  <w:shd w:val="clear" w:color="auto" w:fill="auto"/>
                  <w:vAlign w:val="center"/>
                </w:tcPr>
                <w:p w14:paraId="59588581">
                  <w:pPr>
                    <w:widowControl/>
                    <w:jc w:val="center"/>
                    <w:textAlignment w:val="center"/>
                    <w:rPr>
                      <w:rFonts w:hint="eastAsia"/>
                      <w:color w:val="auto"/>
                      <w:sz w:val="18"/>
                      <w:szCs w:val="18"/>
                      <w:lang w:val="en-US" w:eastAsia="zh-CN"/>
                    </w:rPr>
                  </w:pPr>
                </w:p>
              </w:tc>
              <w:tc>
                <w:tcPr>
                  <w:tcW w:w="300" w:type="pct"/>
                  <w:vMerge w:val="continue"/>
                  <w:tcBorders>
                    <w:tl2br w:val="nil"/>
                    <w:tr2bl w:val="nil"/>
                  </w:tcBorders>
                  <w:shd w:val="clear" w:color="auto" w:fill="auto"/>
                  <w:vAlign w:val="center"/>
                </w:tcPr>
                <w:p w14:paraId="2BF96655">
                  <w:pPr>
                    <w:widowControl/>
                    <w:jc w:val="center"/>
                    <w:textAlignment w:val="center"/>
                    <w:rPr>
                      <w:rFonts w:hint="eastAsia"/>
                      <w:color w:val="auto"/>
                      <w:sz w:val="18"/>
                      <w:szCs w:val="18"/>
                      <w:lang w:val="en-US" w:eastAsia="zh-CN"/>
                    </w:rPr>
                  </w:pPr>
                </w:p>
              </w:tc>
              <w:tc>
                <w:tcPr>
                  <w:tcW w:w="267" w:type="pct"/>
                  <w:tcBorders>
                    <w:tl2br w:val="nil"/>
                    <w:tr2bl w:val="nil"/>
                  </w:tcBorders>
                  <w:shd w:val="clear" w:color="auto" w:fill="auto"/>
                  <w:vAlign w:val="center"/>
                </w:tcPr>
                <w:p w14:paraId="0C85581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18.</w:t>
                  </w:r>
                  <w:r>
                    <w:rPr>
                      <w:rFonts w:hint="eastAsia" w:cs="Times New Roman"/>
                      <w:i w:val="0"/>
                      <w:iCs w:val="0"/>
                      <w:color w:val="auto"/>
                      <w:kern w:val="0"/>
                      <w:sz w:val="18"/>
                      <w:szCs w:val="18"/>
                      <w:u w:val="none"/>
                      <w:lang w:val="en-US" w:eastAsia="zh-CN" w:bidi="ar"/>
                    </w:rPr>
                    <w:t>6</w:t>
                  </w:r>
                  <w:r>
                    <w:rPr>
                      <w:rFonts w:hint="eastAsia" w:ascii="Times New Roman" w:hAnsi="Times New Roman" w:eastAsia="宋体" w:cs="Times New Roman"/>
                      <w:i w:val="0"/>
                      <w:iCs w:val="0"/>
                      <w:color w:val="auto"/>
                      <w:kern w:val="0"/>
                      <w:sz w:val="18"/>
                      <w:szCs w:val="18"/>
                      <w:u w:val="none"/>
                      <w:lang w:val="en-US" w:eastAsia="zh-CN" w:bidi="ar"/>
                    </w:rPr>
                    <w:t xml:space="preserve"> </w:t>
                  </w:r>
                </w:p>
              </w:tc>
              <w:tc>
                <w:tcPr>
                  <w:tcW w:w="261" w:type="pct"/>
                  <w:tcBorders>
                    <w:tl2br w:val="nil"/>
                    <w:tr2bl w:val="nil"/>
                  </w:tcBorders>
                  <w:shd w:val="clear" w:color="auto" w:fill="auto"/>
                  <w:vAlign w:val="center"/>
                </w:tcPr>
                <w:p w14:paraId="3114973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0.015</w:t>
                  </w:r>
                </w:p>
              </w:tc>
              <w:tc>
                <w:tcPr>
                  <w:tcW w:w="272" w:type="pct"/>
                  <w:tcBorders>
                    <w:tl2br w:val="nil"/>
                    <w:tr2bl w:val="nil"/>
                  </w:tcBorders>
                  <w:shd w:val="clear" w:color="auto" w:fill="auto"/>
                  <w:vAlign w:val="center"/>
                </w:tcPr>
                <w:p w14:paraId="2030C4B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0.072</w:t>
                  </w:r>
                </w:p>
              </w:tc>
              <w:tc>
                <w:tcPr>
                  <w:tcW w:w="285" w:type="pct"/>
                  <w:vMerge w:val="continue"/>
                  <w:tcBorders>
                    <w:tl2br w:val="nil"/>
                    <w:tr2bl w:val="nil"/>
                  </w:tcBorders>
                  <w:shd w:val="clear" w:color="auto" w:fill="auto"/>
                  <w:vAlign w:val="center"/>
                </w:tcPr>
                <w:p w14:paraId="623E6A5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67" w:type="pct"/>
                  <w:vMerge w:val="continue"/>
                  <w:tcBorders>
                    <w:tl2br w:val="nil"/>
                    <w:tr2bl w:val="nil"/>
                  </w:tcBorders>
                  <w:shd w:val="clear" w:color="auto" w:fill="auto"/>
                  <w:vAlign w:val="center"/>
                </w:tcPr>
                <w:p w14:paraId="534A4F17">
                  <w:pPr>
                    <w:widowControl/>
                    <w:jc w:val="center"/>
                    <w:textAlignment w:val="center"/>
                    <w:rPr>
                      <w:rFonts w:hint="eastAsia"/>
                      <w:color w:val="auto"/>
                      <w:sz w:val="18"/>
                      <w:szCs w:val="18"/>
                      <w:lang w:val="en-US" w:eastAsia="zh-CN"/>
                    </w:rPr>
                  </w:pPr>
                </w:p>
              </w:tc>
              <w:tc>
                <w:tcPr>
                  <w:tcW w:w="168" w:type="pct"/>
                  <w:vMerge w:val="continue"/>
                  <w:tcBorders>
                    <w:tl2br w:val="nil"/>
                    <w:tr2bl w:val="nil"/>
                  </w:tcBorders>
                  <w:shd w:val="clear" w:color="auto" w:fill="auto"/>
                  <w:vAlign w:val="center"/>
                </w:tcPr>
                <w:p w14:paraId="02041E0C">
                  <w:pPr>
                    <w:widowControl/>
                    <w:jc w:val="center"/>
                    <w:textAlignment w:val="center"/>
                    <w:rPr>
                      <w:rFonts w:hint="eastAsia"/>
                      <w:color w:val="auto"/>
                      <w:sz w:val="18"/>
                      <w:szCs w:val="18"/>
                      <w:lang w:val="en-US" w:eastAsia="zh-CN"/>
                    </w:rPr>
                  </w:pPr>
                </w:p>
              </w:tc>
              <w:tc>
                <w:tcPr>
                  <w:tcW w:w="173" w:type="pct"/>
                  <w:vMerge w:val="continue"/>
                  <w:tcBorders>
                    <w:tl2br w:val="nil"/>
                    <w:tr2bl w:val="nil"/>
                  </w:tcBorders>
                  <w:shd w:val="clear" w:color="auto" w:fill="auto"/>
                  <w:vAlign w:val="center"/>
                </w:tcPr>
                <w:p w14:paraId="25240384">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1B3A91BA">
                  <w:pPr>
                    <w:widowControl/>
                    <w:jc w:val="center"/>
                    <w:textAlignment w:val="center"/>
                    <w:rPr>
                      <w:rFonts w:hint="eastAsia" w:ascii="宋体" w:hAnsi="宋体" w:cs="宋体"/>
                      <w:color w:val="auto"/>
                      <w:kern w:val="0"/>
                      <w:sz w:val="18"/>
                      <w:szCs w:val="18"/>
                      <w:lang w:bidi="ar"/>
                    </w:rPr>
                  </w:pPr>
                </w:p>
              </w:tc>
              <w:tc>
                <w:tcPr>
                  <w:tcW w:w="232" w:type="pct"/>
                  <w:tcBorders>
                    <w:tl2br w:val="nil"/>
                    <w:tr2bl w:val="nil"/>
                  </w:tcBorders>
                  <w:shd w:val="clear" w:color="auto" w:fill="auto"/>
                  <w:vAlign w:val="center"/>
                </w:tcPr>
                <w:p w14:paraId="6857A430">
                  <w:pPr>
                    <w:jc w:val="center"/>
                    <w:rPr>
                      <w:rFonts w:hint="default"/>
                      <w:color w:val="auto"/>
                      <w:sz w:val="18"/>
                      <w:szCs w:val="18"/>
                      <w:lang w:val="en-US" w:eastAsia="zh-CN"/>
                    </w:rPr>
                  </w:pPr>
                  <w:r>
                    <w:rPr>
                      <w:rFonts w:hint="eastAsia"/>
                      <w:color w:val="auto"/>
                      <w:sz w:val="18"/>
                      <w:szCs w:val="18"/>
                      <w:lang w:val="en-US" w:eastAsia="zh-CN"/>
                    </w:rPr>
                    <w:t>50</w:t>
                  </w:r>
                </w:p>
              </w:tc>
              <w:tc>
                <w:tcPr>
                  <w:tcW w:w="205" w:type="pct"/>
                  <w:tcBorders>
                    <w:tl2br w:val="nil"/>
                    <w:tr2bl w:val="nil"/>
                  </w:tcBorders>
                  <w:shd w:val="clear" w:color="auto" w:fill="auto"/>
                  <w:vAlign w:val="center"/>
                </w:tcPr>
                <w:p w14:paraId="31A39196">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2EBCDB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28F0C267">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1B99FC72">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1DEC7292">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氮氧化物</w:t>
                  </w:r>
                </w:p>
              </w:tc>
              <w:tc>
                <w:tcPr>
                  <w:tcW w:w="306" w:type="pct"/>
                  <w:tcBorders>
                    <w:tl2br w:val="nil"/>
                    <w:tr2bl w:val="nil"/>
                  </w:tcBorders>
                  <w:shd w:val="clear" w:color="auto" w:fill="auto"/>
                  <w:vAlign w:val="center"/>
                </w:tcPr>
                <w:p w14:paraId="298B2AB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173.2 </w:t>
                  </w:r>
                </w:p>
              </w:tc>
              <w:tc>
                <w:tcPr>
                  <w:tcW w:w="272" w:type="pct"/>
                  <w:tcBorders>
                    <w:tl2br w:val="nil"/>
                    <w:tr2bl w:val="nil"/>
                  </w:tcBorders>
                  <w:shd w:val="clear" w:color="auto" w:fill="auto"/>
                  <w:vAlign w:val="center"/>
                </w:tcPr>
                <w:p w14:paraId="11B1CB6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0.14</w:t>
                  </w:r>
                </w:p>
              </w:tc>
              <w:tc>
                <w:tcPr>
                  <w:tcW w:w="272" w:type="pct"/>
                  <w:tcBorders>
                    <w:tl2br w:val="nil"/>
                    <w:tr2bl w:val="nil"/>
                  </w:tcBorders>
                  <w:shd w:val="clear" w:color="auto" w:fill="auto"/>
                  <w:vAlign w:val="center"/>
                </w:tcPr>
                <w:p w14:paraId="22F1A4D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0.674</w:t>
                  </w:r>
                </w:p>
              </w:tc>
              <w:tc>
                <w:tcPr>
                  <w:tcW w:w="263" w:type="pct"/>
                  <w:vMerge w:val="continue"/>
                  <w:tcBorders>
                    <w:tl2br w:val="nil"/>
                    <w:tr2bl w:val="nil"/>
                  </w:tcBorders>
                  <w:shd w:val="clear" w:color="auto" w:fill="auto"/>
                  <w:vAlign w:val="center"/>
                </w:tcPr>
                <w:p w14:paraId="1D665C6F">
                  <w:pPr>
                    <w:widowControl/>
                    <w:jc w:val="center"/>
                    <w:textAlignment w:val="center"/>
                    <w:rPr>
                      <w:rFonts w:hint="eastAsia"/>
                      <w:color w:val="auto"/>
                      <w:sz w:val="18"/>
                      <w:szCs w:val="18"/>
                      <w:lang w:val="en-US" w:eastAsia="zh-CN"/>
                    </w:rPr>
                  </w:pPr>
                </w:p>
              </w:tc>
              <w:tc>
                <w:tcPr>
                  <w:tcW w:w="177" w:type="pct"/>
                  <w:vMerge w:val="continue"/>
                  <w:tcBorders>
                    <w:tl2br w:val="nil"/>
                    <w:tr2bl w:val="nil"/>
                  </w:tcBorders>
                  <w:shd w:val="clear" w:color="auto" w:fill="auto"/>
                  <w:vAlign w:val="center"/>
                </w:tcPr>
                <w:p w14:paraId="68C33D83">
                  <w:pPr>
                    <w:widowControl/>
                    <w:jc w:val="center"/>
                    <w:textAlignment w:val="center"/>
                    <w:rPr>
                      <w:rFonts w:hint="eastAsia"/>
                      <w:color w:val="auto"/>
                      <w:sz w:val="18"/>
                      <w:szCs w:val="18"/>
                      <w:lang w:val="en-US" w:eastAsia="zh-CN"/>
                    </w:rPr>
                  </w:pPr>
                </w:p>
              </w:tc>
              <w:tc>
                <w:tcPr>
                  <w:tcW w:w="203" w:type="pct"/>
                  <w:vMerge w:val="continue"/>
                  <w:tcBorders>
                    <w:tl2br w:val="nil"/>
                    <w:tr2bl w:val="nil"/>
                  </w:tcBorders>
                  <w:shd w:val="clear" w:color="auto" w:fill="auto"/>
                  <w:vAlign w:val="center"/>
                </w:tcPr>
                <w:p w14:paraId="4AD9E01D">
                  <w:pPr>
                    <w:widowControl/>
                    <w:jc w:val="center"/>
                    <w:textAlignment w:val="center"/>
                    <w:rPr>
                      <w:rFonts w:hint="eastAsia"/>
                      <w:color w:val="auto"/>
                      <w:sz w:val="18"/>
                      <w:szCs w:val="18"/>
                      <w:lang w:val="en-US" w:eastAsia="zh-CN"/>
                    </w:rPr>
                  </w:pPr>
                </w:p>
              </w:tc>
              <w:tc>
                <w:tcPr>
                  <w:tcW w:w="224" w:type="pct"/>
                  <w:vMerge w:val="continue"/>
                  <w:tcBorders>
                    <w:tl2br w:val="nil"/>
                    <w:tr2bl w:val="nil"/>
                  </w:tcBorders>
                  <w:shd w:val="clear" w:color="auto" w:fill="auto"/>
                  <w:vAlign w:val="center"/>
                </w:tcPr>
                <w:p w14:paraId="3FC3F69C">
                  <w:pPr>
                    <w:widowControl/>
                    <w:jc w:val="center"/>
                    <w:textAlignment w:val="center"/>
                    <w:rPr>
                      <w:rFonts w:hint="eastAsia"/>
                      <w:color w:val="auto"/>
                      <w:sz w:val="18"/>
                      <w:szCs w:val="18"/>
                      <w:lang w:val="en-US" w:eastAsia="zh-CN"/>
                    </w:rPr>
                  </w:pPr>
                </w:p>
              </w:tc>
              <w:tc>
                <w:tcPr>
                  <w:tcW w:w="300" w:type="pct"/>
                  <w:vMerge w:val="continue"/>
                  <w:tcBorders>
                    <w:tl2br w:val="nil"/>
                    <w:tr2bl w:val="nil"/>
                  </w:tcBorders>
                  <w:shd w:val="clear" w:color="auto" w:fill="auto"/>
                  <w:vAlign w:val="center"/>
                </w:tcPr>
                <w:p w14:paraId="29A72871">
                  <w:pPr>
                    <w:widowControl/>
                    <w:jc w:val="center"/>
                    <w:textAlignment w:val="center"/>
                    <w:rPr>
                      <w:rFonts w:hint="eastAsia"/>
                      <w:color w:val="auto"/>
                      <w:sz w:val="18"/>
                      <w:szCs w:val="18"/>
                      <w:lang w:val="en-US" w:eastAsia="zh-CN"/>
                    </w:rPr>
                  </w:pPr>
                </w:p>
              </w:tc>
              <w:tc>
                <w:tcPr>
                  <w:tcW w:w="267" w:type="pct"/>
                  <w:tcBorders>
                    <w:tl2br w:val="nil"/>
                    <w:tr2bl w:val="nil"/>
                  </w:tcBorders>
                  <w:shd w:val="clear" w:color="auto" w:fill="auto"/>
                  <w:vAlign w:val="center"/>
                </w:tcPr>
                <w:p w14:paraId="3FADE48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173.2 </w:t>
                  </w:r>
                </w:p>
              </w:tc>
              <w:tc>
                <w:tcPr>
                  <w:tcW w:w="261" w:type="pct"/>
                  <w:tcBorders>
                    <w:tl2br w:val="nil"/>
                    <w:tr2bl w:val="nil"/>
                  </w:tcBorders>
                  <w:shd w:val="clear" w:color="auto" w:fill="auto"/>
                  <w:vAlign w:val="center"/>
                </w:tcPr>
                <w:p w14:paraId="68BA047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0.14</w:t>
                  </w:r>
                </w:p>
              </w:tc>
              <w:tc>
                <w:tcPr>
                  <w:tcW w:w="272" w:type="pct"/>
                  <w:tcBorders>
                    <w:tl2br w:val="nil"/>
                    <w:tr2bl w:val="nil"/>
                  </w:tcBorders>
                  <w:shd w:val="clear" w:color="auto" w:fill="auto"/>
                  <w:vAlign w:val="center"/>
                </w:tcPr>
                <w:p w14:paraId="2A85C3A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0.674</w:t>
                  </w:r>
                </w:p>
              </w:tc>
              <w:tc>
                <w:tcPr>
                  <w:tcW w:w="285" w:type="pct"/>
                  <w:vMerge w:val="continue"/>
                  <w:tcBorders>
                    <w:tl2br w:val="nil"/>
                    <w:tr2bl w:val="nil"/>
                  </w:tcBorders>
                  <w:shd w:val="clear" w:color="auto" w:fill="auto"/>
                  <w:vAlign w:val="center"/>
                </w:tcPr>
                <w:p w14:paraId="253B484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67" w:type="pct"/>
                  <w:vMerge w:val="continue"/>
                  <w:tcBorders>
                    <w:tl2br w:val="nil"/>
                    <w:tr2bl w:val="nil"/>
                  </w:tcBorders>
                  <w:shd w:val="clear" w:color="auto" w:fill="auto"/>
                  <w:vAlign w:val="center"/>
                </w:tcPr>
                <w:p w14:paraId="572357BF">
                  <w:pPr>
                    <w:widowControl/>
                    <w:jc w:val="center"/>
                    <w:textAlignment w:val="center"/>
                    <w:rPr>
                      <w:rFonts w:hint="eastAsia"/>
                      <w:color w:val="auto"/>
                      <w:sz w:val="18"/>
                      <w:szCs w:val="18"/>
                      <w:lang w:val="en-US" w:eastAsia="zh-CN"/>
                    </w:rPr>
                  </w:pPr>
                </w:p>
              </w:tc>
              <w:tc>
                <w:tcPr>
                  <w:tcW w:w="168" w:type="pct"/>
                  <w:vMerge w:val="continue"/>
                  <w:tcBorders>
                    <w:tl2br w:val="nil"/>
                    <w:tr2bl w:val="nil"/>
                  </w:tcBorders>
                  <w:shd w:val="clear" w:color="auto" w:fill="auto"/>
                  <w:vAlign w:val="center"/>
                </w:tcPr>
                <w:p w14:paraId="3F6FEA48">
                  <w:pPr>
                    <w:widowControl/>
                    <w:jc w:val="center"/>
                    <w:textAlignment w:val="center"/>
                    <w:rPr>
                      <w:rFonts w:hint="eastAsia"/>
                      <w:color w:val="auto"/>
                      <w:sz w:val="18"/>
                      <w:szCs w:val="18"/>
                      <w:lang w:val="en-US" w:eastAsia="zh-CN"/>
                    </w:rPr>
                  </w:pPr>
                </w:p>
              </w:tc>
              <w:tc>
                <w:tcPr>
                  <w:tcW w:w="173" w:type="pct"/>
                  <w:vMerge w:val="continue"/>
                  <w:tcBorders>
                    <w:tl2br w:val="nil"/>
                    <w:tr2bl w:val="nil"/>
                  </w:tcBorders>
                  <w:shd w:val="clear" w:color="auto" w:fill="auto"/>
                  <w:vAlign w:val="center"/>
                </w:tcPr>
                <w:p w14:paraId="30939262">
                  <w:pPr>
                    <w:widowControl/>
                    <w:jc w:val="center"/>
                    <w:textAlignment w:val="center"/>
                    <w:rPr>
                      <w:rFonts w:hint="eastAsia" w:ascii="宋体" w:hAnsi="宋体" w:cs="宋体"/>
                      <w:color w:val="auto"/>
                      <w:kern w:val="0"/>
                      <w:sz w:val="18"/>
                      <w:szCs w:val="18"/>
                      <w:lang w:bidi="ar"/>
                    </w:rPr>
                  </w:pPr>
                </w:p>
              </w:tc>
              <w:tc>
                <w:tcPr>
                  <w:tcW w:w="227" w:type="pct"/>
                  <w:vMerge w:val="continue"/>
                  <w:tcBorders>
                    <w:tl2br w:val="nil"/>
                    <w:tr2bl w:val="nil"/>
                  </w:tcBorders>
                  <w:shd w:val="clear" w:color="auto" w:fill="auto"/>
                  <w:vAlign w:val="center"/>
                </w:tcPr>
                <w:p w14:paraId="1FA60ADC">
                  <w:pPr>
                    <w:widowControl/>
                    <w:jc w:val="center"/>
                    <w:textAlignment w:val="center"/>
                    <w:rPr>
                      <w:rFonts w:hint="eastAsia" w:ascii="宋体" w:hAnsi="宋体" w:cs="宋体"/>
                      <w:color w:val="auto"/>
                      <w:kern w:val="0"/>
                      <w:sz w:val="18"/>
                      <w:szCs w:val="18"/>
                      <w:lang w:bidi="ar"/>
                    </w:rPr>
                  </w:pPr>
                </w:p>
              </w:tc>
              <w:tc>
                <w:tcPr>
                  <w:tcW w:w="232" w:type="pct"/>
                  <w:tcBorders>
                    <w:tl2br w:val="nil"/>
                    <w:tr2bl w:val="nil"/>
                  </w:tcBorders>
                  <w:shd w:val="clear" w:color="auto" w:fill="auto"/>
                  <w:vAlign w:val="center"/>
                </w:tcPr>
                <w:p w14:paraId="2F43C429">
                  <w:pPr>
                    <w:jc w:val="center"/>
                    <w:rPr>
                      <w:rFonts w:hint="default"/>
                      <w:color w:val="auto"/>
                      <w:sz w:val="18"/>
                      <w:szCs w:val="18"/>
                      <w:lang w:val="en-US" w:eastAsia="zh-CN"/>
                    </w:rPr>
                  </w:pPr>
                  <w:r>
                    <w:rPr>
                      <w:rFonts w:hint="eastAsia"/>
                      <w:color w:val="auto"/>
                      <w:sz w:val="18"/>
                      <w:szCs w:val="18"/>
                      <w:lang w:val="en-US" w:eastAsia="zh-CN"/>
                    </w:rPr>
                    <w:t>200</w:t>
                  </w:r>
                </w:p>
              </w:tc>
              <w:tc>
                <w:tcPr>
                  <w:tcW w:w="205" w:type="pct"/>
                  <w:tcBorders>
                    <w:tl2br w:val="nil"/>
                    <w:tr2bl w:val="nil"/>
                  </w:tcBorders>
                  <w:shd w:val="clear" w:color="auto" w:fill="auto"/>
                  <w:vAlign w:val="center"/>
                </w:tcPr>
                <w:p w14:paraId="425A7351">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2C5D4C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restart"/>
                  <w:tcBorders>
                    <w:tl2br w:val="nil"/>
                    <w:tr2bl w:val="nil"/>
                  </w:tcBorders>
                  <w:shd w:val="clear" w:color="auto" w:fill="auto"/>
                  <w:vAlign w:val="center"/>
                </w:tcPr>
                <w:p w14:paraId="3DDD36F4">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红冲加热炉</w:t>
                  </w:r>
                </w:p>
              </w:tc>
              <w:tc>
                <w:tcPr>
                  <w:tcW w:w="151" w:type="pct"/>
                  <w:vMerge w:val="restart"/>
                  <w:tcBorders>
                    <w:tl2br w:val="nil"/>
                    <w:tr2bl w:val="nil"/>
                  </w:tcBorders>
                  <w:shd w:val="clear" w:color="auto" w:fill="auto"/>
                  <w:vAlign w:val="center"/>
                </w:tcPr>
                <w:p w14:paraId="6FB2F5D9">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3#车间</w:t>
                  </w:r>
                </w:p>
              </w:tc>
              <w:tc>
                <w:tcPr>
                  <w:tcW w:w="233" w:type="pct"/>
                  <w:tcBorders>
                    <w:tl2br w:val="nil"/>
                    <w:tr2bl w:val="nil"/>
                  </w:tcBorders>
                  <w:shd w:val="clear" w:color="auto" w:fill="auto"/>
                  <w:vAlign w:val="center"/>
                </w:tcPr>
                <w:p w14:paraId="4F0608A4">
                  <w:pPr>
                    <w:widowControl/>
                    <w:jc w:val="center"/>
                    <w:textAlignment w:val="center"/>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6BB85A4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21.3 </w:t>
                  </w:r>
                </w:p>
              </w:tc>
              <w:tc>
                <w:tcPr>
                  <w:tcW w:w="272" w:type="pct"/>
                  <w:tcBorders>
                    <w:tl2br w:val="nil"/>
                    <w:tr2bl w:val="nil"/>
                  </w:tcBorders>
                  <w:shd w:val="clear" w:color="auto" w:fill="auto"/>
                  <w:vAlign w:val="center"/>
                </w:tcPr>
                <w:p w14:paraId="3FBF5A8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0.012 </w:t>
                  </w:r>
                </w:p>
              </w:tc>
              <w:tc>
                <w:tcPr>
                  <w:tcW w:w="272" w:type="pct"/>
                  <w:tcBorders>
                    <w:tl2br w:val="nil"/>
                    <w:tr2bl w:val="nil"/>
                  </w:tcBorders>
                  <w:shd w:val="clear" w:color="auto" w:fill="auto"/>
                  <w:vAlign w:val="center"/>
                </w:tcPr>
                <w:p w14:paraId="12C9082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0.029</w:t>
                  </w:r>
                </w:p>
              </w:tc>
              <w:tc>
                <w:tcPr>
                  <w:tcW w:w="263" w:type="pct"/>
                  <w:vMerge w:val="restart"/>
                  <w:tcBorders>
                    <w:tl2br w:val="nil"/>
                    <w:tr2bl w:val="nil"/>
                  </w:tcBorders>
                  <w:shd w:val="clear" w:color="auto" w:fill="auto"/>
                  <w:vAlign w:val="center"/>
                </w:tcPr>
                <w:p w14:paraId="2F7016EE">
                  <w:pPr>
                    <w:widowControl/>
                    <w:jc w:val="center"/>
                    <w:textAlignment w:val="center"/>
                    <w:rPr>
                      <w:rFonts w:hint="default"/>
                      <w:color w:val="auto"/>
                      <w:sz w:val="18"/>
                      <w:szCs w:val="18"/>
                      <w:lang w:val="en-US" w:eastAsia="zh-CN"/>
                    </w:rPr>
                  </w:pPr>
                  <w:r>
                    <w:rPr>
                      <w:rFonts w:hint="eastAsia"/>
                      <w:color w:val="auto"/>
                      <w:sz w:val="18"/>
                      <w:szCs w:val="18"/>
                      <w:lang w:val="en-US" w:eastAsia="zh-CN"/>
                    </w:rPr>
                    <w:t>566.7</w:t>
                  </w:r>
                </w:p>
              </w:tc>
              <w:tc>
                <w:tcPr>
                  <w:tcW w:w="177" w:type="pct"/>
                  <w:vMerge w:val="restart"/>
                  <w:tcBorders>
                    <w:tl2br w:val="nil"/>
                    <w:tr2bl w:val="nil"/>
                  </w:tcBorders>
                  <w:shd w:val="clear" w:color="auto" w:fill="auto"/>
                  <w:vAlign w:val="center"/>
                </w:tcPr>
                <w:p w14:paraId="45749B79">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100</w:t>
                  </w:r>
                </w:p>
              </w:tc>
              <w:tc>
                <w:tcPr>
                  <w:tcW w:w="203" w:type="pct"/>
                  <w:vMerge w:val="restart"/>
                  <w:tcBorders>
                    <w:tl2br w:val="nil"/>
                    <w:tr2bl w:val="nil"/>
                  </w:tcBorders>
                  <w:shd w:val="clear" w:color="auto" w:fill="auto"/>
                  <w:vAlign w:val="center"/>
                </w:tcPr>
                <w:p w14:paraId="456E693F">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w:t>
                  </w:r>
                </w:p>
              </w:tc>
              <w:tc>
                <w:tcPr>
                  <w:tcW w:w="224" w:type="pct"/>
                  <w:vMerge w:val="restart"/>
                  <w:tcBorders>
                    <w:tl2br w:val="nil"/>
                    <w:tr2bl w:val="nil"/>
                  </w:tcBorders>
                  <w:shd w:val="clear" w:color="auto" w:fill="auto"/>
                  <w:vAlign w:val="center"/>
                </w:tcPr>
                <w:p w14:paraId="069CFE98">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是</w:t>
                  </w:r>
                </w:p>
              </w:tc>
              <w:tc>
                <w:tcPr>
                  <w:tcW w:w="300" w:type="pct"/>
                  <w:vMerge w:val="restart"/>
                  <w:tcBorders>
                    <w:tl2br w:val="nil"/>
                    <w:tr2bl w:val="nil"/>
                  </w:tcBorders>
                  <w:shd w:val="clear" w:color="auto" w:fill="auto"/>
                  <w:vAlign w:val="center"/>
                </w:tcPr>
                <w:p w14:paraId="409CC70D">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267" w:type="pct"/>
                  <w:tcBorders>
                    <w:tl2br w:val="nil"/>
                    <w:tr2bl w:val="nil"/>
                  </w:tcBorders>
                  <w:shd w:val="clear" w:color="auto" w:fill="auto"/>
                  <w:vAlign w:val="center"/>
                </w:tcPr>
                <w:p w14:paraId="17826F6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21.3 </w:t>
                  </w:r>
                </w:p>
              </w:tc>
              <w:tc>
                <w:tcPr>
                  <w:tcW w:w="261" w:type="pct"/>
                  <w:tcBorders>
                    <w:tl2br w:val="nil"/>
                    <w:tr2bl w:val="nil"/>
                  </w:tcBorders>
                  <w:shd w:val="clear" w:color="auto" w:fill="auto"/>
                  <w:vAlign w:val="center"/>
                </w:tcPr>
                <w:p w14:paraId="177E1B9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0.012 </w:t>
                  </w:r>
                </w:p>
              </w:tc>
              <w:tc>
                <w:tcPr>
                  <w:tcW w:w="272" w:type="pct"/>
                  <w:tcBorders>
                    <w:tl2br w:val="nil"/>
                    <w:tr2bl w:val="nil"/>
                  </w:tcBorders>
                  <w:shd w:val="clear" w:color="auto" w:fill="auto"/>
                  <w:vAlign w:val="center"/>
                </w:tcPr>
                <w:p w14:paraId="55C732E7">
                  <w:pPr>
                    <w:keepNext w:val="0"/>
                    <w:keepLines w:val="0"/>
                    <w:widowControl/>
                    <w:suppressLineNumbers w:val="0"/>
                    <w:jc w:val="center"/>
                    <w:textAlignment w:val="center"/>
                    <w:rPr>
                      <w:rFonts w:hint="eastAsia"/>
                      <w:color w:val="auto"/>
                      <w:sz w:val="18"/>
                      <w:szCs w:val="18"/>
                      <w:lang w:val="en-US" w:eastAsia="zh-CN"/>
                    </w:rPr>
                  </w:pPr>
                  <w:r>
                    <w:rPr>
                      <w:rFonts w:hint="eastAsia" w:ascii="Times New Roman" w:hAnsi="Times New Roman" w:eastAsia="宋体" w:cs="Times New Roman"/>
                      <w:i w:val="0"/>
                      <w:iCs w:val="0"/>
                      <w:color w:val="auto"/>
                      <w:kern w:val="0"/>
                      <w:sz w:val="18"/>
                      <w:szCs w:val="18"/>
                      <w:u w:val="none"/>
                      <w:lang w:val="en-US" w:eastAsia="zh-CN" w:bidi="ar"/>
                    </w:rPr>
                    <w:t>0.029</w:t>
                  </w:r>
                </w:p>
              </w:tc>
              <w:tc>
                <w:tcPr>
                  <w:tcW w:w="285" w:type="pct"/>
                  <w:vMerge w:val="restart"/>
                  <w:tcBorders>
                    <w:tl2br w:val="nil"/>
                    <w:tr2bl w:val="nil"/>
                  </w:tcBorders>
                  <w:shd w:val="clear" w:color="auto" w:fill="auto"/>
                  <w:vAlign w:val="center"/>
                </w:tcPr>
                <w:p w14:paraId="5D1A8C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DA0</w:t>
                  </w:r>
                  <w:r>
                    <w:rPr>
                      <w:rFonts w:hint="eastAsia" w:cs="Times New Roman"/>
                      <w:i w:val="0"/>
                      <w:iCs w:val="0"/>
                      <w:color w:val="auto"/>
                      <w:kern w:val="0"/>
                      <w:sz w:val="18"/>
                      <w:szCs w:val="18"/>
                      <w:u w:val="none"/>
                      <w:lang w:val="en-US" w:eastAsia="zh-CN" w:bidi="ar"/>
                    </w:rPr>
                    <w:t>13</w:t>
                  </w:r>
                </w:p>
              </w:tc>
              <w:tc>
                <w:tcPr>
                  <w:tcW w:w="167" w:type="pct"/>
                  <w:vMerge w:val="restart"/>
                  <w:tcBorders>
                    <w:tl2br w:val="nil"/>
                    <w:tr2bl w:val="nil"/>
                  </w:tcBorders>
                  <w:shd w:val="clear" w:color="auto" w:fill="auto"/>
                  <w:vAlign w:val="center"/>
                </w:tcPr>
                <w:p w14:paraId="34B18CCC">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15</w:t>
                  </w:r>
                </w:p>
              </w:tc>
              <w:tc>
                <w:tcPr>
                  <w:tcW w:w="168" w:type="pct"/>
                  <w:vMerge w:val="restart"/>
                  <w:tcBorders>
                    <w:tl2br w:val="nil"/>
                    <w:tr2bl w:val="nil"/>
                  </w:tcBorders>
                  <w:shd w:val="clear" w:color="auto" w:fill="auto"/>
                  <w:vAlign w:val="center"/>
                </w:tcPr>
                <w:p w14:paraId="2DB71F26">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lang w:val="en-US" w:eastAsia="zh-CN"/>
                    </w:rPr>
                    <w:t>0.</w:t>
                  </w:r>
                  <w:r>
                    <w:rPr>
                      <w:rFonts w:hint="eastAsia"/>
                      <w:color w:val="auto"/>
                      <w:sz w:val="18"/>
                      <w:szCs w:val="18"/>
                      <w:lang w:val="en-US" w:eastAsia="zh-CN"/>
                    </w:rPr>
                    <w:t>2</w:t>
                  </w:r>
                </w:p>
              </w:tc>
              <w:tc>
                <w:tcPr>
                  <w:tcW w:w="173" w:type="pct"/>
                  <w:vMerge w:val="restart"/>
                  <w:tcBorders>
                    <w:tl2br w:val="nil"/>
                    <w:tr2bl w:val="nil"/>
                  </w:tcBorders>
                  <w:shd w:val="clear" w:color="auto" w:fill="auto"/>
                  <w:vAlign w:val="center"/>
                </w:tcPr>
                <w:p w14:paraId="7EE94449">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温度</w:t>
                  </w:r>
                  <w:r>
                    <w:rPr>
                      <w:rFonts w:hint="eastAsia" w:cs="Times New Roman"/>
                      <w:color w:val="auto"/>
                      <w:sz w:val="18"/>
                      <w:szCs w:val="18"/>
                      <w:lang w:val="en-US" w:eastAsia="zh-CN"/>
                    </w:rPr>
                    <w:t>6</w:t>
                  </w:r>
                  <w:r>
                    <w:rPr>
                      <w:rFonts w:hint="default" w:ascii="Times New Roman" w:hAnsi="Times New Roman" w:cs="Times New Roman"/>
                      <w:color w:val="auto"/>
                      <w:sz w:val="18"/>
                      <w:szCs w:val="18"/>
                      <w:lang w:val="en-US" w:eastAsia="zh-CN"/>
                    </w:rPr>
                    <w:t>0℃</w:t>
                  </w:r>
                </w:p>
              </w:tc>
              <w:tc>
                <w:tcPr>
                  <w:tcW w:w="227" w:type="pct"/>
                  <w:vMerge w:val="restart"/>
                  <w:tcBorders>
                    <w:tl2br w:val="nil"/>
                    <w:tr2bl w:val="nil"/>
                  </w:tcBorders>
                  <w:shd w:val="clear" w:color="auto" w:fill="auto"/>
                  <w:vAlign w:val="center"/>
                </w:tcPr>
                <w:p w14:paraId="12715821">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232" w:type="pct"/>
                  <w:tcBorders>
                    <w:tl2br w:val="nil"/>
                    <w:tr2bl w:val="nil"/>
                  </w:tcBorders>
                  <w:shd w:val="clear" w:color="auto" w:fill="auto"/>
                  <w:vAlign w:val="center"/>
                </w:tcPr>
                <w:p w14:paraId="688E3D40">
                  <w:pPr>
                    <w:jc w:val="center"/>
                    <w:rPr>
                      <w:rFonts w:hint="default"/>
                      <w:color w:val="auto"/>
                      <w:sz w:val="18"/>
                      <w:szCs w:val="18"/>
                      <w:lang w:val="en-US" w:eastAsia="zh-CN"/>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28DDC2B1">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589AFB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33C94631">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3D759B19">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1C49771C">
                  <w:pPr>
                    <w:widowControl/>
                    <w:jc w:val="center"/>
                    <w:textAlignment w:val="center"/>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二氧化硫</w:t>
                  </w:r>
                </w:p>
              </w:tc>
              <w:tc>
                <w:tcPr>
                  <w:tcW w:w="306" w:type="pct"/>
                  <w:tcBorders>
                    <w:tl2br w:val="nil"/>
                    <w:tr2bl w:val="nil"/>
                  </w:tcBorders>
                  <w:shd w:val="clear" w:color="auto" w:fill="auto"/>
                  <w:vAlign w:val="center"/>
                </w:tcPr>
                <w:p w14:paraId="61C0C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14.7 </w:t>
                  </w:r>
                </w:p>
              </w:tc>
              <w:tc>
                <w:tcPr>
                  <w:tcW w:w="272" w:type="pct"/>
                  <w:tcBorders>
                    <w:tl2br w:val="nil"/>
                    <w:tr2bl w:val="nil"/>
                  </w:tcBorders>
                  <w:shd w:val="clear" w:color="auto" w:fill="auto"/>
                  <w:vAlign w:val="center"/>
                </w:tcPr>
                <w:p w14:paraId="4F832A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0.008 </w:t>
                  </w:r>
                </w:p>
              </w:tc>
              <w:tc>
                <w:tcPr>
                  <w:tcW w:w="272" w:type="pct"/>
                  <w:tcBorders>
                    <w:tl2br w:val="nil"/>
                    <w:tr2bl w:val="nil"/>
                  </w:tcBorders>
                  <w:shd w:val="clear" w:color="auto" w:fill="auto"/>
                  <w:vAlign w:val="center"/>
                </w:tcPr>
                <w:p w14:paraId="5304E6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263" w:type="pct"/>
                  <w:vMerge w:val="continue"/>
                  <w:tcBorders>
                    <w:tl2br w:val="nil"/>
                    <w:tr2bl w:val="nil"/>
                  </w:tcBorders>
                  <w:shd w:val="clear" w:color="auto" w:fill="auto"/>
                  <w:vAlign w:val="center"/>
                </w:tcPr>
                <w:p w14:paraId="61ADA326">
                  <w:pPr>
                    <w:widowControl/>
                    <w:jc w:val="center"/>
                    <w:textAlignment w:val="center"/>
                    <w:rPr>
                      <w:rFonts w:hint="default" w:ascii="Times New Roman" w:hAnsi="Times New Roman" w:cs="Times New Roman"/>
                      <w:color w:val="auto"/>
                      <w:sz w:val="18"/>
                      <w:szCs w:val="18"/>
                      <w:lang w:val="en-US" w:eastAsia="zh-CN"/>
                    </w:rPr>
                  </w:pPr>
                </w:p>
              </w:tc>
              <w:tc>
                <w:tcPr>
                  <w:tcW w:w="177" w:type="pct"/>
                  <w:vMerge w:val="continue"/>
                  <w:tcBorders>
                    <w:tl2br w:val="nil"/>
                    <w:tr2bl w:val="nil"/>
                  </w:tcBorders>
                  <w:shd w:val="clear" w:color="auto" w:fill="auto"/>
                  <w:vAlign w:val="center"/>
                </w:tcPr>
                <w:p w14:paraId="439BDE97">
                  <w:pPr>
                    <w:widowControl/>
                    <w:jc w:val="center"/>
                    <w:textAlignment w:val="center"/>
                    <w:rPr>
                      <w:rFonts w:hint="default" w:ascii="Times New Roman" w:hAnsi="Times New Roman" w:cs="Times New Roman"/>
                      <w:color w:val="auto"/>
                      <w:sz w:val="18"/>
                      <w:szCs w:val="18"/>
                      <w:lang w:val="en-US" w:eastAsia="zh-CN"/>
                    </w:rPr>
                  </w:pPr>
                </w:p>
              </w:tc>
              <w:tc>
                <w:tcPr>
                  <w:tcW w:w="203" w:type="pct"/>
                  <w:vMerge w:val="continue"/>
                  <w:tcBorders>
                    <w:tl2br w:val="nil"/>
                    <w:tr2bl w:val="nil"/>
                  </w:tcBorders>
                  <w:shd w:val="clear" w:color="auto" w:fill="auto"/>
                  <w:vAlign w:val="center"/>
                </w:tcPr>
                <w:p w14:paraId="12F017ED">
                  <w:pPr>
                    <w:widowControl/>
                    <w:jc w:val="center"/>
                    <w:textAlignment w:val="center"/>
                    <w:rPr>
                      <w:rFonts w:hint="default" w:ascii="Times New Roman" w:hAnsi="Times New Roman" w:cs="Times New Roman"/>
                      <w:color w:val="auto"/>
                      <w:sz w:val="18"/>
                      <w:szCs w:val="18"/>
                      <w:lang w:val="en-US" w:eastAsia="zh-CN"/>
                    </w:rPr>
                  </w:pPr>
                </w:p>
              </w:tc>
              <w:tc>
                <w:tcPr>
                  <w:tcW w:w="224" w:type="pct"/>
                  <w:vMerge w:val="continue"/>
                  <w:tcBorders>
                    <w:tl2br w:val="nil"/>
                    <w:tr2bl w:val="nil"/>
                  </w:tcBorders>
                  <w:shd w:val="clear" w:color="auto" w:fill="auto"/>
                  <w:vAlign w:val="center"/>
                </w:tcPr>
                <w:p w14:paraId="58399981">
                  <w:pPr>
                    <w:widowControl/>
                    <w:jc w:val="center"/>
                    <w:textAlignment w:val="center"/>
                    <w:rPr>
                      <w:rFonts w:hint="default" w:ascii="Times New Roman" w:hAnsi="Times New Roman" w:cs="Times New Roman"/>
                      <w:color w:val="auto"/>
                      <w:sz w:val="18"/>
                      <w:szCs w:val="18"/>
                      <w:lang w:val="en-US" w:eastAsia="zh-CN"/>
                    </w:rPr>
                  </w:pPr>
                </w:p>
              </w:tc>
              <w:tc>
                <w:tcPr>
                  <w:tcW w:w="300" w:type="pct"/>
                  <w:vMerge w:val="continue"/>
                  <w:tcBorders>
                    <w:tl2br w:val="nil"/>
                    <w:tr2bl w:val="nil"/>
                  </w:tcBorders>
                  <w:shd w:val="clear" w:color="auto" w:fill="auto"/>
                  <w:vAlign w:val="center"/>
                </w:tcPr>
                <w:p w14:paraId="17D0886F">
                  <w:pPr>
                    <w:widowControl/>
                    <w:jc w:val="center"/>
                    <w:textAlignment w:val="center"/>
                    <w:rPr>
                      <w:rFonts w:hint="default" w:ascii="Times New Roman" w:hAnsi="Times New Roman" w:cs="Times New Roman"/>
                      <w:color w:val="auto"/>
                      <w:sz w:val="18"/>
                      <w:szCs w:val="18"/>
                      <w:lang w:val="en-US" w:eastAsia="zh-CN"/>
                    </w:rPr>
                  </w:pPr>
                </w:p>
              </w:tc>
              <w:tc>
                <w:tcPr>
                  <w:tcW w:w="267" w:type="pct"/>
                  <w:tcBorders>
                    <w:tl2br w:val="nil"/>
                    <w:tr2bl w:val="nil"/>
                  </w:tcBorders>
                  <w:shd w:val="clear" w:color="auto" w:fill="auto"/>
                  <w:vAlign w:val="center"/>
                </w:tcPr>
                <w:p w14:paraId="236408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14.7 </w:t>
                  </w:r>
                </w:p>
              </w:tc>
              <w:tc>
                <w:tcPr>
                  <w:tcW w:w="261" w:type="pct"/>
                  <w:tcBorders>
                    <w:tl2br w:val="nil"/>
                    <w:tr2bl w:val="nil"/>
                  </w:tcBorders>
                  <w:shd w:val="clear" w:color="auto" w:fill="auto"/>
                  <w:vAlign w:val="center"/>
                </w:tcPr>
                <w:p w14:paraId="033B43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0.008 </w:t>
                  </w:r>
                </w:p>
              </w:tc>
              <w:tc>
                <w:tcPr>
                  <w:tcW w:w="272" w:type="pct"/>
                  <w:tcBorders>
                    <w:tl2br w:val="nil"/>
                    <w:tr2bl w:val="nil"/>
                  </w:tcBorders>
                  <w:shd w:val="clear" w:color="auto" w:fill="auto"/>
                  <w:vAlign w:val="center"/>
                </w:tcPr>
                <w:p w14:paraId="775E455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285" w:type="pct"/>
                  <w:vMerge w:val="continue"/>
                  <w:tcBorders>
                    <w:tl2br w:val="nil"/>
                    <w:tr2bl w:val="nil"/>
                  </w:tcBorders>
                  <w:shd w:val="clear" w:color="auto" w:fill="auto"/>
                  <w:vAlign w:val="center"/>
                </w:tcPr>
                <w:p w14:paraId="26BCFADB">
                  <w:pPr>
                    <w:jc w:val="center"/>
                    <w:rPr>
                      <w:rFonts w:hint="default" w:ascii="Times New Roman" w:hAnsi="Times New Roman" w:cs="Times New Roman"/>
                      <w:color w:val="auto"/>
                      <w:sz w:val="18"/>
                      <w:szCs w:val="18"/>
                      <w:lang w:val="en-US" w:eastAsia="zh-CN"/>
                    </w:rPr>
                  </w:pPr>
                </w:p>
              </w:tc>
              <w:tc>
                <w:tcPr>
                  <w:tcW w:w="167" w:type="pct"/>
                  <w:vMerge w:val="continue"/>
                  <w:tcBorders>
                    <w:tl2br w:val="nil"/>
                    <w:tr2bl w:val="nil"/>
                  </w:tcBorders>
                  <w:shd w:val="clear" w:color="auto" w:fill="auto"/>
                  <w:vAlign w:val="center"/>
                </w:tcPr>
                <w:p w14:paraId="607690AF">
                  <w:pPr>
                    <w:widowControl/>
                    <w:jc w:val="center"/>
                    <w:textAlignment w:val="center"/>
                    <w:rPr>
                      <w:rFonts w:hint="default" w:ascii="Times New Roman" w:hAnsi="Times New Roman" w:cs="Times New Roman"/>
                      <w:color w:val="auto"/>
                      <w:sz w:val="18"/>
                      <w:szCs w:val="18"/>
                      <w:lang w:val="en-US" w:eastAsia="zh-CN"/>
                    </w:rPr>
                  </w:pPr>
                </w:p>
              </w:tc>
              <w:tc>
                <w:tcPr>
                  <w:tcW w:w="168" w:type="pct"/>
                  <w:vMerge w:val="continue"/>
                  <w:tcBorders>
                    <w:tl2br w:val="nil"/>
                    <w:tr2bl w:val="nil"/>
                  </w:tcBorders>
                  <w:shd w:val="clear" w:color="auto" w:fill="auto"/>
                  <w:vAlign w:val="center"/>
                </w:tcPr>
                <w:p w14:paraId="50D90618">
                  <w:pPr>
                    <w:widowControl/>
                    <w:jc w:val="center"/>
                    <w:textAlignment w:val="center"/>
                    <w:rPr>
                      <w:rFonts w:hint="default" w:ascii="Times New Roman" w:hAnsi="Times New Roman" w:cs="Times New Roman"/>
                      <w:color w:val="auto"/>
                      <w:sz w:val="18"/>
                      <w:szCs w:val="18"/>
                      <w:lang w:val="en-US" w:eastAsia="zh-CN"/>
                    </w:rPr>
                  </w:pPr>
                </w:p>
              </w:tc>
              <w:tc>
                <w:tcPr>
                  <w:tcW w:w="173" w:type="pct"/>
                  <w:vMerge w:val="continue"/>
                  <w:tcBorders>
                    <w:tl2br w:val="nil"/>
                    <w:tr2bl w:val="nil"/>
                  </w:tcBorders>
                  <w:shd w:val="clear" w:color="auto" w:fill="auto"/>
                  <w:vAlign w:val="center"/>
                </w:tcPr>
                <w:p w14:paraId="63DBBD05">
                  <w:pPr>
                    <w:widowControl/>
                    <w:jc w:val="center"/>
                    <w:textAlignment w:val="center"/>
                    <w:rPr>
                      <w:rFonts w:hint="default" w:ascii="Times New Roman" w:hAnsi="Times New Roman" w:cs="Times New Roman"/>
                      <w:color w:val="auto"/>
                      <w:kern w:val="0"/>
                      <w:sz w:val="18"/>
                      <w:szCs w:val="18"/>
                      <w:lang w:bidi="ar"/>
                    </w:rPr>
                  </w:pPr>
                </w:p>
              </w:tc>
              <w:tc>
                <w:tcPr>
                  <w:tcW w:w="227" w:type="pct"/>
                  <w:vMerge w:val="continue"/>
                  <w:tcBorders>
                    <w:tl2br w:val="nil"/>
                    <w:tr2bl w:val="nil"/>
                  </w:tcBorders>
                  <w:shd w:val="clear" w:color="auto" w:fill="auto"/>
                  <w:vAlign w:val="center"/>
                </w:tcPr>
                <w:p w14:paraId="51B202F6">
                  <w:pPr>
                    <w:widowControl/>
                    <w:jc w:val="center"/>
                    <w:textAlignment w:val="center"/>
                    <w:rPr>
                      <w:rFonts w:hint="default" w:ascii="Times New Roman" w:hAnsi="Times New Roman" w:cs="Times New Roman"/>
                      <w:color w:val="auto"/>
                      <w:kern w:val="0"/>
                      <w:sz w:val="18"/>
                      <w:szCs w:val="18"/>
                      <w:lang w:bidi="ar"/>
                    </w:rPr>
                  </w:pPr>
                </w:p>
              </w:tc>
              <w:tc>
                <w:tcPr>
                  <w:tcW w:w="232" w:type="pct"/>
                  <w:tcBorders>
                    <w:tl2br w:val="nil"/>
                    <w:tr2bl w:val="nil"/>
                  </w:tcBorders>
                  <w:shd w:val="clear" w:color="auto" w:fill="auto"/>
                  <w:vAlign w:val="center"/>
                </w:tcPr>
                <w:p w14:paraId="7358B2B9">
                  <w:pPr>
                    <w:jc w:val="center"/>
                    <w:rPr>
                      <w:rFonts w:hint="default"/>
                      <w:color w:val="auto"/>
                      <w:sz w:val="18"/>
                      <w:szCs w:val="18"/>
                      <w:lang w:val="en-US" w:eastAsia="zh-CN"/>
                    </w:rPr>
                  </w:pPr>
                  <w:r>
                    <w:rPr>
                      <w:rFonts w:hint="eastAsia"/>
                      <w:color w:val="auto"/>
                      <w:sz w:val="18"/>
                      <w:szCs w:val="18"/>
                      <w:lang w:val="en-US" w:eastAsia="zh-CN"/>
                    </w:rPr>
                    <w:t>200</w:t>
                  </w:r>
                </w:p>
              </w:tc>
              <w:tc>
                <w:tcPr>
                  <w:tcW w:w="205" w:type="pct"/>
                  <w:tcBorders>
                    <w:tl2br w:val="nil"/>
                    <w:tr2bl w:val="nil"/>
                  </w:tcBorders>
                  <w:shd w:val="clear" w:color="auto" w:fill="auto"/>
                  <w:vAlign w:val="center"/>
                </w:tcPr>
                <w:p w14:paraId="2756B4A3">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7FCDE7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vMerge w:val="continue"/>
                  <w:tcBorders>
                    <w:tl2br w:val="nil"/>
                    <w:tr2bl w:val="nil"/>
                  </w:tcBorders>
                  <w:shd w:val="clear" w:color="auto" w:fill="auto"/>
                  <w:vAlign w:val="center"/>
                </w:tcPr>
                <w:p w14:paraId="004ADB3A">
                  <w:pPr>
                    <w:widowControl/>
                    <w:jc w:val="center"/>
                    <w:textAlignment w:val="center"/>
                    <w:rPr>
                      <w:rFonts w:hint="eastAsia" w:ascii="宋体" w:hAnsi="宋体" w:cs="宋体"/>
                      <w:color w:val="auto"/>
                      <w:kern w:val="0"/>
                      <w:sz w:val="18"/>
                      <w:szCs w:val="18"/>
                      <w:lang w:val="en-US" w:eastAsia="zh-CN" w:bidi="ar"/>
                    </w:rPr>
                  </w:pPr>
                </w:p>
              </w:tc>
              <w:tc>
                <w:tcPr>
                  <w:tcW w:w="151" w:type="pct"/>
                  <w:vMerge w:val="continue"/>
                  <w:tcBorders>
                    <w:tl2br w:val="nil"/>
                    <w:tr2bl w:val="nil"/>
                  </w:tcBorders>
                  <w:shd w:val="clear" w:color="auto" w:fill="auto"/>
                  <w:vAlign w:val="center"/>
                </w:tcPr>
                <w:p w14:paraId="6FD028A5">
                  <w:pPr>
                    <w:widowControl/>
                    <w:jc w:val="center"/>
                    <w:textAlignment w:val="center"/>
                    <w:rPr>
                      <w:rFonts w:hint="default" w:ascii="Times New Roman" w:hAnsi="Times New Roman" w:cs="Times New Roman"/>
                      <w:color w:val="auto"/>
                      <w:sz w:val="18"/>
                      <w:szCs w:val="18"/>
                      <w:lang w:val="en-US" w:eastAsia="zh-CN"/>
                    </w:rPr>
                  </w:pPr>
                </w:p>
              </w:tc>
              <w:tc>
                <w:tcPr>
                  <w:tcW w:w="233" w:type="pct"/>
                  <w:tcBorders>
                    <w:tl2br w:val="nil"/>
                    <w:tr2bl w:val="nil"/>
                  </w:tcBorders>
                  <w:shd w:val="clear" w:color="auto" w:fill="auto"/>
                  <w:vAlign w:val="center"/>
                </w:tcPr>
                <w:p w14:paraId="7CF48111">
                  <w:pPr>
                    <w:widowControl/>
                    <w:jc w:val="center"/>
                    <w:textAlignment w:val="center"/>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氮氧化物</w:t>
                  </w:r>
                </w:p>
              </w:tc>
              <w:tc>
                <w:tcPr>
                  <w:tcW w:w="306" w:type="pct"/>
                  <w:tcBorders>
                    <w:tl2br w:val="nil"/>
                    <w:tr2bl w:val="nil"/>
                  </w:tcBorders>
                  <w:shd w:val="clear" w:color="auto" w:fill="auto"/>
                  <w:vAlign w:val="center"/>
                </w:tcPr>
                <w:p w14:paraId="1D8578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137.5 </w:t>
                  </w:r>
                </w:p>
              </w:tc>
              <w:tc>
                <w:tcPr>
                  <w:tcW w:w="272" w:type="pct"/>
                  <w:tcBorders>
                    <w:tl2br w:val="nil"/>
                    <w:tr2bl w:val="nil"/>
                  </w:tcBorders>
                  <w:shd w:val="clear" w:color="auto" w:fill="auto"/>
                  <w:vAlign w:val="center"/>
                </w:tcPr>
                <w:p w14:paraId="5314CE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0.078 </w:t>
                  </w:r>
                </w:p>
              </w:tc>
              <w:tc>
                <w:tcPr>
                  <w:tcW w:w="272" w:type="pct"/>
                  <w:tcBorders>
                    <w:tl2br w:val="nil"/>
                    <w:tr2bl w:val="nil"/>
                  </w:tcBorders>
                  <w:shd w:val="clear" w:color="auto" w:fill="auto"/>
                  <w:vAlign w:val="center"/>
                </w:tcPr>
                <w:p w14:paraId="527F8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0.187</w:t>
                  </w:r>
                </w:p>
              </w:tc>
              <w:tc>
                <w:tcPr>
                  <w:tcW w:w="263" w:type="pct"/>
                  <w:vMerge w:val="continue"/>
                  <w:tcBorders>
                    <w:tl2br w:val="nil"/>
                    <w:tr2bl w:val="nil"/>
                  </w:tcBorders>
                  <w:shd w:val="clear" w:color="auto" w:fill="auto"/>
                  <w:vAlign w:val="center"/>
                </w:tcPr>
                <w:p w14:paraId="07861E8D">
                  <w:pPr>
                    <w:widowControl/>
                    <w:jc w:val="center"/>
                    <w:textAlignment w:val="center"/>
                    <w:rPr>
                      <w:rFonts w:hint="default" w:ascii="Times New Roman" w:hAnsi="Times New Roman" w:cs="Times New Roman"/>
                      <w:color w:val="auto"/>
                      <w:sz w:val="18"/>
                      <w:szCs w:val="18"/>
                      <w:lang w:val="en-US" w:eastAsia="zh-CN"/>
                    </w:rPr>
                  </w:pPr>
                </w:p>
              </w:tc>
              <w:tc>
                <w:tcPr>
                  <w:tcW w:w="177" w:type="pct"/>
                  <w:vMerge w:val="continue"/>
                  <w:tcBorders>
                    <w:tl2br w:val="nil"/>
                    <w:tr2bl w:val="nil"/>
                  </w:tcBorders>
                  <w:shd w:val="clear" w:color="auto" w:fill="auto"/>
                  <w:vAlign w:val="center"/>
                </w:tcPr>
                <w:p w14:paraId="215EC7BB">
                  <w:pPr>
                    <w:widowControl/>
                    <w:jc w:val="center"/>
                    <w:textAlignment w:val="center"/>
                    <w:rPr>
                      <w:rFonts w:hint="default" w:ascii="Times New Roman" w:hAnsi="Times New Roman" w:cs="Times New Roman"/>
                      <w:color w:val="auto"/>
                      <w:sz w:val="18"/>
                      <w:szCs w:val="18"/>
                      <w:lang w:val="en-US" w:eastAsia="zh-CN"/>
                    </w:rPr>
                  </w:pPr>
                </w:p>
              </w:tc>
              <w:tc>
                <w:tcPr>
                  <w:tcW w:w="203" w:type="pct"/>
                  <w:vMerge w:val="continue"/>
                  <w:tcBorders>
                    <w:tl2br w:val="nil"/>
                    <w:tr2bl w:val="nil"/>
                  </w:tcBorders>
                  <w:shd w:val="clear" w:color="auto" w:fill="auto"/>
                  <w:vAlign w:val="center"/>
                </w:tcPr>
                <w:p w14:paraId="4F85D926">
                  <w:pPr>
                    <w:widowControl/>
                    <w:jc w:val="center"/>
                    <w:textAlignment w:val="center"/>
                    <w:rPr>
                      <w:rFonts w:hint="default" w:ascii="Times New Roman" w:hAnsi="Times New Roman" w:cs="Times New Roman"/>
                      <w:color w:val="auto"/>
                      <w:sz w:val="18"/>
                      <w:szCs w:val="18"/>
                      <w:lang w:val="en-US" w:eastAsia="zh-CN"/>
                    </w:rPr>
                  </w:pPr>
                </w:p>
              </w:tc>
              <w:tc>
                <w:tcPr>
                  <w:tcW w:w="224" w:type="pct"/>
                  <w:vMerge w:val="continue"/>
                  <w:tcBorders>
                    <w:tl2br w:val="nil"/>
                    <w:tr2bl w:val="nil"/>
                  </w:tcBorders>
                  <w:shd w:val="clear" w:color="auto" w:fill="auto"/>
                  <w:vAlign w:val="center"/>
                </w:tcPr>
                <w:p w14:paraId="51EF0644">
                  <w:pPr>
                    <w:widowControl/>
                    <w:jc w:val="center"/>
                    <w:textAlignment w:val="center"/>
                    <w:rPr>
                      <w:rFonts w:hint="default" w:ascii="Times New Roman" w:hAnsi="Times New Roman" w:cs="Times New Roman"/>
                      <w:color w:val="auto"/>
                      <w:sz w:val="18"/>
                      <w:szCs w:val="18"/>
                      <w:lang w:val="en-US" w:eastAsia="zh-CN"/>
                    </w:rPr>
                  </w:pPr>
                </w:p>
              </w:tc>
              <w:tc>
                <w:tcPr>
                  <w:tcW w:w="300" w:type="pct"/>
                  <w:vMerge w:val="continue"/>
                  <w:tcBorders>
                    <w:tl2br w:val="nil"/>
                    <w:tr2bl w:val="nil"/>
                  </w:tcBorders>
                  <w:shd w:val="clear" w:color="auto" w:fill="auto"/>
                  <w:vAlign w:val="center"/>
                </w:tcPr>
                <w:p w14:paraId="2F623CFB">
                  <w:pPr>
                    <w:widowControl/>
                    <w:jc w:val="center"/>
                    <w:textAlignment w:val="center"/>
                    <w:rPr>
                      <w:rFonts w:hint="default" w:ascii="Times New Roman" w:hAnsi="Times New Roman" w:cs="Times New Roman"/>
                      <w:color w:val="auto"/>
                      <w:sz w:val="18"/>
                      <w:szCs w:val="18"/>
                      <w:lang w:val="en-US" w:eastAsia="zh-CN"/>
                    </w:rPr>
                  </w:pPr>
                </w:p>
              </w:tc>
              <w:tc>
                <w:tcPr>
                  <w:tcW w:w="267" w:type="pct"/>
                  <w:tcBorders>
                    <w:tl2br w:val="nil"/>
                    <w:tr2bl w:val="nil"/>
                  </w:tcBorders>
                  <w:shd w:val="clear" w:color="auto" w:fill="auto"/>
                  <w:vAlign w:val="center"/>
                </w:tcPr>
                <w:p w14:paraId="0F8E50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137.5 </w:t>
                  </w:r>
                </w:p>
              </w:tc>
              <w:tc>
                <w:tcPr>
                  <w:tcW w:w="261" w:type="pct"/>
                  <w:tcBorders>
                    <w:tl2br w:val="nil"/>
                    <w:tr2bl w:val="nil"/>
                  </w:tcBorders>
                  <w:shd w:val="clear" w:color="auto" w:fill="auto"/>
                  <w:vAlign w:val="center"/>
                </w:tcPr>
                <w:p w14:paraId="34E64F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0.078 </w:t>
                  </w:r>
                </w:p>
              </w:tc>
              <w:tc>
                <w:tcPr>
                  <w:tcW w:w="272" w:type="pct"/>
                  <w:tcBorders>
                    <w:tl2br w:val="nil"/>
                    <w:tr2bl w:val="nil"/>
                  </w:tcBorders>
                  <w:shd w:val="clear" w:color="auto" w:fill="auto"/>
                  <w:vAlign w:val="center"/>
                </w:tcPr>
                <w:p w14:paraId="0CF0FCA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0.187</w:t>
                  </w:r>
                </w:p>
              </w:tc>
              <w:tc>
                <w:tcPr>
                  <w:tcW w:w="285" w:type="pct"/>
                  <w:vMerge w:val="continue"/>
                  <w:tcBorders>
                    <w:tl2br w:val="nil"/>
                    <w:tr2bl w:val="nil"/>
                  </w:tcBorders>
                  <w:shd w:val="clear" w:color="auto" w:fill="auto"/>
                  <w:vAlign w:val="center"/>
                </w:tcPr>
                <w:p w14:paraId="042D86B2">
                  <w:pPr>
                    <w:jc w:val="center"/>
                    <w:rPr>
                      <w:rFonts w:hint="default" w:ascii="Times New Roman" w:hAnsi="Times New Roman" w:cs="Times New Roman"/>
                      <w:color w:val="auto"/>
                      <w:sz w:val="18"/>
                      <w:szCs w:val="18"/>
                      <w:lang w:val="en-US" w:eastAsia="zh-CN"/>
                    </w:rPr>
                  </w:pPr>
                </w:p>
              </w:tc>
              <w:tc>
                <w:tcPr>
                  <w:tcW w:w="167" w:type="pct"/>
                  <w:vMerge w:val="continue"/>
                  <w:tcBorders>
                    <w:tl2br w:val="nil"/>
                    <w:tr2bl w:val="nil"/>
                  </w:tcBorders>
                  <w:shd w:val="clear" w:color="auto" w:fill="auto"/>
                  <w:vAlign w:val="center"/>
                </w:tcPr>
                <w:p w14:paraId="109D7E95">
                  <w:pPr>
                    <w:widowControl/>
                    <w:jc w:val="center"/>
                    <w:textAlignment w:val="center"/>
                    <w:rPr>
                      <w:rFonts w:hint="default" w:ascii="Times New Roman" w:hAnsi="Times New Roman" w:cs="Times New Roman"/>
                      <w:color w:val="auto"/>
                      <w:sz w:val="18"/>
                      <w:szCs w:val="18"/>
                      <w:lang w:val="en-US" w:eastAsia="zh-CN"/>
                    </w:rPr>
                  </w:pPr>
                </w:p>
              </w:tc>
              <w:tc>
                <w:tcPr>
                  <w:tcW w:w="168" w:type="pct"/>
                  <w:vMerge w:val="continue"/>
                  <w:tcBorders>
                    <w:tl2br w:val="nil"/>
                    <w:tr2bl w:val="nil"/>
                  </w:tcBorders>
                  <w:shd w:val="clear" w:color="auto" w:fill="auto"/>
                  <w:vAlign w:val="center"/>
                </w:tcPr>
                <w:p w14:paraId="1D5CBB0C">
                  <w:pPr>
                    <w:widowControl/>
                    <w:jc w:val="center"/>
                    <w:textAlignment w:val="center"/>
                    <w:rPr>
                      <w:rFonts w:hint="default" w:ascii="Times New Roman" w:hAnsi="Times New Roman" w:cs="Times New Roman"/>
                      <w:color w:val="auto"/>
                      <w:sz w:val="18"/>
                      <w:szCs w:val="18"/>
                      <w:lang w:val="en-US" w:eastAsia="zh-CN"/>
                    </w:rPr>
                  </w:pPr>
                </w:p>
              </w:tc>
              <w:tc>
                <w:tcPr>
                  <w:tcW w:w="173" w:type="pct"/>
                  <w:vMerge w:val="continue"/>
                  <w:tcBorders>
                    <w:tl2br w:val="nil"/>
                    <w:tr2bl w:val="nil"/>
                  </w:tcBorders>
                  <w:shd w:val="clear" w:color="auto" w:fill="auto"/>
                  <w:vAlign w:val="center"/>
                </w:tcPr>
                <w:p w14:paraId="2FC19A19">
                  <w:pPr>
                    <w:widowControl/>
                    <w:jc w:val="center"/>
                    <w:textAlignment w:val="center"/>
                    <w:rPr>
                      <w:rFonts w:hint="default" w:ascii="Times New Roman" w:hAnsi="Times New Roman" w:cs="Times New Roman"/>
                      <w:color w:val="auto"/>
                      <w:kern w:val="0"/>
                      <w:sz w:val="18"/>
                      <w:szCs w:val="18"/>
                      <w:lang w:bidi="ar"/>
                    </w:rPr>
                  </w:pPr>
                </w:p>
              </w:tc>
              <w:tc>
                <w:tcPr>
                  <w:tcW w:w="227" w:type="pct"/>
                  <w:vMerge w:val="continue"/>
                  <w:tcBorders>
                    <w:tl2br w:val="nil"/>
                    <w:tr2bl w:val="nil"/>
                  </w:tcBorders>
                  <w:shd w:val="clear" w:color="auto" w:fill="auto"/>
                  <w:vAlign w:val="center"/>
                </w:tcPr>
                <w:p w14:paraId="52A9CF9B">
                  <w:pPr>
                    <w:widowControl/>
                    <w:jc w:val="center"/>
                    <w:textAlignment w:val="center"/>
                    <w:rPr>
                      <w:rFonts w:hint="default" w:ascii="Times New Roman" w:hAnsi="Times New Roman" w:cs="Times New Roman"/>
                      <w:color w:val="auto"/>
                      <w:kern w:val="0"/>
                      <w:sz w:val="18"/>
                      <w:szCs w:val="18"/>
                      <w:lang w:bidi="ar"/>
                    </w:rPr>
                  </w:pPr>
                </w:p>
              </w:tc>
              <w:tc>
                <w:tcPr>
                  <w:tcW w:w="232" w:type="pct"/>
                  <w:tcBorders>
                    <w:tl2br w:val="nil"/>
                    <w:tr2bl w:val="nil"/>
                  </w:tcBorders>
                  <w:shd w:val="clear" w:color="auto" w:fill="auto"/>
                  <w:vAlign w:val="center"/>
                </w:tcPr>
                <w:p w14:paraId="32428A79">
                  <w:pPr>
                    <w:jc w:val="center"/>
                    <w:rPr>
                      <w:rFonts w:hint="default"/>
                      <w:color w:val="auto"/>
                      <w:sz w:val="18"/>
                      <w:szCs w:val="18"/>
                      <w:lang w:val="en-US" w:eastAsia="zh-CN"/>
                    </w:rPr>
                  </w:pPr>
                  <w:r>
                    <w:rPr>
                      <w:rFonts w:hint="eastAsia"/>
                      <w:color w:val="auto"/>
                      <w:sz w:val="18"/>
                      <w:szCs w:val="18"/>
                      <w:lang w:val="en-US" w:eastAsia="zh-CN"/>
                    </w:rPr>
                    <w:t>300</w:t>
                  </w:r>
                </w:p>
              </w:tc>
              <w:tc>
                <w:tcPr>
                  <w:tcW w:w="205" w:type="pct"/>
                  <w:tcBorders>
                    <w:tl2br w:val="nil"/>
                    <w:tr2bl w:val="nil"/>
                  </w:tcBorders>
                  <w:shd w:val="clear" w:color="auto" w:fill="auto"/>
                  <w:vAlign w:val="center"/>
                </w:tcPr>
                <w:p w14:paraId="39EBA177">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r>
            <w:tr w14:paraId="444454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29" w:type="pct"/>
                  <w:tcBorders>
                    <w:tl2br w:val="nil"/>
                    <w:tr2bl w:val="nil"/>
                  </w:tcBorders>
                  <w:shd w:val="clear" w:color="auto" w:fill="auto"/>
                  <w:vAlign w:val="center"/>
                </w:tcPr>
                <w:p w14:paraId="7ED45589">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红冲工件冲压、抛光打磨+铝合金熔化、压铸、打磨</w:t>
                  </w:r>
                </w:p>
              </w:tc>
              <w:tc>
                <w:tcPr>
                  <w:tcW w:w="151" w:type="pct"/>
                  <w:tcBorders>
                    <w:tl2br w:val="nil"/>
                    <w:tr2bl w:val="nil"/>
                  </w:tcBorders>
                  <w:shd w:val="clear" w:color="auto" w:fill="auto"/>
                  <w:vAlign w:val="center"/>
                </w:tcPr>
                <w:p w14:paraId="560AEF74">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3#车间</w:t>
                  </w:r>
                </w:p>
              </w:tc>
              <w:tc>
                <w:tcPr>
                  <w:tcW w:w="233" w:type="pct"/>
                  <w:tcBorders>
                    <w:tl2br w:val="nil"/>
                    <w:tr2bl w:val="nil"/>
                  </w:tcBorders>
                  <w:shd w:val="clear" w:color="auto" w:fill="auto"/>
                  <w:vAlign w:val="center"/>
                </w:tcPr>
                <w:p w14:paraId="0743EED8">
                  <w:pPr>
                    <w:widowControl/>
                    <w:jc w:val="center"/>
                    <w:textAlignment w:val="center"/>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颗粒物</w:t>
                  </w:r>
                </w:p>
              </w:tc>
              <w:tc>
                <w:tcPr>
                  <w:tcW w:w="306" w:type="pct"/>
                  <w:tcBorders>
                    <w:tl2br w:val="nil"/>
                    <w:tr2bl w:val="nil"/>
                  </w:tcBorders>
                  <w:shd w:val="clear" w:color="auto" w:fill="auto"/>
                  <w:vAlign w:val="center"/>
                </w:tcPr>
                <w:p w14:paraId="74A34E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369.7</w:t>
                  </w:r>
                  <w:r>
                    <w:rPr>
                      <w:rFonts w:hint="eastAsia" w:ascii="Times New Roman" w:hAnsi="Times New Roman" w:eastAsia="宋体" w:cs="Times New Roman"/>
                      <w:i w:val="0"/>
                      <w:iCs w:val="0"/>
                      <w:color w:val="auto"/>
                      <w:kern w:val="0"/>
                      <w:sz w:val="18"/>
                      <w:szCs w:val="18"/>
                      <w:u w:val="none"/>
                      <w:lang w:val="en-US" w:eastAsia="zh-CN" w:bidi="ar"/>
                    </w:rPr>
                    <w:t xml:space="preserve"> </w:t>
                  </w:r>
                </w:p>
              </w:tc>
              <w:tc>
                <w:tcPr>
                  <w:tcW w:w="272" w:type="pct"/>
                  <w:tcBorders>
                    <w:tl2br w:val="nil"/>
                    <w:tr2bl w:val="nil"/>
                  </w:tcBorders>
                  <w:shd w:val="clear" w:color="auto" w:fill="auto"/>
                  <w:vAlign w:val="center"/>
                </w:tcPr>
                <w:p w14:paraId="50FFAC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5.914 </w:t>
                  </w:r>
                </w:p>
              </w:tc>
              <w:tc>
                <w:tcPr>
                  <w:tcW w:w="272" w:type="pct"/>
                  <w:tcBorders>
                    <w:tl2br w:val="nil"/>
                    <w:tr2bl w:val="nil"/>
                  </w:tcBorders>
                  <w:shd w:val="clear" w:color="auto" w:fill="auto"/>
                  <w:vAlign w:val="center"/>
                </w:tcPr>
                <w:p w14:paraId="2D95A0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13.129</w:t>
                  </w:r>
                </w:p>
              </w:tc>
              <w:tc>
                <w:tcPr>
                  <w:tcW w:w="263" w:type="pct"/>
                  <w:tcBorders>
                    <w:tl2br w:val="nil"/>
                    <w:tr2bl w:val="nil"/>
                  </w:tcBorders>
                  <w:shd w:val="clear" w:color="auto" w:fill="auto"/>
                  <w:vAlign w:val="center"/>
                </w:tcPr>
                <w:p w14:paraId="6FDD1F3B">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160</w:t>
                  </w:r>
                  <w:r>
                    <w:rPr>
                      <w:rFonts w:hint="default" w:ascii="Times New Roman" w:hAnsi="Times New Roman" w:cs="Times New Roman"/>
                      <w:color w:val="auto"/>
                      <w:sz w:val="18"/>
                      <w:szCs w:val="18"/>
                      <w:lang w:val="en-US" w:eastAsia="zh-CN"/>
                    </w:rPr>
                    <w:t>00</w:t>
                  </w:r>
                </w:p>
              </w:tc>
              <w:tc>
                <w:tcPr>
                  <w:tcW w:w="177" w:type="pct"/>
                  <w:tcBorders>
                    <w:tl2br w:val="nil"/>
                    <w:tr2bl w:val="nil"/>
                  </w:tcBorders>
                  <w:shd w:val="clear" w:color="auto" w:fill="auto"/>
                  <w:vAlign w:val="center"/>
                </w:tcPr>
                <w:p w14:paraId="6B51151E">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抛丸机</w:t>
                  </w:r>
                  <w:r>
                    <w:rPr>
                      <w:rFonts w:hint="default" w:ascii="Times New Roman" w:hAnsi="Times New Roman" w:cs="Times New Roman"/>
                      <w:color w:val="auto"/>
                      <w:sz w:val="18"/>
                      <w:szCs w:val="18"/>
                      <w:lang w:val="en-US" w:eastAsia="zh-CN"/>
                    </w:rPr>
                    <w:t>100</w:t>
                  </w:r>
                  <w:r>
                    <w:rPr>
                      <w:rFonts w:hint="eastAsia" w:cs="Times New Roman"/>
                      <w:color w:val="auto"/>
                      <w:sz w:val="18"/>
                      <w:szCs w:val="18"/>
                      <w:lang w:val="en-US" w:eastAsia="zh-CN"/>
                    </w:rPr>
                    <w:t>，其余80</w:t>
                  </w:r>
                </w:p>
              </w:tc>
              <w:tc>
                <w:tcPr>
                  <w:tcW w:w="203" w:type="pct"/>
                  <w:tcBorders>
                    <w:tl2br w:val="nil"/>
                    <w:tr2bl w:val="nil"/>
                  </w:tcBorders>
                  <w:shd w:val="clear" w:color="auto" w:fill="auto"/>
                  <w:vAlign w:val="center"/>
                </w:tcPr>
                <w:p w14:paraId="5FBA167F">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95</w:t>
                  </w:r>
                </w:p>
              </w:tc>
              <w:tc>
                <w:tcPr>
                  <w:tcW w:w="224" w:type="pct"/>
                  <w:tcBorders>
                    <w:tl2br w:val="nil"/>
                    <w:tr2bl w:val="nil"/>
                  </w:tcBorders>
                  <w:shd w:val="clear" w:color="auto" w:fill="auto"/>
                  <w:vAlign w:val="center"/>
                </w:tcPr>
                <w:p w14:paraId="659696F7">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是</w:t>
                  </w:r>
                </w:p>
              </w:tc>
              <w:tc>
                <w:tcPr>
                  <w:tcW w:w="300" w:type="pct"/>
                  <w:tcBorders>
                    <w:tl2br w:val="nil"/>
                    <w:tr2bl w:val="nil"/>
                  </w:tcBorders>
                  <w:shd w:val="clear" w:color="auto" w:fill="auto"/>
                  <w:vAlign w:val="center"/>
                </w:tcPr>
                <w:p w14:paraId="5676A0D3">
                  <w:pPr>
                    <w:widowControl/>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袋式除尘器</w:t>
                  </w:r>
                </w:p>
              </w:tc>
              <w:tc>
                <w:tcPr>
                  <w:tcW w:w="267" w:type="pct"/>
                  <w:tcBorders>
                    <w:tl2br w:val="nil"/>
                    <w:tr2bl w:val="nil"/>
                  </w:tcBorders>
                  <w:shd w:val="clear" w:color="auto" w:fill="auto"/>
                  <w:vAlign w:val="center"/>
                </w:tcPr>
                <w:p w14:paraId="6B9785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18.5</w:t>
                  </w:r>
                  <w:r>
                    <w:rPr>
                      <w:rFonts w:hint="eastAsia" w:ascii="Times New Roman" w:hAnsi="Times New Roman" w:eastAsia="宋体" w:cs="Times New Roman"/>
                      <w:i w:val="0"/>
                      <w:iCs w:val="0"/>
                      <w:color w:val="auto"/>
                      <w:kern w:val="0"/>
                      <w:sz w:val="18"/>
                      <w:szCs w:val="18"/>
                      <w:u w:val="none"/>
                      <w:lang w:val="en-US" w:eastAsia="zh-CN" w:bidi="ar"/>
                    </w:rPr>
                    <w:t xml:space="preserve"> </w:t>
                  </w:r>
                </w:p>
              </w:tc>
              <w:tc>
                <w:tcPr>
                  <w:tcW w:w="261" w:type="pct"/>
                  <w:tcBorders>
                    <w:tl2br w:val="nil"/>
                    <w:tr2bl w:val="nil"/>
                  </w:tcBorders>
                  <w:shd w:val="clear" w:color="auto" w:fill="auto"/>
                  <w:vAlign w:val="center"/>
                </w:tcPr>
                <w:p w14:paraId="4B2D1C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0.296 </w:t>
                  </w:r>
                </w:p>
              </w:tc>
              <w:tc>
                <w:tcPr>
                  <w:tcW w:w="272" w:type="pct"/>
                  <w:tcBorders>
                    <w:tl2br w:val="nil"/>
                    <w:tr2bl w:val="nil"/>
                  </w:tcBorders>
                  <w:shd w:val="clear" w:color="auto" w:fill="auto"/>
                  <w:vAlign w:val="center"/>
                </w:tcPr>
                <w:p w14:paraId="7EBF5A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 xml:space="preserve">0.656 </w:t>
                  </w:r>
                </w:p>
              </w:tc>
              <w:tc>
                <w:tcPr>
                  <w:tcW w:w="285" w:type="pct"/>
                  <w:tcBorders>
                    <w:tl2br w:val="nil"/>
                    <w:tr2bl w:val="nil"/>
                  </w:tcBorders>
                  <w:shd w:val="clear" w:color="auto" w:fill="auto"/>
                  <w:vAlign w:val="center"/>
                </w:tcPr>
                <w:p w14:paraId="6D2493BC">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DA01</w:t>
                  </w:r>
                  <w:r>
                    <w:rPr>
                      <w:rFonts w:hint="eastAsia" w:cs="Times New Roman"/>
                      <w:color w:val="auto"/>
                      <w:sz w:val="18"/>
                      <w:szCs w:val="18"/>
                      <w:lang w:val="en-US" w:eastAsia="zh-CN"/>
                    </w:rPr>
                    <w:t>4</w:t>
                  </w:r>
                </w:p>
              </w:tc>
              <w:tc>
                <w:tcPr>
                  <w:tcW w:w="167" w:type="pct"/>
                  <w:tcBorders>
                    <w:tl2br w:val="nil"/>
                    <w:tr2bl w:val="nil"/>
                  </w:tcBorders>
                  <w:shd w:val="clear" w:color="auto" w:fill="auto"/>
                  <w:vAlign w:val="center"/>
                </w:tcPr>
                <w:p w14:paraId="433A46C5">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15</w:t>
                  </w:r>
                </w:p>
              </w:tc>
              <w:tc>
                <w:tcPr>
                  <w:tcW w:w="168" w:type="pct"/>
                  <w:tcBorders>
                    <w:tl2br w:val="nil"/>
                    <w:tr2bl w:val="nil"/>
                  </w:tcBorders>
                  <w:shd w:val="clear" w:color="auto" w:fill="auto"/>
                  <w:vAlign w:val="center"/>
                </w:tcPr>
                <w:p w14:paraId="02E29E8C">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highlight w:val="none"/>
                      <w:lang w:val="en-US" w:eastAsia="zh-CN"/>
                    </w:rPr>
                    <w:t>0.</w:t>
                  </w:r>
                  <w:r>
                    <w:rPr>
                      <w:rFonts w:hint="eastAsia" w:cs="Times New Roman"/>
                      <w:color w:val="auto"/>
                      <w:sz w:val="18"/>
                      <w:szCs w:val="18"/>
                      <w:highlight w:val="none"/>
                      <w:lang w:val="en-US" w:eastAsia="zh-CN"/>
                    </w:rPr>
                    <w:t>6</w:t>
                  </w:r>
                </w:p>
              </w:tc>
              <w:tc>
                <w:tcPr>
                  <w:tcW w:w="173" w:type="pct"/>
                  <w:tcBorders>
                    <w:tl2br w:val="nil"/>
                    <w:tr2bl w:val="nil"/>
                  </w:tcBorders>
                  <w:shd w:val="clear" w:color="auto" w:fill="auto"/>
                  <w:vAlign w:val="center"/>
                </w:tcPr>
                <w:p w14:paraId="505E58B5">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常温</w:t>
                  </w:r>
                </w:p>
              </w:tc>
              <w:tc>
                <w:tcPr>
                  <w:tcW w:w="227" w:type="pct"/>
                  <w:tcBorders>
                    <w:tl2br w:val="nil"/>
                    <w:tr2bl w:val="nil"/>
                  </w:tcBorders>
                  <w:shd w:val="clear" w:color="auto" w:fill="auto"/>
                  <w:vAlign w:val="center"/>
                </w:tcPr>
                <w:p w14:paraId="0B42C64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lang w:val="en-US" w:eastAsia="zh-CN"/>
                    </w:rPr>
                    <w:t>一般排放口</w:t>
                  </w:r>
                </w:p>
              </w:tc>
              <w:tc>
                <w:tcPr>
                  <w:tcW w:w="232" w:type="pct"/>
                  <w:tcBorders>
                    <w:tl2br w:val="nil"/>
                    <w:tr2bl w:val="nil"/>
                  </w:tcBorders>
                  <w:shd w:val="clear" w:color="auto" w:fill="auto"/>
                  <w:vAlign w:val="center"/>
                </w:tcPr>
                <w:p w14:paraId="5B1EFEBE">
                  <w:pPr>
                    <w:jc w:val="center"/>
                    <w:rPr>
                      <w:rFonts w:hint="default"/>
                      <w:color w:val="auto"/>
                      <w:sz w:val="18"/>
                      <w:szCs w:val="18"/>
                      <w:lang w:val="en-US" w:eastAsia="zh-CN"/>
                    </w:rPr>
                  </w:pPr>
                  <w:r>
                    <w:rPr>
                      <w:rFonts w:hint="eastAsia"/>
                      <w:color w:val="auto"/>
                      <w:sz w:val="18"/>
                      <w:szCs w:val="18"/>
                      <w:lang w:val="en-US" w:eastAsia="zh-CN"/>
                    </w:rPr>
                    <w:t>30</w:t>
                  </w:r>
                </w:p>
              </w:tc>
              <w:tc>
                <w:tcPr>
                  <w:tcW w:w="205" w:type="pct"/>
                  <w:tcBorders>
                    <w:tl2br w:val="nil"/>
                    <w:tr2bl w:val="nil"/>
                  </w:tcBorders>
                  <w:shd w:val="clear" w:color="auto" w:fill="auto"/>
                  <w:vAlign w:val="center"/>
                </w:tcPr>
                <w:p w14:paraId="65CB133A">
                  <w:pPr>
                    <w:jc w:val="center"/>
                    <w:rPr>
                      <w:rFonts w:hint="default"/>
                      <w:color w:val="auto"/>
                      <w:sz w:val="18"/>
                      <w:szCs w:val="18"/>
                      <w:lang w:val="en-US" w:eastAsia="zh-CN"/>
                    </w:rPr>
                  </w:pPr>
                  <w:r>
                    <w:rPr>
                      <w:rFonts w:hint="eastAsia"/>
                      <w:color w:val="auto"/>
                      <w:sz w:val="18"/>
                      <w:szCs w:val="18"/>
                      <w:lang w:val="en-US" w:eastAsia="zh-CN"/>
                    </w:rPr>
                    <w:t>/</w:t>
                  </w:r>
                </w:p>
              </w:tc>
            </w:tr>
          </w:tbl>
          <w:p w14:paraId="72D5244A">
            <w:pPr>
              <w:keepNext w:val="0"/>
              <w:keepLines w:val="0"/>
              <w:pageBreakBefore w:val="0"/>
              <w:widowControl w:val="0"/>
              <w:kinsoku/>
              <w:wordWrap/>
              <w:overflowPunct w:val="0"/>
              <w:topLinePunct w:val="0"/>
              <w:autoSpaceDE w:val="0"/>
              <w:autoSpaceDN w:val="0"/>
              <w:bidi w:val="0"/>
              <w:adjustRightInd w:val="0"/>
              <w:snapToGrid w:val="0"/>
              <w:spacing w:before="157" w:beforeLines="50" w:line="360" w:lineRule="auto"/>
              <w:jc w:val="center"/>
              <w:textAlignment w:val="baseline"/>
              <w:rPr>
                <w:rFonts w:hint="eastAsia" w:eastAsia="黑体"/>
                <w:color w:val="auto"/>
                <w:sz w:val="24"/>
                <w:szCs w:val="24"/>
              </w:rPr>
            </w:pPr>
          </w:p>
          <w:p w14:paraId="21021DC1">
            <w:pPr>
              <w:keepNext w:val="0"/>
              <w:keepLines w:val="0"/>
              <w:pageBreakBefore w:val="0"/>
              <w:widowControl w:val="0"/>
              <w:kinsoku/>
              <w:wordWrap/>
              <w:overflowPunct w:val="0"/>
              <w:topLinePunct w:val="0"/>
              <w:autoSpaceDE w:val="0"/>
              <w:autoSpaceDN w:val="0"/>
              <w:bidi w:val="0"/>
              <w:adjustRightInd w:val="0"/>
              <w:snapToGrid w:val="0"/>
              <w:spacing w:before="157" w:beforeLines="50" w:line="360" w:lineRule="auto"/>
              <w:jc w:val="center"/>
              <w:textAlignment w:val="baseline"/>
              <w:rPr>
                <w:rFonts w:hint="eastAsia" w:eastAsia="黑体"/>
                <w:color w:val="auto"/>
                <w:sz w:val="24"/>
                <w:szCs w:val="24"/>
              </w:rPr>
            </w:pPr>
            <w:r>
              <w:rPr>
                <w:rFonts w:hint="eastAsia" w:eastAsia="黑体"/>
                <w:color w:val="auto"/>
                <w:sz w:val="24"/>
                <w:szCs w:val="24"/>
              </w:rPr>
              <w:t>表4-2</w:t>
            </w:r>
            <w:r>
              <w:rPr>
                <w:rFonts w:hint="eastAsia" w:eastAsia="黑体"/>
                <w:color w:val="auto"/>
                <w:sz w:val="24"/>
                <w:szCs w:val="24"/>
                <w:lang w:val="en-US" w:eastAsia="zh-CN"/>
              </w:rPr>
              <w:t xml:space="preserve">7 </w:t>
            </w:r>
            <w:r>
              <w:rPr>
                <w:rFonts w:hint="eastAsia" w:eastAsia="黑体"/>
                <w:color w:val="auto"/>
                <w:sz w:val="24"/>
                <w:szCs w:val="24"/>
              </w:rPr>
              <w:t xml:space="preserve"> 本项目非正常排放废气源强</w:t>
            </w:r>
          </w:p>
          <w:tbl>
            <w:tblPr>
              <w:tblStyle w:val="29"/>
              <w:tblW w:w="128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
              <w:gridCol w:w="1384"/>
              <w:gridCol w:w="7"/>
              <w:gridCol w:w="1831"/>
              <w:gridCol w:w="16"/>
              <w:gridCol w:w="1351"/>
              <w:gridCol w:w="16"/>
              <w:gridCol w:w="1715"/>
              <w:gridCol w:w="19"/>
              <w:gridCol w:w="1712"/>
              <w:gridCol w:w="23"/>
              <w:gridCol w:w="1183"/>
              <w:gridCol w:w="28"/>
              <w:gridCol w:w="1359"/>
              <w:gridCol w:w="32"/>
              <w:gridCol w:w="1355"/>
              <w:gridCol w:w="76"/>
            </w:tblGrid>
            <w:tr w14:paraId="75F8C1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tcBorders>
                    <w:tl2br w:val="nil"/>
                    <w:tr2bl w:val="nil"/>
                  </w:tcBorders>
                  <w:vAlign w:val="center"/>
                </w:tcPr>
                <w:p w14:paraId="5A9CAA9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序号</w:t>
                  </w:r>
                </w:p>
              </w:tc>
              <w:tc>
                <w:tcPr>
                  <w:tcW w:w="543" w:type="pct"/>
                  <w:gridSpan w:val="2"/>
                  <w:tcBorders>
                    <w:tl2br w:val="nil"/>
                    <w:tr2bl w:val="nil"/>
                  </w:tcBorders>
                  <w:vAlign w:val="center"/>
                </w:tcPr>
                <w:p w14:paraId="287C9B9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污染源</w:t>
                  </w:r>
                </w:p>
              </w:tc>
              <w:tc>
                <w:tcPr>
                  <w:tcW w:w="721" w:type="pct"/>
                  <w:gridSpan w:val="2"/>
                  <w:tcBorders>
                    <w:tl2br w:val="nil"/>
                    <w:tr2bl w:val="nil"/>
                  </w:tcBorders>
                  <w:vAlign w:val="center"/>
                </w:tcPr>
                <w:p w14:paraId="697A475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非正常排放原因</w:t>
                  </w:r>
                </w:p>
              </w:tc>
              <w:tc>
                <w:tcPr>
                  <w:tcW w:w="533" w:type="pct"/>
                  <w:gridSpan w:val="2"/>
                  <w:tcBorders>
                    <w:tl2br w:val="nil"/>
                    <w:tr2bl w:val="nil"/>
                  </w:tcBorders>
                  <w:vAlign w:val="center"/>
                </w:tcPr>
                <w:p w14:paraId="76CA5AA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污染物</w:t>
                  </w:r>
                </w:p>
              </w:tc>
              <w:tc>
                <w:tcPr>
                  <w:tcW w:w="677" w:type="pct"/>
                  <w:gridSpan w:val="2"/>
                  <w:tcBorders>
                    <w:tl2br w:val="nil"/>
                    <w:tr2bl w:val="nil"/>
                  </w:tcBorders>
                  <w:vAlign w:val="center"/>
                </w:tcPr>
                <w:p w14:paraId="182370B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非正常排放浓度（mg/m</w:t>
                  </w:r>
                  <w:r>
                    <w:rPr>
                      <w:b/>
                      <w:bCs/>
                      <w:color w:val="auto"/>
                      <w:sz w:val="18"/>
                      <w:szCs w:val="18"/>
                      <w:vertAlign w:val="superscript"/>
                    </w:rPr>
                    <w:t>3</w:t>
                  </w:r>
                  <w:r>
                    <w:rPr>
                      <w:b/>
                      <w:bCs/>
                      <w:color w:val="auto"/>
                      <w:sz w:val="18"/>
                      <w:szCs w:val="18"/>
                    </w:rPr>
                    <w:t>）</w:t>
                  </w:r>
                </w:p>
              </w:tc>
              <w:tc>
                <w:tcPr>
                  <w:tcW w:w="677" w:type="pct"/>
                  <w:gridSpan w:val="2"/>
                  <w:tcBorders>
                    <w:tl2br w:val="nil"/>
                    <w:tr2bl w:val="nil"/>
                  </w:tcBorders>
                  <w:vAlign w:val="center"/>
                </w:tcPr>
                <w:p w14:paraId="7B3AFB4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非正常排放速率(kg/h)</w:t>
                  </w:r>
                </w:p>
              </w:tc>
              <w:tc>
                <w:tcPr>
                  <w:tcW w:w="472" w:type="pct"/>
                  <w:gridSpan w:val="2"/>
                  <w:tcBorders>
                    <w:tl2br w:val="nil"/>
                    <w:tr2bl w:val="nil"/>
                  </w:tcBorders>
                  <w:vAlign w:val="center"/>
                </w:tcPr>
                <w:p w14:paraId="7245AB8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单次持续时间（h）</w:t>
                  </w:r>
                </w:p>
              </w:tc>
              <w:tc>
                <w:tcPr>
                  <w:tcW w:w="543" w:type="pct"/>
                  <w:gridSpan w:val="2"/>
                  <w:tcBorders>
                    <w:tl2br w:val="nil"/>
                    <w:tr2bl w:val="nil"/>
                  </w:tcBorders>
                  <w:vAlign w:val="center"/>
                </w:tcPr>
                <w:p w14:paraId="5822F24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年发生频次</w:t>
                  </w:r>
                </w:p>
                <w:p w14:paraId="571529C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（次）</w:t>
                  </w:r>
                </w:p>
              </w:tc>
              <w:tc>
                <w:tcPr>
                  <w:tcW w:w="558" w:type="pct"/>
                  <w:gridSpan w:val="2"/>
                  <w:tcBorders>
                    <w:tl2br w:val="nil"/>
                    <w:tr2bl w:val="nil"/>
                  </w:tcBorders>
                  <w:vAlign w:val="center"/>
                </w:tcPr>
                <w:p w14:paraId="3696106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b/>
                      <w:bCs/>
                      <w:color w:val="auto"/>
                      <w:sz w:val="18"/>
                      <w:szCs w:val="18"/>
                    </w:rPr>
                  </w:pPr>
                  <w:r>
                    <w:rPr>
                      <w:b/>
                      <w:bCs/>
                      <w:color w:val="auto"/>
                      <w:sz w:val="18"/>
                      <w:szCs w:val="18"/>
                    </w:rPr>
                    <w:t>应对措施</w:t>
                  </w:r>
                </w:p>
              </w:tc>
            </w:tr>
            <w:tr w14:paraId="3FEA2F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tcBorders>
                    <w:tl2br w:val="nil"/>
                    <w:tr2bl w:val="nil"/>
                  </w:tcBorders>
                  <w:vAlign w:val="center"/>
                </w:tcPr>
                <w:p w14:paraId="7AADB97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1</w:t>
                  </w:r>
                </w:p>
              </w:tc>
              <w:tc>
                <w:tcPr>
                  <w:tcW w:w="543" w:type="pct"/>
                  <w:gridSpan w:val="2"/>
                  <w:tcBorders>
                    <w:tl2br w:val="nil"/>
                    <w:tr2bl w:val="nil"/>
                  </w:tcBorders>
                  <w:vAlign w:val="center"/>
                </w:tcPr>
                <w:p w14:paraId="00FB2DF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sz w:val="18"/>
                      <w:szCs w:val="18"/>
                    </w:rPr>
                    <w:t>DA001</w:t>
                  </w:r>
                </w:p>
              </w:tc>
              <w:tc>
                <w:tcPr>
                  <w:tcW w:w="721" w:type="pct"/>
                  <w:gridSpan w:val="2"/>
                  <w:tcBorders>
                    <w:tl2br w:val="nil"/>
                    <w:tr2bl w:val="nil"/>
                  </w:tcBorders>
                  <w:vAlign w:val="center"/>
                </w:tcPr>
                <w:p w14:paraId="197C2DA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环保设施故障</w:t>
                  </w:r>
                </w:p>
              </w:tc>
              <w:tc>
                <w:tcPr>
                  <w:tcW w:w="533" w:type="pct"/>
                  <w:gridSpan w:val="2"/>
                  <w:tcBorders>
                    <w:tl2br w:val="nil"/>
                    <w:tr2bl w:val="nil"/>
                  </w:tcBorders>
                  <w:vAlign w:val="center"/>
                </w:tcPr>
                <w:p w14:paraId="1C460CE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颗粒物</w:t>
                  </w:r>
                </w:p>
              </w:tc>
              <w:tc>
                <w:tcPr>
                  <w:tcW w:w="677" w:type="pct"/>
                  <w:gridSpan w:val="2"/>
                  <w:tcBorders>
                    <w:tl2br w:val="nil"/>
                    <w:tr2bl w:val="nil"/>
                  </w:tcBorders>
                  <w:vAlign w:val="center"/>
                </w:tcPr>
                <w:p w14:paraId="5A3E994E">
                  <w:pPr>
                    <w:widowControl/>
                    <w:jc w:val="center"/>
                    <w:textAlignment w:val="center"/>
                    <w:rPr>
                      <w:rFonts w:ascii="Times New Roman"/>
                      <w:color w:val="auto"/>
                      <w:sz w:val="18"/>
                      <w:szCs w:val="18"/>
                    </w:rPr>
                  </w:pPr>
                  <w:r>
                    <w:rPr>
                      <w:rFonts w:hint="default"/>
                      <w:color w:val="auto"/>
                      <w:sz w:val="18"/>
                      <w:szCs w:val="18"/>
                      <w:lang w:val="en-US" w:eastAsia="zh-CN"/>
                    </w:rPr>
                    <w:t xml:space="preserve">110.3 </w:t>
                  </w:r>
                </w:p>
              </w:tc>
              <w:tc>
                <w:tcPr>
                  <w:tcW w:w="677" w:type="pct"/>
                  <w:gridSpan w:val="2"/>
                  <w:tcBorders>
                    <w:tl2br w:val="nil"/>
                    <w:tr2bl w:val="nil"/>
                  </w:tcBorders>
                  <w:vAlign w:val="center"/>
                </w:tcPr>
                <w:p w14:paraId="0F9F30C9">
                  <w:pPr>
                    <w:widowControl/>
                    <w:jc w:val="center"/>
                    <w:textAlignment w:val="center"/>
                    <w:rPr>
                      <w:rFonts w:ascii="Times New Roman"/>
                      <w:color w:val="auto"/>
                      <w:sz w:val="18"/>
                      <w:szCs w:val="18"/>
                    </w:rPr>
                  </w:pPr>
                  <w:r>
                    <w:rPr>
                      <w:rFonts w:hint="default"/>
                      <w:color w:val="auto"/>
                      <w:sz w:val="18"/>
                      <w:szCs w:val="18"/>
                      <w:lang w:val="en-US" w:eastAsia="zh-CN"/>
                    </w:rPr>
                    <w:t>5.515</w:t>
                  </w:r>
                </w:p>
              </w:tc>
              <w:tc>
                <w:tcPr>
                  <w:tcW w:w="472" w:type="pct"/>
                  <w:gridSpan w:val="2"/>
                  <w:tcBorders>
                    <w:tl2br w:val="nil"/>
                    <w:tr2bl w:val="nil"/>
                  </w:tcBorders>
                  <w:shd w:val="clear" w:color="auto" w:fill="auto"/>
                  <w:vAlign w:val="center"/>
                </w:tcPr>
                <w:p w14:paraId="01AB3BD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3" w:type="pct"/>
                  <w:gridSpan w:val="2"/>
                  <w:tcBorders>
                    <w:tl2br w:val="nil"/>
                    <w:tr2bl w:val="nil"/>
                  </w:tcBorders>
                  <w:vAlign w:val="center"/>
                </w:tcPr>
                <w:p w14:paraId="5A05F1B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1</w:t>
                  </w:r>
                </w:p>
              </w:tc>
              <w:tc>
                <w:tcPr>
                  <w:tcW w:w="558" w:type="pct"/>
                  <w:gridSpan w:val="2"/>
                  <w:tcBorders>
                    <w:tl2br w:val="nil"/>
                    <w:tr2bl w:val="nil"/>
                  </w:tcBorders>
                  <w:vAlign w:val="center"/>
                </w:tcPr>
                <w:p w14:paraId="6B21B37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立即停止作业</w:t>
                  </w:r>
                </w:p>
              </w:tc>
            </w:tr>
            <w:tr w14:paraId="10F6EF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vMerge w:val="restart"/>
                  <w:tcBorders>
                    <w:tl2br w:val="nil"/>
                    <w:tr2bl w:val="nil"/>
                  </w:tcBorders>
                  <w:vAlign w:val="center"/>
                </w:tcPr>
                <w:p w14:paraId="1FF5CD1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2</w:t>
                  </w:r>
                </w:p>
              </w:tc>
              <w:tc>
                <w:tcPr>
                  <w:tcW w:w="543" w:type="pct"/>
                  <w:gridSpan w:val="2"/>
                  <w:vMerge w:val="restart"/>
                  <w:tcBorders>
                    <w:tl2br w:val="nil"/>
                    <w:tr2bl w:val="nil"/>
                  </w:tcBorders>
                  <w:vAlign w:val="center"/>
                </w:tcPr>
                <w:p w14:paraId="7EABA81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sz w:val="18"/>
                      <w:szCs w:val="18"/>
                    </w:rPr>
                    <w:t>DA002</w:t>
                  </w:r>
                </w:p>
              </w:tc>
              <w:tc>
                <w:tcPr>
                  <w:tcW w:w="721" w:type="pct"/>
                  <w:gridSpan w:val="2"/>
                  <w:vMerge w:val="restart"/>
                  <w:tcBorders>
                    <w:tl2br w:val="nil"/>
                    <w:tr2bl w:val="nil"/>
                  </w:tcBorders>
                  <w:vAlign w:val="center"/>
                </w:tcPr>
                <w:p w14:paraId="56C7ACF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环保设施故障</w:t>
                  </w:r>
                </w:p>
              </w:tc>
              <w:tc>
                <w:tcPr>
                  <w:tcW w:w="533" w:type="pct"/>
                  <w:gridSpan w:val="2"/>
                  <w:tcBorders>
                    <w:tl2br w:val="nil"/>
                    <w:tr2bl w:val="nil"/>
                  </w:tcBorders>
                  <w:vAlign w:val="center"/>
                </w:tcPr>
                <w:p w14:paraId="0638CFD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颗粒物</w:t>
                  </w:r>
                </w:p>
              </w:tc>
              <w:tc>
                <w:tcPr>
                  <w:tcW w:w="677" w:type="pct"/>
                  <w:gridSpan w:val="2"/>
                  <w:tcBorders>
                    <w:tl2br w:val="nil"/>
                    <w:tr2bl w:val="nil"/>
                  </w:tcBorders>
                  <w:vAlign w:val="center"/>
                </w:tcPr>
                <w:p w14:paraId="064B2343">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148.8 </w:t>
                  </w:r>
                </w:p>
              </w:tc>
              <w:tc>
                <w:tcPr>
                  <w:tcW w:w="677" w:type="pct"/>
                  <w:gridSpan w:val="2"/>
                  <w:tcBorders>
                    <w:tl2br w:val="nil"/>
                    <w:tr2bl w:val="nil"/>
                  </w:tcBorders>
                  <w:vAlign w:val="center"/>
                </w:tcPr>
                <w:p w14:paraId="14F5CE50">
                  <w:pPr>
                    <w:keepNext w:val="0"/>
                    <w:keepLines w:val="0"/>
                    <w:widowControl/>
                    <w:suppressLineNumbers w:val="0"/>
                    <w:jc w:val="center"/>
                    <w:textAlignment w:val="center"/>
                    <w:rPr>
                      <w:rFonts w:ascii="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4.465</w:t>
                  </w:r>
                </w:p>
              </w:tc>
              <w:tc>
                <w:tcPr>
                  <w:tcW w:w="472" w:type="pct"/>
                  <w:gridSpan w:val="2"/>
                  <w:vMerge w:val="restart"/>
                  <w:tcBorders>
                    <w:tl2br w:val="nil"/>
                    <w:tr2bl w:val="nil"/>
                  </w:tcBorders>
                  <w:shd w:val="clear" w:color="auto" w:fill="auto"/>
                  <w:vAlign w:val="center"/>
                </w:tcPr>
                <w:p w14:paraId="35F0724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3" w:type="pct"/>
                  <w:gridSpan w:val="2"/>
                  <w:vMerge w:val="restart"/>
                  <w:tcBorders>
                    <w:tl2br w:val="nil"/>
                    <w:tr2bl w:val="nil"/>
                  </w:tcBorders>
                  <w:vAlign w:val="center"/>
                </w:tcPr>
                <w:p w14:paraId="12331EF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1</w:t>
                  </w:r>
                </w:p>
              </w:tc>
              <w:tc>
                <w:tcPr>
                  <w:tcW w:w="558" w:type="pct"/>
                  <w:gridSpan w:val="2"/>
                  <w:vMerge w:val="restart"/>
                  <w:tcBorders>
                    <w:tl2br w:val="nil"/>
                    <w:tr2bl w:val="nil"/>
                  </w:tcBorders>
                  <w:vAlign w:val="center"/>
                </w:tcPr>
                <w:p w14:paraId="777DFD0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立即停止作业</w:t>
                  </w:r>
                </w:p>
              </w:tc>
            </w:tr>
            <w:tr w14:paraId="1ACC92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vMerge w:val="continue"/>
                  <w:tcBorders>
                    <w:tl2br w:val="nil"/>
                    <w:tr2bl w:val="nil"/>
                  </w:tcBorders>
                  <w:vAlign w:val="center"/>
                </w:tcPr>
                <w:p w14:paraId="446E237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w w:val="100"/>
                      <w:sz w:val="18"/>
                      <w:szCs w:val="18"/>
                    </w:rPr>
                  </w:pPr>
                </w:p>
              </w:tc>
              <w:tc>
                <w:tcPr>
                  <w:tcW w:w="543" w:type="pct"/>
                  <w:gridSpan w:val="2"/>
                  <w:vMerge w:val="continue"/>
                  <w:tcBorders>
                    <w:tl2br w:val="nil"/>
                    <w:tr2bl w:val="nil"/>
                  </w:tcBorders>
                  <w:vAlign w:val="center"/>
                </w:tcPr>
                <w:p w14:paraId="4900D33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p>
              </w:tc>
              <w:tc>
                <w:tcPr>
                  <w:tcW w:w="721" w:type="pct"/>
                  <w:gridSpan w:val="2"/>
                  <w:vMerge w:val="continue"/>
                  <w:tcBorders>
                    <w:tl2br w:val="nil"/>
                    <w:tr2bl w:val="nil"/>
                  </w:tcBorders>
                  <w:vAlign w:val="center"/>
                </w:tcPr>
                <w:p w14:paraId="1CDB68B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p>
              </w:tc>
              <w:tc>
                <w:tcPr>
                  <w:tcW w:w="533" w:type="pct"/>
                  <w:gridSpan w:val="2"/>
                  <w:tcBorders>
                    <w:tl2br w:val="nil"/>
                    <w:tr2bl w:val="nil"/>
                  </w:tcBorders>
                  <w:shd w:val="clear" w:color="auto" w:fill="auto"/>
                  <w:vAlign w:val="center"/>
                </w:tcPr>
                <w:p w14:paraId="4956BCF2">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非甲烷总烃</w:t>
                  </w:r>
                </w:p>
              </w:tc>
              <w:tc>
                <w:tcPr>
                  <w:tcW w:w="677" w:type="pct"/>
                  <w:gridSpan w:val="2"/>
                  <w:tcBorders>
                    <w:tl2br w:val="nil"/>
                    <w:tr2bl w:val="nil"/>
                  </w:tcBorders>
                  <w:vAlign w:val="center"/>
                </w:tcPr>
                <w:p w14:paraId="77D418C9">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 xml:space="preserve">117.5 </w:t>
                  </w:r>
                </w:p>
              </w:tc>
              <w:tc>
                <w:tcPr>
                  <w:tcW w:w="677" w:type="pct"/>
                  <w:gridSpan w:val="2"/>
                  <w:tcBorders>
                    <w:tl2br w:val="nil"/>
                    <w:tr2bl w:val="nil"/>
                  </w:tcBorders>
                  <w:vAlign w:val="center"/>
                </w:tcPr>
                <w:p w14:paraId="4219ABC9">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3.526</w:t>
                  </w:r>
                </w:p>
              </w:tc>
              <w:tc>
                <w:tcPr>
                  <w:tcW w:w="472" w:type="pct"/>
                  <w:gridSpan w:val="2"/>
                  <w:vMerge w:val="continue"/>
                  <w:tcBorders>
                    <w:tl2br w:val="nil"/>
                    <w:tr2bl w:val="nil"/>
                  </w:tcBorders>
                  <w:shd w:val="clear" w:color="auto" w:fill="auto"/>
                  <w:vAlign w:val="center"/>
                </w:tcPr>
                <w:p w14:paraId="70C28D6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color w:val="auto"/>
                      <w:w w:val="100"/>
                      <w:sz w:val="18"/>
                      <w:szCs w:val="18"/>
                    </w:rPr>
                  </w:pPr>
                </w:p>
              </w:tc>
              <w:tc>
                <w:tcPr>
                  <w:tcW w:w="543" w:type="pct"/>
                  <w:gridSpan w:val="2"/>
                  <w:vMerge w:val="continue"/>
                  <w:tcBorders>
                    <w:tl2br w:val="nil"/>
                    <w:tr2bl w:val="nil"/>
                  </w:tcBorders>
                  <w:vAlign w:val="center"/>
                </w:tcPr>
                <w:p w14:paraId="541637E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w w:val="100"/>
                      <w:sz w:val="18"/>
                      <w:szCs w:val="18"/>
                    </w:rPr>
                  </w:pPr>
                </w:p>
              </w:tc>
              <w:tc>
                <w:tcPr>
                  <w:tcW w:w="558" w:type="pct"/>
                  <w:gridSpan w:val="2"/>
                  <w:vMerge w:val="continue"/>
                  <w:tcBorders>
                    <w:tl2br w:val="nil"/>
                    <w:tr2bl w:val="nil"/>
                  </w:tcBorders>
                  <w:vAlign w:val="center"/>
                </w:tcPr>
                <w:p w14:paraId="543E844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p>
              </w:tc>
            </w:tr>
            <w:tr w14:paraId="419E13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vMerge w:val="continue"/>
                  <w:tcBorders>
                    <w:tl2br w:val="nil"/>
                    <w:tr2bl w:val="nil"/>
                  </w:tcBorders>
                  <w:vAlign w:val="center"/>
                </w:tcPr>
                <w:p w14:paraId="010236C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w w:val="100"/>
                      <w:sz w:val="18"/>
                      <w:szCs w:val="18"/>
                    </w:rPr>
                  </w:pPr>
                </w:p>
              </w:tc>
              <w:tc>
                <w:tcPr>
                  <w:tcW w:w="543" w:type="pct"/>
                  <w:gridSpan w:val="2"/>
                  <w:vMerge w:val="continue"/>
                  <w:tcBorders>
                    <w:tl2br w:val="nil"/>
                    <w:tr2bl w:val="nil"/>
                  </w:tcBorders>
                  <w:vAlign w:val="center"/>
                </w:tcPr>
                <w:p w14:paraId="66241CA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p>
              </w:tc>
              <w:tc>
                <w:tcPr>
                  <w:tcW w:w="721" w:type="pct"/>
                  <w:gridSpan w:val="2"/>
                  <w:vMerge w:val="continue"/>
                  <w:tcBorders>
                    <w:tl2br w:val="nil"/>
                    <w:tr2bl w:val="nil"/>
                  </w:tcBorders>
                  <w:vAlign w:val="center"/>
                </w:tcPr>
                <w:p w14:paraId="08DFFF9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p>
              </w:tc>
              <w:tc>
                <w:tcPr>
                  <w:tcW w:w="533" w:type="pct"/>
                  <w:gridSpan w:val="2"/>
                  <w:tcBorders>
                    <w:tl2br w:val="nil"/>
                    <w:tr2bl w:val="nil"/>
                  </w:tcBorders>
                  <w:shd w:val="clear" w:color="auto" w:fill="auto"/>
                  <w:vAlign w:val="center"/>
                </w:tcPr>
                <w:p w14:paraId="522416C4">
                  <w:pPr>
                    <w:widowControl/>
                    <w:jc w:val="center"/>
                    <w:textAlignment w:val="center"/>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甲醛</w:t>
                  </w:r>
                </w:p>
              </w:tc>
              <w:tc>
                <w:tcPr>
                  <w:tcW w:w="677" w:type="pct"/>
                  <w:gridSpan w:val="2"/>
                  <w:tcBorders>
                    <w:tl2br w:val="nil"/>
                    <w:tr2bl w:val="nil"/>
                  </w:tcBorders>
                  <w:vAlign w:val="center"/>
                </w:tcPr>
                <w:p w14:paraId="0A2B9AFC">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 xml:space="preserve">2.8 </w:t>
                  </w:r>
                </w:p>
              </w:tc>
              <w:tc>
                <w:tcPr>
                  <w:tcW w:w="677" w:type="pct"/>
                  <w:gridSpan w:val="2"/>
                  <w:tcBorders>
                    <w:tl2br w:val="nil"/>
                    <w:tr2bl w:val="nil"/>
                  </w:tcBorders>
                  <w:vAlign w:val="center"/>
                </w:tcPr>
                <w:p w14:paraId="24EA943E">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0.084</w:t>
                  </w:r>
                </w:p>
              </w:tc>
              <w:tc>
                <w:tcPr>
                  <w:tcW w:w="472" w:type="pct"/>
                  <w:gridSpan w:val="2"/>
                  <w:vMerge w:val="continue"/>
                  <w:tcBorders>
                    <w:tl2br w:val="nil"/>
                    <w:tr2bl w:val="nil"/>
                  </w:tcBorders>
                  <w:shd w:val="clear" w:color="auto" w:fill="auto"/>
                  <w:vAlign w:val="center"/>
                </w:tcPr>
                <w:p w14:paraId="11FBECF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color w:val="auto"/>
                      <w:w w:val="100"/>
                      <w:sz w:val="18"/>
                      <w:szCs w:val="18"/>
                    </w:rPr>
                  </w:pPr>
                </w:p>
              </w:tc>
              <w:tc>
                <w:tcPr>
                  <w:tcW w:w="543" w:type="pct"/>
                  <w:gridSpan w:val="2"/>
                  <w:vMerge w:val="continue"/>
                  <w:tcBorders>
                    <w:tl2br w:val="nil"/>
                    <w:tr2bl w:val="nil"/>
                  </w:tcBorders>
                  <w:vAlign w:val="center"/>
                </w:tcPr>
                <w:p w14:paraId="2DB20B2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w w:val="100"/>
                      <w:sz w:val="18"/>
                      <w:szCs w:val="18"/>
                    </w:rPr>
                  </w:pPr>
                </w:p>
              </w:tc>
              <w:tc>
                <w:tcPr>
                  <w:tcW w:w="558" w:type="pct"/>
                  <w:gridSpan w:val="2"/>
                  <w:vMerge w:val="continue"/>
                  <w:tcBorders>
                    <w:tl2br w:val="nil"/>
                    <w:tr2bl w:val="nil"/>
                  </w:tcBorders>
                  <w:vAlign w:val="center"/>
                </w:tcPr>
                <w:p w14:paraId="56726BC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p>
              </w:tc>
            </w:tr>
            <w:tr w14:paraId="3B1C57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tcBorders>
                    <w:tl2br w:val="nil"/>
                    <w:tr2bl w:val="nil"/>
                  </w:tcBorders>
                  <w:vAlign w:val="center"/>
                </w:tcPr>
                <w:p w14:paraId="4B6E8D6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3</w:t>
                  </w:r>
                </w:p>
              </w:tc>
              <w:tc>
                <w:tcPr>
                  <w:tcW w:w="543" w:type="pct"/>
                  <w:gridSpan w:val="2"/>
                  <w:tcBorders>
                    <w:tl2br w:val="nil"/>
                    <w:tr2bl w:val="nil"/>
                  </w:tcBorders>
                  <w:vAlign w:val="center"/>
                </w:tcPr>
                <w:p w14:paraId="53C76F3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sz w:val="18"/>
                      <w:szCs w:val="18"/>
                    </w:rPr>
                    <w:t>DA003</w:t>
                  </w:r>
                </w:p>
              </w:tc>
              <w:tc>
                <w:tcPr>
                  <w:tcW w:w="721" w:type="pct"/>
                  <w:gridSpan w:val="2"/>
                  <w:tcBorders>
                    <w:tl2br w:val="nil"/>
                    <w:tr2bl w:val="nil"/>
                  </w:tcBorders>
                  <w:vAlign w:val="center"/>
                </w:tcPr>
                <w:p w14:paraId="1E4D93D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环保设施故障</w:t>
                  </w:r>
                </w:p>
              </w:tc>
              <w:tc>
                <w:tcPr>
                  <w:tcW w:w="533" w:type="pct"/>
                  <w:gridSpan w:val="2"/>
                  <w:tcBorders>
                    <w:tl2br w:val="nil"/>
                    <w:tr2bl w:val="nil"/>
                  </w:tcBorders>
                  <w:vAlign w:val="center"/>
                </w:tcPr>
                <w:p w14:paraId="42D722F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eastAsia="宋体"/>
                      <w:color w:val="auto"/>
                      <w:sz w:val="18"/>
                      <w:szCs w:val="18"/>
                      <w:lang w:eastAsia="zh-CN"/>
                    </w:rPr>
                  </w:pPr>
                  <w:r>
                    <w:rPr>
                      <w:rFonts w:hint="eastAsia"/>
                      <w:color w:val="auto"/>
                      <w:sz w:val="18"/>
                      <w:szCs w:val="18"/>
                      <w:lang w:val="en-US" w:eastAsia="zh-CN"/>
                    </w:rPr>
                    <w:t>非甲烷总烃</w:t>
                  </w:r>
                </w:p>
              </w:tc>
              <w:tc>
                <w:tcPr>
                  <w:tcW w:w="677" w:type="pct"/>
                  <w:gridSpan w:val="2"/>
                  <w:tcBorders>
                    <w:tl2br w:val="nil"/>
                    <w:tr2bl w:val="nil"/>
                  </w:tcBorders>
                  <w:vAlign w:val="center"/>
                </w:tcPr>
                <w:p w14:paraId="08E6C205">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22.2</w:t>
                  </w:r>
                </w:p>
              </w:tc>
              <w:tc>
                <w:tcPr>
                  <w:tcW w:w="677" w:type="pct"/>
                  <w:gridSpan w:val="2"/>
                  <w:tcBorders>
                    <w:tl2br w:val="nil"/>
                    <w:tr2bl w:val="nil"/>
                  </w:tcBorders>
                  <w:vAlign w:val="center"/>
                </w:tcPr>
                <w:p w14:paraId="23A7655F">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0.111</w:t>
                  </w:r>
                </w:p>
              </w:tc>
              <w:tc>
                <w:tcPr>
                  <w:tcW w:w="472" w:type="pct"/>
                  <w:gridSpan w:val="2"/>
                  <w:tcBorders>
                    <w:tl2br w:val="nil"/>
                    <w:tr2bl w:val="nil"/>
                  </w:tcBorders>
                  <w:shd w:val="clear" w:color="auto" w:fill="auto"/>
                  <w:vAlign w:val="center"/>
                </w:tcPr>
                <w:p w14:paraId="746267B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3" w:type="pct"/>
                  <w:gridSpan w:val="2"/>
                  <w:tcBorders>
                    <w:tl2br w:val="nil"/>
                    <w:tr2bl w:val="nil"/>
                  </w:tcBorders>
                  <w:vAlign w:val="center"/>
                </w:tcPr>
                <w:p w14:paraId="03508AC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1</w:t>
                  </w:r>
                </w:p>
              </w:tc>
              <w:tc>
                <w:tcPr>
                  <w:tcW w:w="558" w:type="pct"/>
                  <w:gridSpan w:val="2"/>
                  <w:tcBorders>
                    <w:tl2br w:val="nil"/>
                    <w:tr2bl w:val="nil"/>
                  </w:tcBorders>
                  <w:vAlign w:val="center"/>
                </w:tcPr>
                <w:p w14:paraId="54EDB83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立即停止作业</w:t>
                  </w:r>
                </w:p>
              </w:tc>
            </w:tr>
            <w:tr w14:paraId="11E94A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tcBorders>
                    <w:tl2br w:val="nil"/>
                    <w:tr2bl w:val="nil"/>
                  </w:tcBorders>
                  <w:vAlign w:val="center"/>
                </w:tcPr>
                <w:p w14:paraId="75DEF92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4</w:t>
                  </w:r>
                </w:p>
              </w:tc>
              <w:tc>
                <w:tcPr>
                  <w:tcW w:w="543" w:type="pct"/>
                  <w:gridSpan w:val="2"/>
                  <w:tcBorders>
                    <w:tl2br w:val="nil"/>
                    <w:tr2bl w:val="nil"/>
                  </w:tcBorders>
                  <w:vAlign w:val="center"/>
                </w:tcPr>
                <w:p w14:paraId="7979597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sz w:val="18"/>
                      <w:szCs w:val="18"/>
                    </w:rPr>
                    <w:t>DA004</w:t>
                  </w:r>
                </w:p>
              </w:tc>
              <w:tc>
                <w:tcPr>
                  <w:tcW w:w="721" w:type="pct"/>
                  <w:gridSpan w:val="2"/>
                  <w:tcBorders>
                    <w:tl2br w:val="nil"/>
                    <w:tr2bl w:val="nil"/>
                  </w:tcBorders>
                  <w:vAlign w:val="center"/>
                </w:tcPr>
                <w:p w14:paraId="2A6268C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环保设施故障</w:t>
                  </w:r>
                </w:p>
              </w:tc>
              <w:tc>
                <w:tcPr>
                  <w:tcW w:w="533" w:type="pct"/>
                  <w:gridSpan w:val="2"/>
                  <w:tcBorders>
                    <w:tl2br w:val="nil"/>
                    <w:tr2bl w:val="nil"/>
                  </w:tcBorders>
                  <w:vAlign w:val="center"/>
                </w:tcPr>
                <w:p w14:paraId="680545A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rFonts w:hint="eastAsia"/>
                      <w:color w:val="auto"/>
                      <w:sz w:val="18"/>
                      <w:szCs w:val="18"/>
                      <w:lang w:val="en-US" w:eastAsia="zh-CN"/>
                    </w:rPr>
                    <w:t>非甲烷总烃</w:t>
                  </w:r>
                </w:p>
              </w:tc>
              <w:tc>
                <w:tcPr>
                  <w:tcW w:w="677" w:type="pct"/>
                  <w:gridSpan w:val="2"/>
                  <w:tcBorders>
                    <w:tl2br w:val="nil"/>
                    <w:tr2bl w:val="nil"/>
                  </w:tcBorders>
                  <w:vAlign w:val="center"/>
                </w:tcPr>
                <w:p w14:paraId="1D1A212A">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 xml:space="preserve">11.2 </w:t>
                  </w:r>
                </w:p>
              </w:tc>
              <w:tc>
                <w:tcPr>
                  <w:tcW w:w="677" w:type="pct"/>
                  <w:gridSpan w:val="2"/>
                  <w:tcBorders>
                    <w:tl2br w:val="nil"/>
                    <w:tr2bl w:val="nil"/>
                  </w:tcBorders>
                  <w:vAlign w:val="center"/>
                </w:tcPr>
                <w:p w14:paraId="51F6D6D6">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0.056</w:t>
                  </w:r>
                </w:p>
              </w:tc>
              <w:tc>
                <w:tcPr>
                  <w:tcW w:w="472" w:type="pct"/>
                  <w:gridSpan w:val="2"/>
                  <w:tcBorders>
                    <w:tl2br w:val="nil"/>
                    <w:tr2bl w:val="nil"/>
                  </w:tcBorders>
                  <w:shd w:val="clear" w:color="auto" w:fill="auto"/>
                  <w:vAlign w:val="center"/>
                </w:tcPr>
                <w:p w14:paraId="7AD5B0C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3" w:type="pct"/>
                  <w:gridSpan w:val="2"/>
                  <w:tcBorders>
                    <w:tl2br w:val="nil"/>
                    <w:tr2bl w:val="nil"/>
                  </w:tcBorders>
                  <w:vAlign w:val="center"/>
                </w:tcPr>
                <w:p w14:paraId="5C6525A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1</w:t>
                  </w:r>
                </w:p>
              </w:tc>
              <w:tc>
                <w:tcPr>
                  <w:tcW w:w="558" w:type="pct"/>
                  <w:gridSpan w:val="2"/>
                  <w:tcBorders>
                    <w:tl2br w:val="nil"/>
                    <w:tr2bl w:val="nil"/>
                  </w:tcBorders>
                  <w:vAlign w:val="center"/>
                </w:tcPr>
                <w:p w14:paraId="5B8C698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立即停止作业</w:t>
                  </w:r>
                </w:p>
              </w:tc>
            </w:tr>
            <w:tr w14:paraId="6DC31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2" w:type="pct"/>
                  <w:gridSpan w:val="2"/>
                  <w:tcBorders>
                    <w:tl2br w:val="nil"/>
                    <w:tr2bl w:val="nil"/>
                  </w:tcBorders>
                  <w:vAlign w:val="center"/>
                </w:tcPr>
                <w:p w14:paraId="6FC8B5C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5</w:t>
                  </w:r>
                </w:p>
              </w:tc>
              <w:tc>
                <w:tcPr>
                  <w:tcW w:w="543" w:type="pct"/>
                  <w:gridSpan w:val="2"/>
                  <w:tcBorders>
                    <w:tl2br w:val="nil"/>
                    <w:tr2bl w:val="nil"/>
                  </w:tcBorders>
                  <w:vAlign w:val="center"/>
                </w:tcPr>
                <w:p w14:paraId="43AB4A5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sz w:val="18"/>
                      <w:szCs w:val="18"/>
                    </w:rPr>
                    <w:t>DA005</w:t>
                  </w:r>
                </w:p>
              </w:tc>
              <w:tc>
                <w:tcPr>
                  <w:tcW w:w="721" w:type="pct"/>
                  <w:gridSpan w:val="2"/>
                  <w:tcBorders>
                    <w:tl2br w:val="nil"/>
                    <w:tr2bl w:val="nil"/>
                  </w:tcBorders>
                  <w:vAlign w:val="center"/>
                </w:tcPr>
                <w:p w14:paraId="4291AE8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环保设施故障</w:t>
                  </w:r>
                </w:p>
              </w:tc>
              <w:tc>
                <w:tcPr>
                  <w:tcW w:w="533" w:type="pct"/>
                  <w:gridSpan w:val="2"/>
                  <w:tcBorders>
                    <w:tl2br w:val="nil"/>
                    <w:tr2bl w:val="nil"/>
                  </w:tcBorders>
                  <w:vAlign w:val="center"/>
                </w:tcPr>
                <w:p w14:paraId="4DDCE29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颗粒物</w:t>
                  </w:r>
                </w:p>
              </w:tc>
              <w:tc>
                <w:tcPr>
                  <w:tcW w:w="677" w:type="pct"/>
                  <w:gridSpan w:val="2"/>
                  <w:tcBorders>
                    <w:tl2br w:val="nil"/>
                    <w:tr2bl w:val="nil"/>
                  </w:tcBorders>
                  <w:vAlign w:val="center"/>
                </w:tcPr>
                <w:p w14:paraId="03182EE7">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 xml:space="preserve">1732.1 </w:t>
                  </w:r>
                </w:p>
              </w:tc>
              <w:tc>
                <w:tcPr>
                  <w:tcW w:w="677" w:type="pct"/>
                  <w:gridSpan w:val="2"/>
                  <w:tcBorders>
                    <w:tl2br w:val="nil"/>
                    <w:tr2bl w:val="nil"/>
                  </w:tcBorders>
                  <w:vAlign w:val="center"/>
                </w:tcPr>
                <w:p w14:paraId="72CB8F2C">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103.928</w:t>
                  </w:r>
                </w:p>
              </w:tc>
              <w:tc>
                <w:tcPr>
                  <w:tcW w:w="472" w:type="pct"/>
                  <w:gridSpan w:val="2"/>
                  <w:tcBorders>
                    <w:tl2br w:val="nil"/>
                    <w:tr2bl w:val="nil"/>
                  </w:tcBorders>
                  <w:shd w:val="clear" w:color="auto" w:fill="auto"/>
                  <w:vAlign w:val="center"/>
                </w:tcPr>
                <w:p w14:paraId="026C8DB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3" w:type="pct"/>
                  <w:gridSpan w:val="2"/>
                  <w:tcBorders>
                    <w:tl2br w:val="nil"/>
                    <w:tr2bl w:val="nil"/>
                  </w:tcBorders>
                  <w:vAlign w:val="center"/>
                </w:tcPr>
                <w:p w14:paraId="1B4BD32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1</w:t>
                  </w:r>
                </w:p>
              </w:tc>
              <w:tc>
                <w:tcPr>
                  <w:tcW w:w="558" w:type="pct"/>
                  <w:gridSpan w:val="2"/>
                  <w:tcBorders>
                    <w:tl2br w:val="nil"/>
                    <w:tr2bl w:val="nil"/>
                  </w:tcBorders>
                  <w:vAlign w:val="center"/>
                </w:tcPr>
                <w:p w14:paraId="01D60AB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立即停止作业</w:t>
                  </w:r>
                </w:p>
              </w:tc>
            </w:tr>
            <w:tr w14:paraId="4BEE5E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1" w:type="pct"/>
                <w:trHeight w:val="340" w:hRule="atLeast"/>
                <w:jc w:val="center"/>
              </w:trPr>
              <w:tc>
                <w:tcPr>
                  <w:tcW w:w="272" w:type="pct"/>
                  <w:tcBorders>
                    <w:tl2br w:val="nil"/>
                    <w:tr2bl w:val="nil"/>
                  </w:tcBorders>
                  <w:vAlign w:val="center"/>
                </w:tcPr>
                <w:p w14:paraId="0309505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6</w:t>
                  </w:r>
                </w:p>
              </w:tc>
              <w:tc>
                <w:tcPr>
                  <w:tcW w:w="541" w:type="pct"/>
                  <w:gridSpan w:val="2"/>
                  <w:tcBorders>
                    <w:tl2br w:val="nil"/>
                    <w:tr2bl w:val="nil"/>
                  </w:tcBorders>
                  <w:vAlign w:val="center"/>
                </w:tcPr>
                <w:p w14:paraId="6FFC836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sz w:val="18"/>
                      <w:szCs w:val="18"/>
                    </w:rPr>
                    <w:t>DA006</w:t>
                  </w:r>
                </w:p>
              </w:tc>
              <w:tc>
                <w:tcPr>
                  <w:tcW w:w="718" w:type="pct"/>
                  <w:gridSpan w:val="2"/>
                  <w:tcBorders>
                    <w:tl2br w:val="nil"/>
                    <w:tr2bl w:val="nil"/>
                  </w:tcBorders>
                  <w:vAlign w:val="center"/>
                </w:tcPr>
                <w:p w14:paraId="33A8282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环保设施故障</w:t>
                  </w:r>
                </w:p>
              </w:tc>
              <w:tc>
                <w:tcPr>
                  <w:tcW w:w="534" w:type="pct"/>
                  <w:gridSpan w:val="2"/>
                  <w:tcBorders>
                    <w:tl2br w:val="nil"/>
                    <w:tr2bl w:val="nil"/>
                  </w:tcBorders>
                  <w:vAlign w:val="center"/>
                </w:tcPr>
                <w:p w14:paraId="65A610A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颗粒物</w:t>
                  </w:r>
                </w:p>
              </w:tc>
              <w:tc>
                <w:tcPr>
                  <w:tcW w:w="676" w:type="pct"/>
                  <w:gridSpan w:val="2"/>
                  <w:tcBorders>
                    <w:tl2br w:val="nil"/>
                    <w:tr2bl w:val="nil"/>
                  </w:tcBorders>
                  <w:shd w:val="clear" w:color="auto" w:fill="auto"/>
                  <w:vAlign w:val="center"/>
                </w:tcPr>
                <w:p w14:paraId="7BEDCF7C">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 xml:space="preserve">260.7 </w:t>
                  </w:r>
                </w:p>
              </w:tc>
              <w:tc>
                <w:tcPr>
                  <w:tcW w:w="676" w:type="pct"/>
                  <w:gridSpan w:val="2"/>
                  <w:tcBorders>
                    <w:tl2br w:val="nil"/>
                    <w:tr2bl w:val="nil"/>
                  </w:tcBorders>
                  <w:vAlign w:val="center"/>
                </w:tcPr>
                <w:p w14:paraId="37E8AC2E">
                  <w:pPr>
                    <w:keepNext w:val="0"/>
                    <w:keepLines w:val="0"/>
                    <w:widowControl/>
                    <w:suppressLineNumbers w:val="0"/>
                    <w:jc w:val="center"/>
                    <w:textAlignment w:val="center"/>
                    <w:rPr>
                      <w:rFonts w:ascii="Times New Roman"/>
                      <w:color w:val="auto"/>
                      <w:sz w:val="18"/>
                      <w:szCs w:val="18"/>
                    </w:rPr>
                  </w:pPr>
                  <w:r>
                    <w:rPr>
                      <w:rFonts w:hint="eastAsia" w:ascii="Times New Roman" w:hAnsi="Times New Roman" w:eastAsia="宋体" w:cs="Times New Roman"/>
                      <w:i w:val="0"/>
                      <w:iCs w:val="0"/>
                      <w:color w:val="auto"/>
                      <w:kern w:val="0"/>
                      <w:sz w:val="18"/>
                      <w:szCs w:val="18"/>
                      <w:u w:val="none"/>
                      <w:lang w:val="en-US" w:eastAsia="zh-CN" w:bidi="ar"/>
                    </w:rPr>
                    <w:t>9.126</w:t>
                  </w:r>
                </w:p>
              </w:tc>
              <w:tc>
                <w:tcPr>
                  <w:tcW w:w="471" w:type="pct"/>
                  <w:gridSpan w:val="2"/>
                  <w:tcBorders>
                    <w:tl2br w:val="nil"/>
                    <w:tr2bl w:val="nil"/>
                  </w:tcBorders>
                  <w:shd w:val="clear" w:color="auto" w:fill="auto"/>
                  <w:vAlign w:val="center"/>
                </w:tcPr>
                <w:p w14:paraId="1EAFF793">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vAlign w:val="center"/>
                </w:tcPr>
                <w:p w14:paraId="7B041D4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1</w:t>
                  </w:r>
                </w:p>
              </w:tc>
              <w:tc>
                <w:tcPr>
                  <w:tcW w:w="542" w:type="pct"/>
                  <w:gridSpan w:val="2"/>
                  <w:tcBorders>
                    <w:tl2br w:val="nil"/>
                    <w:tr2bl w:val="nil"/>
                  </w:tcBorders>
                  <w:vAlign w:val="center"/>
                </w:tcPr>
                <w:p w14:paraId="01C428F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color w:val="auto"/>
                      <w:sz w:val="18"/>
                      <w:szCs w:val="18"/>
                    </w:rPr>
                  </w:pPr>
                  <w:r>
                    <w:rPr>
                      <w:color w:val="auto"/>
                      <w:sz w:val="18"/>
                      <w:szCs w:val="18"/>
                    </w:rPr>
                    <w:t>立即停止作业</w:t>
                  </w:r>
                </w:p>
              </w:tc>
            </w:tr>
            <w:tr w14:paraId="3F4285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1" w:type="pct"/>
                <w:trHeight w:val="340" w:hRule="atLeast"/>
                <w:jc w:val="center"/>
              </w:trPr>
              <w:tc>
                <w:tcPr>
                  <w:tcW w:w="272" w:type="pct"/>
                  <w:tcBorders>
                    <w:tl2br w:val="nil"/>
                    <w:tr2bl w:val="nil"/>
                  </w:tcBorders>
                  <w:vAlign w:val="center"/>
                </w:tcPr>
                <w:p w14:paraId="6481A47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7</w:t>
                  </w:r>
                </w:p>
              </w:tc>
              <w:tc>
                <w:tcPr>
                  <w:tcW w:w="541" w:type="pct"/>
                  <w:gridSpan w:val="2"/>
                  <w:tcBorders>
                    <w:tl2br w:val="nil"/>
                    <w:tr2bl w:val="nil"/>
                  </w:tcBorders>
                  <w:shd w:val="clear" w:color="auto" w:fill="auto"/>
                  <w:vAlign w:val="center"/>
                </w:tcPr>
                <w:p w14:paraId="309B411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ascii="Times New Roman"/>
                      <w:color w:val="auto"/>
                      <w:sz w:val="18"/>
                      <w:szCs w:val="18"/>
                    </w:rPr>
                    <w:t>DA00</w:t>
                  </w:r>
                  <w:r>
                    <w:rPr>
                      <w:rFonts w:hint="eastAsia"/>
                      <w:color w:val="auto"/>
                      <w:sz w:val="18"/>
                      <w:szCs w:val="18"/>
                      <w:lang w:val="en-US" w:eastAsia="zh-CN"/>
                    </w:rPr>
                    <w:t>8</w:t>
                  </w:r>
                </w:p>
              </w:tc>
              <w:tc>
                <w:tcPr>
                  <w:tcW w:w="718" w:type="pct"/>
                  <w:gridSpan w:val="2"/>
                  <w:tcBorders>
                    <w:tl2br w:val="nil"/>
                    <w:tr2bl w:val="nil"/>
                  </w:tcBorders>
                  <w:shd w:val="clear" w:color="auto" w:fill="auto"/>
                  <w:vAlign w:val="center"/>
                </w:tcPr>
                <w:p w14:paraId="466077B3">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环保设施故障</w:t>
                  </w:r>
                </w:p>
              </w:tc>
              <w:tc>
                <w:tcPr>
                  <w:tcW w:w="534" w:type="pct"/>
                  <w:gridSpan w:val="2"/>
                  <w:tcBorders>
                    <w:tl2br w:val="nil"/>
                    <w:tr2bl w:val="nil"/>
                  </w:tcBorders>
                  <w:shd w:val="clear" w:color="auto" w:fill="auto"/>
                  <w:vAlign w:val="center"/>
                </w:tcPr>
                <w:p w14:paraId="7979E1B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颗粒物</w:t>
                  </w:r>
                </w:p>
              </w:tc>
              <w:tc>
                <w:tcPr>
                  <w:tcW w:w="1731" w:type="dxa"/>
                  <w:gridSpan w:val="2"/>
                  <w:tcBorders>
                    <w:tl2br w:val="nil"/>
                    <w:tr2bl w:val="nil"/>
                  </w:tcBorders>
                  <w:shd w:val="clear" w:color="auto" w:fill="auto"/>
                  <w:vAlign w:val="center"/>
                </w:tcPr>
                <w:p w14:paraId="1D2B6C80">
                  <w:pPr>
                    <w:widowControl/>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 xml:space="preserve">1125.0 </w:t>
                  </w:r>
                </w:p>
              </w:tc>
              <w:tc>
                <w:tcPr>
                  <w:tcW w:w="1731" w:type="dxa"/>
                  <w:gridSpan w:val="2"/>
                  <w:tcBorders>
                    <w:tl2br w:val="nil"/>
                    <w:tr2bl w:val="nil"/>
                  </w:tcBorders>
                  <w:shd w:val="clear" w:color="auto" w:fill="auto"/>
                  <w:vAlign w:val="center"/>
                </w:tcPr>
                <w:p w14:paraId="35D34E3C">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11.250</w:t>
                  </w:r>
                </w:p>
              </w:tc>
              <w:tc>
                <w:tcPr>
                  <w:tcW w:w="471" w:type="pct"/>
                  <w:gridSpan w:val="2"/>
                  <w:tcBorders>
                    <w:tl2br w:val="nil"/>
                    <w:tr2bl w:val="nil"/>
                  </w:tcBorders>
                  <w:shd w:val="clear" w:color="auto" w:fill="auto"/>
                  <w:vAlign w:val="center"/>
                </w:tcPr>
                <w:p w14:paraId="52E5A62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689F47A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43F73FF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立即停止作业</w:t>
                  </w:r>
                </w:p>
              </w:tc>
            </w:tr>
            <w:tr w14:paraId="7DFFAF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1" w:type="pct"/>
                <w:trHeight w:val="340" w:hRule="atLeast"/>
                <w:jc w:val="center"/>
              </w:trPr>
              <w:tc>
                <w:tcPr>
                  <w:tcW w:w="272" w:type="pct"/>
                  <w:tcBorders>
                    <w:tl2br w:val="nil"/>
                    <w:tr2bl w:val="nil"/>
                  </w:tcBorders>
                  <w:vAlign w:val="center"/>
                </w:tcPr>
                <w:p w14:paraId="0D6E4813">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ascii="Times New Roman"/>
                      <w:color w:val="auto"/>
                      <w:sz w:val="18"/>
                      <w:szCs w:val="18"/>
                    </w:rPr>
                  </w:pPr>
                  <w:r>
                    <w:rPr>
                      <w:rFonts w:ascii="Times New Roman"/>
                      <w:color w:val="auto"/>
                      <w:w w:val="100"/>
                      <w:sz w:val="18"/>
                      <w:szCs w:val="18"/>
                    </w:rPr>
                    <w:t>8</w:t>
                  </w:r>
                </w:p>
              </w:tc>
              <w:tc>
                <w:tcPr>
                  <w:tcW w:w="541" w:type="pct"/>
                  <w:gridSpan w:val="2"/>
                  <w:tcBorders>
                    <w:tl2br w:val="nil"/>
                    <w:tr2bl w:val="nil"/>
                  </w:tcBorders>
                  <w:shd w:val="clear" w:color="auto" w:fill="auto"/>
                  <w:vAlign w:val="center"/>
                </w:tcPr>
                <w:p w14:paraId="25BD639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ascii="Times New Roman"/>
                      <w:color w:val="auto"/>
                      <w:sz w:val="18"/>
                      <w:szCs w:val="18"/>
                    </w:rPr>
                    <w:t>DA0</w:t>
                  </w:r>
                  <w:r>
                    <w:rPr>
                      <w:rFonts w:hint="eastAsia"/>
                      <w:color w:val="auto"/>
                      <w:sz w:val="18"/>
                      <w:szCs w:val="18"/>
                      <w:lang w:val="en-US" w:eastAsia="zh-CN"/>
                    </w:rPr>
                    <w:t>09</w:t>
                  </w:r>
                </w:p>
              </w:tc>
              <w:tc>
                <w:tcPr>
                  <w:tcW w:w="718" w:type="pct"/>
                  <w:gridSpan w:val="2"/>
                  <w:tcBorders>
                    <w:tl2br w:val="nil"/>
                    <w:tr2bl w:val="nil"/>
                  </w:tcBorders>
                  <w:shd w:val="clear" w:color="auto" w:fill="auto"/>
                  <w:vAlign w:val="center"/>
                </w:tcPr>
                <w:p w14:paraId="4141286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环保设施故障</w:t>
                  </w:r>
                </w:p>
              </w:tc>
              <w:tc>
                <w:tcPr>
                  <w:tcW w:w="534" w:type="pct"/>
                  <w:gridSpan w:val="2"/>
                  <w:tcBorders>
                    <w:tl2br w:val="nil"/>
                    <w:tr2bl w:val="nil"/>
                  </w:tcBorders>
                  <w:shd w:val="clear" w:color="auto" w:fill="auto"/>
                  <w:vAlign w:val="center"/>
                </w:tcPr>
                <w:p w14:paraId="5884310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非甲烷总烃</w:t>
                  </w:r>
                </w:p>
              </w:tc>
              <w:tc>
                <w:tcPr>
                  <w:tcW w:w="1731" w:type="dxa"/>
                  <w:gridSpan w:val="2"/>
                  <w:tcBorders>
                    <w:tl2br w:val="nil"/>
                    <w:tr2bl w:val="nil"/>
                  </w:tcBorders>
                  <w:shd w:val="clear" w:color="auto" w:fill="auto"/>
                  <w:vAlign w:val="center"/>
                </w:tcPr>
                <w:p w14:paraId="524426AD">
                  <w:pPr>
                    <w:widowControl/>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color w:val="auto"/>
                      <w:sz w:val="18"/>
                      <w:szCs w:val="18"/>
                      <w:lang w:val="en-US" w:eastAsia="zh-CN"/>
                    </w:rPr>
                    <w:t>18.0</w:t>
                  </w:r>
                </w:p>
              </w:tc>
              <w:tc>
                <w:tcPr>
                  <w:tcW w:w="1731" w:type="dxa"/>
                  <w:gridSpan w:val="2"/>
                  <w:tcBorders>
                    <w:tl2br w:val="nil"/>
                    <w:tr2bl w:val="nil"/>
                  </w:tcBorders>
                  <w:shd w:val="clear" w:color="auto" w:fill="auto"/>
                  <w:vAlign w:val="center"/>
                </w:tcPr>
                <w:p w14:paraId="284B2E1F">
                  <w:pPr>
                    <w:widowControl/>
                    <w:jc w:val="center"/>
                    <w:textAlignment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0.045</w:t>
                  </w:r>
                </w:p>
              </w:tc>
              <w:tc>
                <w:tcPr>
                  <w:tcW w:w="471" w:type="pct"/>
                  <w:gridSpan w:val="2"/>
                  <w:tcBorders>
                    <w:tl2br w:val="nil"/>
                    <w:tr2bl w:val="nil"/>
                  </w:tcBorders>
                  <w:shd w:val="clear" w:color="auto" w:fill="auto"/>
                  <w:vAlign w:val="center"/>
                </w:tcPr>
                <w:p w14:paraId="1130165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76A1A69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52638A4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立即停止作业</w:t>
                  </w:r>
                </w:p>
              </w:tc>
            </w:tr>
            <w:tr w14:paraId="768B7E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1" w:type="pct"/>
                <w:trHeight w:val="340" w:hRule="atLeast"/>
                <w:jc w:val="center"/>
              </w:trPr>
              <w:tc>
                <w:tcPr>
                  <w:tcW w:w="272" w:type="pct"/>
                  <w:tcBorders>
                    <w:tl2br w:val="nil"/>
                    <w:tr2bl w:val="nil"/>
                  </w:tcBorders>
                  <w:vAlign w:val="center"/>
                </w:tcPr>
                <w:p w14:paraId="092D40C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jc w:val="center"/>
                    <w:textAlignment w:val="auto"/>
                    <w:rPr>
                      <w:rFonts w:hint="eastAsia" w:ascii="Times New Roman" w:eastAsia="宋体"/>
                      <w:color w:val="auto"/>
                      <w:sz w:val="18"/>
                      <w:szCs w:val="18"/>
                      <w:lang w:val="en-US" w:eastAsia="zh-CN"/>
                    </w:rPr>
                  </w:pPr>
                  <w:r>
                    <w:rPr>
                      <w:rFonts w:hint="eastAsia"/>
                      <w:color w:val="auto"/>
                      <w:sz w:val="18"/>
                      <w:szCs w:val="18"/>
                      <w:lang w:val="en-US" w:eastAsia="zh-CN"/>
                    </w:rPr>
                    <w:t>9</w:t>
                  </w:r>
                </w:p>
              </w:tc>
              <w:tc>
                <w:tcPr>
                  <w:tcW w:w="541" w:type="pct"/>
                  <w:gridSpan w:val="2"/>
                  <w:tcBorders>
                    <w:tl2br w:val="nil"/>
                    <w:tr2bl w:val="nil"/>
                  </w:tcBorders>
                  <w:shd w:val="clear" w:color="auto" w:fill="auto"/>
                  <w:vAlign w:val="center"/>
                </w:tcPr>
                <w:p w14:paraId="15D6887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ascii="Times New Roman"/>
                      <w:color w:val="auto"/>
                      <w:sz w:val="18"/>
                      <w:szCs w:val="18"/>
                    </w:rPr>
                    <w:t>DA01</w:t>
                  </w:r>
                  <w:r>
                    <w:rPr>
                      <w:rFonts w:hint="eastAsia"/>
                      <w:color w:val="auto"/>
                      <w:sz w:val="18"/>
                      <w:szCs w:val="18"/>
                      <w:lang w:val="en-US" w:eastAsia="zh-CN"/>
                    </w:rPr>
                    <w:t>0</w:t>
                  </w:r>
                </w:p>
              </w:tc>
              <w:tc>
                <w:tcPr>
                  <w:tcW w:w="718" w:type="pct"/>
                  <w:gridSpan w:val="2"/>
                  <w:tcBorders>
                    <w:tl2br w:val="nil"/>
                    <w:tr2bl w:val="nil"/>
                  </w:tcBorders>
                  <w:shd w:val="clear" w:color="auto" w:fill="auto"/>
                  <w:vAlign w:val="center"/>
                </w:tcPr>
                <w:p w14:paraId="47331A3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环保设施故障</w:t>
                  </w:r>
                </w:p>
              </w:tc>
              <w:tc>
                <w:tcPr>
                  <w:tcW w:w="534" w:type="pct"/>
                  <w:gridSpan w:val="2"/>
                  <w:tcBorders>
                    <w:tl2br w:val="nil"/>
                    <w:tr2bl w:val="nil"/>
                  </w:tcBorders>
                  <w:shd w:val="clear" w:color="auto" w:fill="auto"/>
                  <w:vAlign w:val="center"/>
                </w:tcPr>
                <w:p w14:paraId="09A66BC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color w:val="auto"/>
                      <w:sz w:val="18"/>
                      <w:szCs w:val="18"/>
                    </w:rPr>
                    <w:t>颗粒物</w:t>
                  </w:r>
                </w:p>
              </w:tc>
              <w:tc>
                <w:tcPr>
                  <w:tcW w:w="676" w:type="pct"/>
                  <w:gridSpan w:val="2"/>
                  <w:tcBorders>
                    <w:tl2br w:val="nil"/>
                    <w:tr2bl w:val="nil"/>
                  </w:tcBorders>
                  <w:shd w:val="clear" w:color="auto" w:fill="auto"/>
                  <w:vAlign w:val="center"/>
                </w:tcPr>
                <w:p w14:paraId="4BF51227">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s="Times New Roman"/>
                      <w:i w:val="0"/>
                      <w:iCs w:val="0"/>
                      <w:color w:val="auto"/>
                      <w:kern w:val="0"/>
                      <w:sz w:val="18"/>
                      <w:szCs w:val="18"/>
                      <w:u w:val="none"/>
                      <w:lang w:val="en-US" w:eastAsia="zh-CN" w:bidi="ar"/>
                    </w:rPr>
                    <w:t>66.8</w:t>
                  </w:r>
                </w:p>
              </w:tc>
              <w:tc>
                <w:tcPr>
                  <w:tcW w:w="676" w:type="pct"/>
                  <w:gridSpan w:val="2"/>
                  <w:tcBorders>
                    <w:tl2br w:val="nil"/>
                    <w:tr2bl w:val="nil"/>
                  </w:tcBorders>
                  <w:shd w:val="clear" w:color="auto" w:fill="auto"/>
                  <w:vAlign w:val="center"/>
                </w:tcPr>
                <w:p w14:paraId="5A9EBAAA">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0.401</w:t>
                  </w:r>
                </w:p>
              </w:tc>
              <w:tc>
                <w:tcPr>
                  <w:tcW w:w="471" w:type="pct"/>
                  <w:gridSpan w:val="2"/>
                  <w:tcBorders>
                    <w:tl2br w:val="nil"/>
                    <w:tr2bl w:val="nil"/>
                  </w:tcBorders>
                  <w:shd w:val="clear" w:color="auto" w:fill="auto"/>
                  <w:vAlign w:val="center"/>
                </w:tcPr>
                <w:p w14:paraId="56F1FF8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28F1458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3F73BC8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立即停止作业</w:t>
                  </w:r>
                </w:p>
              </w:tc>
            </w:tr>
            <w:tr w14:paraId="758E64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1" w:type="pct"/>
                <w:trHeight w:val="340" w:hRule="atLeast"/>
                <w:jc w:val="center"/>
              </w:trPr>
              <w:tc>
                <w:tcPr>
                  <w:tcW w:w="272" w:type="pct"/>
                  <w:tcBorders>
                    <w:tl2br w:val="nil"/>
                    <w:tr2bl w:val="nil"/>
                  </w:tcBorders>
                  <w:shd w:val="clear" w:color="auto" w:fill="auto"/>
                  <w:vAlign w:val="center"/>
                </w:tcPr>
                <w:p w14:paraId="797547E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sz w:val="18"/>
                      <w:szCs w:val="18"/>
                    </w:rPr>
                    <w:t>10</w:t>
                  </w:r>
                </w:p>
              </w:tc>
              <w:tc>
                <w:tcPr>
                  <w:tcW w:w="541" w:type="pct"/>
                  <w:gridSpan w:val="2"/>
                  <w:tcBorders>
                    <w:tl2br w:val="nil"/>
                    <w:tr2bl w:val="nil"/>
                  </w:tcBorders>
                  <w:shd w:val="clear" w:color="auto" w:fill="auto"/>
                  <w:vAlign w:val="center"/>
                </w:tcPr>
                <w:p w14:paraId="1E4BBB8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ascii="Times New Roman"/>
                      <w:color w:val="auto"/>
                      <w:sz w:val="18"/>
                      <w:szCs w:val="18"/>
                    </w:rPr>
                    <w:t>DA01</w:t>
                  </w:r>
                  <w:r>
                    <w:rPr>
                      <w:rFonts w:hint="eastAsia"/>
                      <w:color w:val="auto"/>
                      <w:sz w:val="18"/>
                      <w:szCs w:val="18"/>
                      <w:lang w:val="en-US" w:eastAsia="zh-CN"/>
                    </w:rPr>
                    <w:t>1</w:t>
                  </w:r>
                </w:p>
              </w:tc>
              <w:tc>
                <w:tcPr>
                  <w:tcW w:w="718" w:type="pct"/>
                  <w:gridSpan w:val="2"/>
                  <w:tcBorders>
                    <w:tl2br w:val="nil"/>
                    <w:tr2bl w:val="nil"/>
                  </w:tcBorders>
                  <w:shd w:val="clear" w:color="auto" w:fill="auto"/>
                  <w:vAlign w:val="center"/>
                </w:tcPr>
                <w:p w14:paraId="4ECB5743">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环保设施故障</w:t>
                  </w:r>
                </w:p>
              </w:tc>
              <w:tc>
                <w:tcPr>
                  <w:tcW w:w="534" w:type="pct"/>
                  <w:gridSpan w:val="2"/>
                  <w:tcBorders>
                    <w:tl2br w:val="nil"/>
                    <w:tr2bl w:val="nil"/>
                  </w:tcBorders>
                  <w:shd w:val="clear" w:color="auto" w:fill="auto"/>
                  <w:vAlign w:val="center"/>
                </w:tcPr>
                <w:p w14:paraId="08768B0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非甲烷总烃</w:t>
                  </w:r>
                </w:p>
              </w:tc>
              <w:tc>
                <w:tcPr>
                  <w:tcW w:w="676" w:type="pct"/>
                  <w:gridSpan w:val="2"/>
                  <w:tcBorders>
                    <w:tl2br w:val="nil"/>
                    <w:tr2bl w:val="nil"/>
                  </w:tcBorders>
                  <w:shd w:val="clear" w:color="auto" w:fill="auto"/>
                  <w:vAlign w:val="center"/>
                </w:tcPr>
                <w:p w14:paraId="4ABA716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24.9 </w:t>
                  </w:r>
                </w:p>
              </w:tc>
              <w:tc>
                <w:tcPr>
                  <w:tcW w:w="676" w:type="pct"/>
                  <w:gridSpan w:val="2"/>
                  <w:tcBorders>
                    <w:tl2br w:val="nil"/>
                    <w:tr2bl w:val="nil"/>
                  </w:tcBorders>
                  <w:shd w:val="clear" w:color="auto" w:fill="auto"/>
                  <w:vAlign w:val="center"/>
                </w:tcPr>
                <w:p w14:paraId="17CF5CEE">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 xml:space="preserve">0.199 </w:t>
                  </w:r>
                </w:p>
              </w:tc>
              <w:tc>
                <w:tcPr>
                  <w:tcW w:w="471" w:type="pct"/>
                  <w:gridSpan w:val="2"/>
                  <w:tcBorders>
                    <w:tl2br w:val="nil"/>
                    <w:tr2bl w:val="nil"/>
                  </w:tcBorders>
                  <w:shd w:val="clear" w:color="auto" w:fill="auto"/>
                  <w:vAlign w:val="center"/>
                </w:tcPr>
                <w:p w14:paraId="1DF04A3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32231E0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4A7394F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立即停止作业</w:t>
                  </w:r>
                </w:p>
              </w:tc>
            </w:tr>
            <w:tr w14:paraId="5942A2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1"/>
                <w:wAfter w:w="21" w:type="pct"/>
                <w:trHeight w:val="340" w:hRule="atLeast"/>
                <w:jc w:val="center"/>
              </w:trPr>
              <w:tc>
                <w:tcPr>
                  <w:tcW w:w="272" w:type="pct"/>
                  <w:tcBorders>
                    <w:tl2br w:val="nil"/>
                    <w:tr2bl w:val="nil"/>
                  </w:tcBorders>
                  <w:shd w:val="clear" w:color="auto" w:fill="auto"/>
                  <w:vAlign w:val="center"/>
                </w:tcPr>
                <w:p w14:paraId="41CB19D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sz w:val="18"/>
                      <w:szCs w:val="18"/>
                    </w:rPr>
                    <w:t>11</w:t>
                  </w:r>
                </w:p>
              </w:tc>
              <w:tc>
                <w:tcPr>
                  <w:tcW w:w="541" w:type="pct"/>
                  <w:gridSpan w:val="2"/>
                  <w:tcBorders>
                    <w:tl2br w:val="nil"/>
                    <w:tr2bl w:val="nil"/>
                  </w:tcBorders>
                  <w:shd w:val="clear" w:color="auto" w:fill="auto"/>
                  <w:vAlign w:val="center"/>
                </w:tcPr>
                <w:p w14:paraId="1A94DA8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ascii="Times New Roman"/>
                      <w:color w:val="auto"/>
                      <w:sz w:val="18"/>
                      <w:szCs w:val="18"/>
                    </w:rPr>
                    <w:t>DA01</w:t>
                  </w:r>
                  <w:r>
                    <w:rPr>
                      <w:rFonts w:hint="eastAsia"/>
                      <w:color w:val="auto"/>
                      <w:sz w:val="18"/>
                      <w:szCs w:val="18"/>
                      <w:lang w:val="en-US" w:eastAsia="zh-CN"/>
                    </w:rPr>
                    <w:t>4</w:t>
                  </w:r>
                </w:p>
              </w:tc>
              <w:tc>
                <w:tcPr>
                  <w:tcW w:w="718" w:type="pct"/>
                  <w:gridSpan w:val="2"/>
                  <w:tcBorders>
                    <w:tl2br w:val="nil"/>
                    <w:tr2bl w:val="nil"/>
                  </w:tcBorders>
                  <w:shd w:val="clear" w:color="auto" w:fill="auto"/>
                  <w:vAlign w:val="center"/>
                </w:tcPr>
                <w:p w14:paraId="7948EE2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环保设施故障</w:t>
                  </w:r>
                </w:p>
              </w:tc>
              <w:tc>
                <w:tcPr>
                  <w:tcW w:w="534" w:type="pct"/>
                  <w:gridSpan w:val="2"/>
                  <w:tcBorders>
                    <w:tl2br w:val="nil"/>
                    <w:tr2bl w:val="nil"/>
                  </w:tcBorders>
                  <w:shd w:val="clear" w:color="auto" w:fill="auto"/>
                  <w:vAlign w:val="center"/>
                </w:tcPr>
                <w:p w14:paraId="7082F9C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color w:val="auto"/>
                      <w:sz w:val="18"/>
                      <w:szCs w:val="18"/>
                    </w:rPr>
                    <w:t>颗粒物</w:t>
                  </w:r>
                </w:p>
              </w:tc>
              <w:tc>
                <w:tcPr>
                  <w:tcW w:w="676" w:type="pct"/>
                  <w:gridSpan w:val="2"/>
                  <w:tcBorders>
                    <w:tl2br w:val="nil"/>
                    <w:tr2bl w:val="nil"/>
                  </w:tcBorders>
                  <w:shd w:val="clear" w:color="auto" w:fill="auto"/>
                  <w:vAlign w:val="center"/>
                </w:tcPr>
                <w:p w14:paraId="2CDBDDB5">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 w:val="0"/>
                      <w:iCs w:val="0"/>
                      <w:color w:val="auto"/>
                      <w:kern w:val="0"/>
                      <w:sz w:val="18"/>
                      <w:szCs w:val="18"/>
                      <w:u w:val="none"/>
                      <w:lang w:val="en-US" w:eastAsia="zh-CN" w:bidi="ar"/>
                    </w:rPr>
                    <w:t>369.7</w:t>
                  </w:r>
                </w:p>
              </w:tc>
              <w:tc>
                <w:tcPr>
                  <w:tcW w:w="676" w:type="pct"/>
                  <w:gridSpan w:val="2"/>
                  <w:tcBorders>
                    <w:tl2br w:val="nil"/>
                    <w:tr2bl w:val="nil"/>
                  </w:tcBorders>
                  <w:shd w:val="clear" w:color="auto" w:fill="auto"/>
                  <w:vAlign w:val="center"/>
                </w:tcPr>
                <w:p w14:paraId="64329218">
                  <w:pPr>
                    <w:keepNext w:val="0"/>
                    <w:keepLines w:val="0"/>
                    <w:widowControl/>
                    <w:suppressLineNumbers w:val="0"/>
                    <w:jc w:val="center"/>
                    <w:textAlignment w:val="center"/>
                    <w:rPr>
                      <w:rFonts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 xml:space="preserve">5.914 </w:t>
                  </w:r>
                </w:p>
              </w:tc>
              <w:tc>
                <w:tcPr>
                  <w:tcW w:w="471" w:type="pct"/>
                  <w:gridSpan w:val="2"/>
                  <w:tcBorders>
                    <w:tl2br w:val="nil"/>
                    <w:tr2bl w:val="nil"/>
                  </w:tcBorders>
                  <w:shd w:val="clear" w:color="auto" w:fill="auto"/>
                  <w:vAlign w:val="center"/>
                </w:tcPr>
                <w:p w14:paraId="06E35AC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19358AF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1</w:t>
                  </w:r>
                </w:p>
              </w:tc>
              <w:tc>
                <w:tcPr>
                  <w:tcW w:w="542" w:type="pct"/>
                  <w:gridSpan w:val="2"/>
                  <w:tcBorders>
                    <w:tl2br w:val="nil"/>
                    <w:tr2bl w:val="nil"/>
                  </w:tcBorders>
                  <w:shd w:val="clear" w:color="auto" w:fill="auto"/>
                  <w:vAlign w:val="center"/>
                </w:tcPr>
                <w:p w14:paraId="53B04CE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立即停止作业</w:t>
                  </w:r>
                </w:p>
              </w:tc>
            </w:tr>
          </w:tbl>
          <w:p w14:paraId="3FFED48A">
            <w:pPr>
              <w:rPr>
                <w:b/>
                <w:bCs/>
                <w:color w:val="auto"/>
                <w:spacing w:val="4"/>
                <w:kern w:val="18"/>
                <w:sz w:val="24"/>
                <w:szCs w:val="24"/>
              </w:rPr>
            </w:pPr>
          </w:p>
          <w:p w14:paraId="44838F56">
            <w:pPr>
              <w:rPr>
                <w:b/>
                <w:bCs/>
                <w:color w:val="auto"/>
                <w:spacing w:val="4"/>
                <w:kern w:val="18"/>
                <w:sz w:val="24"/>
                <w:szCs w:val="24"/>
              </w:rPr>
            </w:pPr>
          </w:p>
        </w:tc>
      </w:tr>
    </w:tbl>
    <w:p w14:paraId="649E22C8">
      <w:pPr>
        <w:rPr>
          <w:color w:val="auto"/>
          <w:sz w:val="24"/>
          <w:szCs w:val="24"/>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9"/>
        <w:tblW w:w="90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2"/>
        <w:gridCol w:w="8566"/>
      </w:tblGrid>
      <w:tr w14:paraId="4B68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502" w:type="dxa"/>
            <w:tcMar>
              <w:left w:w="28" w:type="dxa"/>
              <w:right w:w="28" w:type="dxa"/>
            </w:tcMar>
            <w:vAlign w:val="center"/>
          </w:tcPr>
          <w:p w14:paraId="0DBDD31E">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运营期环境保护措施</w:t>
            </w:r>
          </w:p>
        </w:tc>
        <w:tc>
          <w:tcPr>
            <w:tcW w:w="8566" w:type="dxa"/>
            <w:vAlign w:val="center"/>
          </w:tcPr>
          <w:p w14:paraId="102B58A5">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b/>
                <w:bCs w:val="0"/>
                <w:color w:val="auto"/>
                <w:sz w:val="24"/>
                <w:szCs w:val="24"/>
              </w:rPr>
            </w:pPr>
            <w:r>
              <w:rPr>
                <w:rFonts w:hint="eastAsia"/>
                <w:b/>
                <w:bCs w:val="0"/>
                <w:color w:val="auto"/>
                <w:sz w:val="24"/>
                <w:szCs w:val="24"/>
              </w:rPr>
              <w:t>1</w:t>
            </w:r>
            <w:r>
              <w:rPr>
                <w:b/>
                <w:bCs w:val="0"/>
                <w:color w:val="auto"/>
                <w:sz w:val="24"/>
                <w:szCs w:val="24"/>
              </w:rPr>
              <w:t>.</w:t>
            </w:r>
            <w:r>
              <w:rPr>
                <w:rFonts w:hint="eastAsia"/>
                <w:b/>
                <w:bCs w:val="0"/>
                <w:color w:val="auto"/>
                <w:sz w:val="24"/>
                <w:szCs w:val="24"/>
                <w:lang w:val="en-US" w:eastAsia="zh-CN"/>
              </w:rPr>
              <w:t>3</w:t>
            </w:r>
            <w:r>
              <w:rPr>
                <w:rFonts w:hint="eastAsia"/>
                <w:b/>
                <w:bCs w:val="0"/>
                <w:color w:val="auto"/>
                <w:sz w:val="24"/>
                <w:szCs w:val="24"/>
              </w:rPr>
              <w:t>废气处理措施可行性分析</w:t>
            </w:r>
          </w:p>
          <w:p w14:paraId="5B6B1179">
            <w:pPr>
              <w:keepNext w:val="0"/>
              <w:keepLines w:val="0"/>
              <w:pageBreakBefore w:val="0"/>
              <w:widowControl/>
              <w:kinsoku/>
              <w:wordWrap/>
              <w:overflowPunct/>
              <w:topLinePunct w:val="0"/>
              <w:autoSpaceDE/>
              <w:autoSpaceDN/>
              <w:bidi w:val="0"/>
              <w:adjustRightInd/>
              <w:snapToGrid/>
              <w:spacing w:line="360" w:lineRule="auto"/>
              <w:jc w:val="left"/>
              <w:textAlignment w:val="auto"/>
              <w:rPr>
                <w:b/>
                <w:bCs/>
                <w:color w:val="auto"/>
                <w:sz w:val="24"/>
                <w:szCs w:val="24"/>
              </w:rPr>
            </w:pPr>
            <w:r>
              <w:rPr>
                <w:rFonts w:hint="eastAsia"/>
                <w:b/>
                <w:bCs/>
                <w:color w:val="auto"/>
                <w:sz w:val="24"/>
                <w:szCs w:val="24"/>
              </w:rPr>
              <w:t>1.</w:t>
            </w:r>
            <w:r>
              <w:rPr>
                <w:rFonts w:hint="eastAsia"/>
                <w:b/>
                <w:bCs/>
                <w:color w:val="auto"/>
                <w:sz w:val="24"/>
                <w:szCs w:val="24"/>
                <w:lang w:val="en-US" w:eastAsia="zh-CN"/>
              </w:rPr>
              <w:t>3</w:t>
            </w:r>
            <w:r>
              <w:rPr>
                <w:rFonts w:hint="eastAsia"/>
                <w:b/>
                <w:bCs/>
                <w:color w:val="auto"/>
                <w:sz w:val="24"/>
                <w:szCs w:val="24"/>
              </w:rPr>
              <w:t>.</w:t>
            </w:r>
            <w:r>
              <w:rPr>
                <w:rFonts w:hint="eastAsia"/>
                <w:b/>
                <w:bCs/>
                <w:color w:val="auto"/>
                <w:sz w:val="24"/>
                <w:szCs w:val="24"/>
                <w:lang w:val="en-US" w:eastAsia="zh-CN"/>
              </w:rPr>
              <w:t>1有组织</w:t>
            </w:r>
            <w:r>
              <w:rPr>
                <w:rFonts w:hint="eastAsia"/>
                <w:b/>
                <w:bCs/>
                <w:color w:val="auto"/>
                <w:sz w:val="24"/>
                <w:szCs w:val="24"/>
              </w:rPr>
              <w:t>废气处理技术可行性分析</w:t>
            </w:r>
          </w:p>
          <w:p w14:paraId="69F46E1B">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有组织</w:t>
            </w:r>
            <w:r>
              <w:rPr>
                <w:color w:val="auto"/>
                <w:sz w:val="24"/>
                <w:szCs w:val="24"/>
              </w:rPr>
              <w:t>废气</w:t>
            </w:r>
            <w:r>
              <w:rPr>
                <w:rFonts w:hint="eastAsia"/>
                <w:color w:val="auto"/>
                <w:sz w:val="24"/>
                <w:szCs w:val="24"/>
                <w:lang w:val="en-US" w:eastAsia="zh-CN"/>
              </w:rPr>
              <w:t>治理</w:t>
            </w:r>
            <w:r>
              <w:rPr>
                <w:rFonts w:hint="eastAsia"/>
                <w:color w:val="auto"/>
                <w:sz w:val="24"/>
                <w:szCs w:val="24"/>
              </w:rPr>
              <w:t>措施见</w:t>
            </w:r>
            <w:r>
              <w:rPr>
                <w:rFonts w:hint="eastAsia"/>
                <w:color w:val="auto"/>
                <w:sz w:val="24"/>
                <w:szCs w:val="24"/>
                <w:lang w:val="en-US" w:eastAsia="zh-CN"/>
              </w:rPr>
              <w:t>表4-28</w:t>
            </w:r>
            <w:r>
              <w:rPr>
                <w:color w:val="auto"/>
                <w:sz w:val="24"/>
                <w:szCs w:val="24"/>
              </w:rPr>
              <w:t>。</w:t>
            </w:r>
          </w:p>
          <w:p w14:paraId="192AEFB6">
            <w:pPr>
              <w:adjustRightInd w:val="0"/>
              <w:snapToGrid w:val="0"/>
              <w:spacing w:line="360" w:lineRule="auto"/>
              <w:ind w:firstLine="482" w:firstLineChars="200"/>
              <w:jc w:val="center"/>
              <w:rPr>
                <w:b/>
                <w:bCs/>
                <w:color w:val="auto"/>
                <w:sz w:val="24"/>
                <w:szCs w:val="24"/>
              </w:rPr>
            </w:pPr>
            <w:r>
              <w:rPr>
                <w:rFonts w:hint="eastAsia"/>
                <w:b/>
                <w:bCs/>
                <w:color w:val="auto"/>
                <w:sz w:val="24"/>
                <w:szCs w:val="24"/>
              </w:rPr>
              <w:t>表4-2</w:t>
            </w:r>
            <w:r>
              <w:rPr>
                <w:rFonts w:hint="eastAsia"/>
                <w:b/>
                <w:bCs/>
                <w:color w:val="auto"/>
                <w:sz w:val="24"/>
                <w:szCs w:val="24"/>
                <w:lang w:val="en-US" w:eastAsia="zh-CN"/>
              </w:rPr>
              <w:t>8</w:t>
            </w:r>
            <w:r>
              <w:rPr>
                <w:rFonts w:hint="eastAsia"/>
                <w:b/>
                <w:bCs/>
                <w:color w:val="auto"/>
                <w:sz w:val="24"/>
                <w:szCs w:val="24"/>
              </w:rPr>
              <w:t xml:space="preserve"> </w:t>
            </w:r>
            <w:r>
              <w:rPr>
                <w:rFonts w:hint="eastAsia"/>
                <w:b/>
                <w:bCs/>
                <w:color w:val="auto"/>
                <w:sz w:val="24"/>
                <w:szCs w:val="24"/>
                <w:lang w:val="en-US" w:eastAsia="zh-CN"/>
              </w:rPr>
              <w:t xml:space="preserve"> </w:t>
            </w:r>
            <w:r>
              <w:rPr>
                <w:rFonts w:hint="eastAsia"/>
                <w:b/>
                <w:bCs/>
                <w:color w:val="auto"/>
                <w:sz w:val="24"/>
                <w:szCs w:val="24"/>
              </w:rPr>
              <w:t>项目有组织废气治理措施一览表</w:t>
            </w:r>
          </w:p>
          <w:tbl>
            <w:tblPr>
              <w:tblStyle w:val="29"/>
              <w:tblW w:w="838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29"/>
              <w:gridCol w:w="1170"/>
              <w:gridCol w:w="2734"/>
              <w:gridCol w:w="1549"/>
            </w:tblGrid>
            <w:tr w14:paraId="2327B0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vAlign w:val="center"/>
                </w:tcPr>
                <w:p w14:paraId="522AA124">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b/>
                      <w:bCs/>
                      <w:color w:val="auto"/>
                      <w:sz w:val="18"/>
                      <w:szCs w:val="18"/>
                    </w:rPr>
                  </w:pPr>
                  <w:r>
                    <w:rPr>
                      <w:b/>
                      <w:bCs/>
                      <w:color w:val="auto"/>
                      <w:sz w:val="18"/>
                      <w:szCs w:val="18"/>
                    </w:rPr>
                    <w:t>废气名称</w:t>
                  </w:r>
                </w:p>
              </w:tc>
              <w:tc>
                <w:tcPr>
                  <w:tcW w:w="1170" w:type="dxa"/>
                  <w:tcBorders>
                    <w:tl2br w:val="nil"/>
                    <w:tr2bl w:val="nil"/>
                  </w:tcBorders>
                  <w:vAlign w:val="center"/>
                </w:tcPr>
                <w:p w14:paraId="570E02E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排气筒编号</w:t>
                  </w:r>
                </w:p>
              </w:tc>
              <w:tc>
                <w:tcPr>
                  <w:tcW w:w="2734" w:type="dxa"/>
                  <w:tcBorders>
                    <w:tl2br w:val="nil"/>
                    <w:tr2bl w:val="nil"/>
                  </w:tcBorders>
                  <w:shd w:val="clear" w:color="auto" w:fill="auto"/>
                  <w:vAlign w:val="center"/>
                </w:tcPr>
                <w:p w14:paraId="69E51707">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b/>
                      <w:bCs/>
                      <w:color w:val="auto"/>
                      <w:kern w:val="2"/>
                      <w:sz w:val="18"/>
                      <w:szCs w:val="18"/>
                      <w:lang w:val="en-US" w:eastAsia="zh-CN" w:bidi="ar-SA"/>
                    </w:rPr>
                  </w:pPr>
                  <w:r>
                    <w:rPr>
                      <w:b/>
                      <w:bCs/>
                      <w:color w:val="auto"/>
                      <w:sz w:val="18"/>
                      <w:szCs w:val="18"/>
                    </w:rPr>
                    <w:t>废气污染治理设施</w:t>
                  </w:r>
                </w:p>
              </w:tc>
              <w:tc>
                <w:tcPr>
                  <w:tcW w:w="1549" w:type="dxa"/>
                  <w:tcBorders>
                    <w:tl2br w:val="nil"/>
                    <w:tr2bl w:val="nil"/>
                  </w:tcBorders>
                  <w:vAlign w:val="center"/>
                </w:tcPr>
                <w:p w14:paraId="1FDC92DC">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b/>
                      <w:bCs/>
                      <w:color w:val="auto"/>
                      <w:sz w:val="18"/>
                      <w:szCs w:val="18"/>
                    </w:rPr>
                  </w:pPr>
                  <w:r>
                    <w:rPr>
                      <w:b/>
                      <w:bCs/>
                      <w:color w:val="auto"/>
                      <w:sz w:val="18"/>
                      <w:szCs w:val="18"/>
                    </w:rPr>
                    <w:t>是否为可行技术</w:t>
                  </w:r>
                </w:p>
              </w:tc>
            </w:tr>
            <w:tr w14:paraId="69174A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vAlign w:val="center"/>
                </w:tcPr>
                <w:p w14:paraId="71F2F082">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rPr>
                    <w:t>金属熔化、熔模浇注、粘土砂浇注废气</w:t>
                  </w:r>
                </w:p>
              </w:tc>
              <w:tc>
                <w:tcPr>
                  <w:tcW w:w="1170" w:type="dxa"/>
                  <w:tcBorders>
                    <w:tl2br w:val="nil"/>
                    <w:tr2bl w:val="nil"/>
                  </w:tcBorders>
                  <w:vAlign w:val="center"/>
                </w:tcPr>
                <w:p w14:paraId="4132CC5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DA001</w:t>
                  </w:r>
                </w:p>
              </w:tc>
              <w:tc>
                <w:tcPr>
                  <w:tcW w:w="2734" w:type="dxa"/>
                  <w:tcBorders>
                    <w:tl2br w:val="nil"/>
                    <w:tr2bl w:val="nil"/>
                  </w:tcBorders>
                  <w:shd w:val="clear" w:color="auto" w:fill="auto"/>
                  <w:vAlign w:val="center"/>
                </w:tcPr>
                <w:p w14:paraId="233FC06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袋式除尘设施</w:t>
                  </w:r>
                </w:p>
              </w:tc>
              <w:tc>
                <w:tcPr>
                  <w:tcW w:w="1549" w:type="dxa"/>
                  <w:tcBorders>
                    <w:tl2br w:val="nil"/>
                    <w:tr2bl w:val="nil"/>
                  </w:tcBorders>
                  <w:vAlign w:val="center"/>
                </w:tcPr>
                <w:p w14:paraId="19DD1F4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69F17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vAlign w:val="center"/>
                </w:tcPr>
                <w:p w14:paraId="60C8548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sz w:val="18"/>
                      <w:szCs w:val="18"/>
                      <w:lang w:val="en-US" w:eastAsia="zh-CN"/>
                    </w:rPr>
                    <w:t>制芯、树脂砂造型及浇注</w:t>
                  </w:r>
                  <w:r>
                    <w:rPr>
                      <w:rFonts w:hint="eastAsia" w:ascii="宋体" w:hAnsi="宋体" w:cs="宋体"/>
                      <w:color w:val="auto"/>
                      <w:kern w:val="0"/>
                      <w:sz w:val="18"/>
                      <w:szCs w:val="18"/>
                      <w:lang w:val="en-US" w:eastAsia="zh-CN" w:bidi="ar"/>
                    </w:rPr>
                    <w:t>废气</w:t>
                  </w:r>
                </w:p>
              </w:tc>
              <w:tc>
                <w:tcPr>
                  <w:tcW w:w="1170" w:type="dxa"/>
                  <w:tcBorders>
                    <w:tl2br w:val="nil"/>
                    <w:tr2bl w:val="nil"/>
                  </w:tcBorders>
                  <w:vAlign w:val="center"/>
                </w:tcPr>
                <w:p w14:paraId="71C0DC7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DA002</w:t>
                  </w:r>
                </w:p>
              </w:tc>
              <w:tc>
                <w:tcPr>
                  <w:tcW w:w="2734" w:type="dxa"/>
                  <w:tcBorders>
                    <w:tl2br w:val="nil"/>
                    <w:tr2bl w:val="nil"/>
                  </w:tcBorders>
                  <w:shd w:val="clear" w:color="auto" w:fill="auto"/>
                  <w:vAlign w:val="center"/>
                </w:tcPr>
                <w:p w14:paraId="7F8D4E1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pacing w:val="-1"/>
                      <w:sz w:val="18"/>
                      <w:szCs w:val="18"/>
                    </w:rPr>
                    <w:t>袋式除尘设施</w:t>
                  </w:r>
                  <w:r>
                    <w:rPr>
                      <w:rFonts w:ascii="Times New Roman" w:eastAsia="Times New Roman"/>
                      <w:color w:val="auto"/>
                      <w:sz w:val="18"/>
                      <w:szCs w:val="18"/>
                    </w:rPr>
                    <w:t>+</w:t>
                  </w:r>
                  <w:r>
                    <w:rPr>
                      <w:color w:val="auto"/>
                      <w:sz w:val="18"/>
                      <w:szCs w:val="18"/>
                    </w:rPr>
                    <w:t>活性炭吸附装置</w:t>
                  </w:r>
                </w:p>
              </w:tc>
              <w:tc>
                <w:tcPr>
                  <w:tcW w:w="1549" w:type="dxa"/>
                  <w:tcBorders>
                    <w:tl2br w:val="nil"/>
                    <w:tr2bl w:val="nil"/>
                  </w:tcBorders>
                  <w:vAlign w:val="center"/>
                </w:tcPr>
                <w:p w14:paraId="7FC06209">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30C58C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vAlign w:val="center"/>
                </w:tcPr>
                <w:p w14:paraId="222F434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蜡模组树废气</w:t>
                  </w:r>
                </w:p>
              </w:tc>
              <w:tc>
                <w:tcPr>
                  <w:tcW w:w="1170" w:type="dxa"/>
                  <w:tcBorders>
                    <w:tl2br w:val="nil"/>
                    <w:tr2bl w:val="nil"/>
                  </w:tcBorders>
                  <w:vAlign w:val="center"/>
                </w:tcPr>
                <w:p w14:paraId="4516BEC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DA003</w:t>
                  </w:r>
                </w:p>
              </w:tc>
              <w:tc>
                <w:tcPr>
                  <w:tcW w:w="2734" w:type="dxa"/>
                  <w:tcBorders>
                    <w:tl2br w:val="nil"/>
                    <w:tr2bl w:val="nil"/>
                  </w:tcBorders>
                  <w:shd w:val="clear" w:color="auto" w:fill="auto"/>
                  <w:vAlign w:val="center"/>
                </w:tcPr>
                <w:p w14:paraId="20DD5917">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活性炭吸附装置</w:t>
                  </w:r>
                </w:p>
              </w:tc>
              <w:tc>
                <w:tcPr>
                  <w:tcW w:w="1549" w:type="dxa"/>
                  <w:tcBorders>
                    <w:tl2br w:val="nil"/>
                    <w:tr2bl w:val="nil"/>
                  </w:tcBorders>
                  <w:vAlign w:val="center"/>
                </w:tcPr>
                <w:p w14:paraId="7DFA99B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58B7DF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vAlign w:val="center"/>
                </w:tcPr>
                <w:p w14:paraId="517F2E7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脱蜡、型壳焙烧废气</w:t>
                  </w:r>
                </w:p>
              </w:tc>
              <w:tc>
                <w:tcPr>
                  <w:tcW w:w="1170" w:type="dxa"/>
                  <w:tcBorders>
                    <w:tl2br w:val="nil"/>
                    <w:tr2bl w:val="nil"/>
                  </w:tcBorders>
                  <w:vAlign w:val="center"/>
                </w:tcPr>
                <w:p w14:paraId="1CF0E4A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DA004</w:t>
                  </w:r>
                </w:p>
              </w:tc>
              <w:tc>
                <w:tcPr>
                  <w:tcW w:w="2734" w:type="dxa"/>
                  <w:tcBorders>
                    <w:tl2br w:val="nil"/>
                    <w:tr2bl w:val="nil"/>
                  </w:tcBorders>
                  <w:shd w:val="clear" w:color="auto" w:fill="auto"/>
                  <w:vAlign w:val="center"/>
                </w:tcPr>
                <w:p w14:paraId="7D11E62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ascii="宋体" w:hAnsi="宋体" w:cs="宋体"/>
                      <w:color w:val="auto"/>
                      <w:sz w:val="18"/>
                      <w:szCs w:val="18"/>
                      <w:lang w:val="en-US" w:eastAsia="zh-CN"/>
                    </w:rPr>
                    <w:t>水喷淋+干式过滤器+活性炭吸附</w:t>
                  </w:r>
                </w:p>
              </w:tc>
              <w:tc>
                <w:tcPr>
                  <w:tcW w:w="1549" w:type="dxa"/>
                  <w:tcBorders>
                    <w:tl2br w:val="nil"/>
                    <w:tr2bl w:val="nil"/>
                  </w:tcBorders>
                  <w:vAlign w:val="center"/>
                </w:tcPr>
                <w:p w14:paraId="45889147">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7265B0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vAlign w:val="center"/>
                </w:tcPr>
                <w:p w14:paraId="60A7D80F">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粘土砂造型废气，落砂、砂再生废气</w:t>
                  </w:r>
                </w:p>
              </w:tc>
              <w:tc>
                <w:tcPr>
                  <w:tcW w:w="1170" w:type="dxa"/>
                  <w:tcBorders>
                    <w:tl2br w:val="nil"/>
                    <w:tr2bl w:val="nil"/>
                  </w:tcBorders>
                  <w:vAlign w:val="center"/>
                </w:tcPr>
                <w:p w14:paraId="264F5AE4">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DA005</w:t>
                  </w:r>
                </w:p>
              </w:tc>
              <w:tc>
                <w:tcPr>
                  <w:tcW w:w="2734" w:type="dxa"/>
                  <w:tcBorders>
                    <w:tl2br w:val="nil"/>
                    <w:tr2bl w:val="nil"/>
                  </w:tcBorders>
                  <w:shd w:val="clear" w:color="auto" w:fill="auto"/>
                  <w:vAlign w:val="center"/>
                </w:tcPr>
                <w:p w14:paraId="4CFF263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袋式除尘设施</w:t>
                  </w:r>
                </w:p>
              </w:tc>
              <w:tc>
                <w:tcPr>
                  <w:tcW w:w="1549" w:type="dxa"/>
                  <w:tcBorders>
                    <w:tl2br w:val="nil"/>
                    <w:tr2bl w:val="nil"/>
                  </w:tcBorders>
                  <w:vAlign w:val="center"/>
                </w:tcPr>
                <w:p w14:paraId="24EA60E2">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279C92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vAlign w:val="center"/>
                </w:tcPr>
                <w:p w14:paraId="02DA0C7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18"/>
                      <w:szCs w:val="18"/>
                      <w:lang w:val="en-US"/>
                    </w:rPr>
                  </w:pPr>
                  <w:r>
                    <w:rPr>
                      <w:rFonts w:hint="eastAsia" w:ascii="宋体" w:hAnsi="宋体" w:cs="宋体"/>
                      <w:color w:val="auto"/>
                      <w:kern w:val="0"/>
                      <w:sz w:val="18"/>
                      <w:szCs w:val="18"/>
                      <w:lang w:val="en-US" w:eastAsia="zh-CN" w:bidi="ar"/>
                    </w:rPr>
                    <w:t>铸件抛丸清理、二次抛丸废气</w:t>
                  </w:r>
                </w:p>
              </w:tc>
              <w:tc>
                <w:tcPr>
                  <w:tcW w:w="1170" w:type="dxa"/>
                  <w:tcBorders>
                    <w:tl2br w:val="nil"/>
                    <w:tr2bl w:val="nil"/>
                  </w:tcBorders>
                  <w:vAlign w:val="center"/>
                </w:tcPr>
                <w:p w14:paraId="5799667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DA006</w:t>
                  </w:r>
                </w:p>
              </w:tc>
              <w:tc>
                <w:tcPr>
                  <w:tcW w:w="2734" w:type="dxa"/>
                  <w:tcBorders>
                    <w:tl2br w:val="nil"/>
                    <w:tr2bl w:val="nil"/>
                  </w:tcBorders>
                  <w:shd w:val="clear" w:color="auto" w:fill="auto"/>
                  <w:vAlign w:val="center"/>
                </w:tcPr>
                <w:p w14:paraId="1EC52D69">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袋式除尘设施</w:t>
                  </w:r>
                </w:p>
              </w:tc>
              <w:tc>
                <w:tcPr>
                  <w:tcW w:w="1549" w:type="dxa"/>
                  <w:tcBorders>
                    <w:tl2br w:val="nil"/>
                    <w:tr2bl w:val="nil"/>
                  </w:tcBorders>
                  <w:vAlign w:val="center"/>
                </w:tcPr>
                <w:p w14:paraId="16FCAB7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033499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182616A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熔模铸件退火废气</w:t>
                  </w:r>
                </w:p>
              </w:tc>
              <w:tc>
                <w:tcPr>
                  <w:tcW w:w="1170" w:type="dxa"/>
                  <w:tcBorders>
                    <w:tl2br w:val="nil"/>
                    <w:tr2bl w:val="nil"/>
                  </w:tcBorders>
                  <w:vAlign w:val="center"/>
                </w:tcPr>
                <w:p w14:paraId="6DC98B6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DA007</w:t>
                  </w:r>
                </w:p>
              </w:tc>
              <w:tc>
                <w:tcPr>
                  <w:tcW w:w="2734" w:type="dxa"/>
                  <w:tcBorders>
                    <w:tl2br w:val="nil"/>
                    <w:tr2bl w:val="nil"/>
                  </w:tcBorders>
                  <w:shd w:val="clear" w:color="auto" w:fill="auto"/>
                  <w:vAlign w:val="center"/>
                </w:tcPr>
                <w:p w14:paraId="2B533A1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清洁能源，直接排放</w:t>
                  </w:r>
                </w:p>
              </w:tc>
              <w:tc>
                <w:tcPr>
                  <w:tcW w:w="1549" w:type="dxa"/>
                  <w:tcBorders>
                    <w:tl2br w:val="nil"/>
                    <w:tr2bl w:val="nil"/>
                  </w:tcBorders>
                  <w:vAlign w:val="center"/>
                </w:tcPr>
                <w:p w14:paraId="0658097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572854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0261A5C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s="宋体"/>
                      <w:color w:val="auto"/>
                      <w:kern w:val="0"/>
                      <w:sz w:val="18"/>
                      <w:szCs w:val="18"/>
                      <w:lang w:val="en-US" w:eastAsia="zh-CN" w:bidi="ar"/>
                    </w:rPr>
                    <w:t>喷粉废气</w:t>
                  </w:r>
                </w:p>
              </w:tc>
              <w:tc>
                <w:tcPr>
                  <w:tcW w:w="1170" w:type="dxa"/>
                  <w:tcBorders>
                    <w:tl2br w:val="nil"/>
                    <w:tr2bl w:val="nil"/>
                  </w:tcBorders>
                  <w:vAlign w:val="center"/>
                </w:tcPr>
                <w:p w14:paraId="3DE3722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color w:val="auto"/>
                      <w:sz w:val="18"/>
                      <w:szCs w:val="18"/>
                      <w:lang w:val="en-US" w:eastAsia="zh-CN"/>
                    </w:rPr>
                  </w:pPr>
                  <w:r>
                    <w:rPr>
                      <w:rFonts w:hint="eastAsia"/>
                      <w:color w:val="auto"/>
                      <w:sz w:val="18"/>
                      <w:szCs w:val="18"/>
                      <w:lang w:val="en-US" w:eastAsia="zh-CN"/>
                    </w:rPr>
                    <w:t>DA008</w:t>
                  </w:r>
                </w:p>
              </w:tc>
              <w:tc>
                <w:tcPr>
                  <w:tcW w:w="2734" w:type="dxa"/>
                  <w:tcBorders>
                    <w:tl2br w:val="nil"/>
                    <w:tr2bl w:val="nil"/>
                  </w:tcBorders>
                  <w:shd w:val="clear" w:color="auto" w:fill="auto"/>
                  <w:vAlign w:val="center"/>
                </w:tcPr>
                <w:p w14:paraId="1FA034C7">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color w:val="auto"/>
                      <w:sz w:val="18"/>
                      <w:szCs w:val="18"/>
                    </w:rPr>
                    <w:t>袋式除尘设施</w:t>
                  </w:r>
                </w:p>
              </w:tc>
              <w:tc>
                <w:tcPr>
                  <w:tcW w:w="1549" w:type="dxa"/>
                  <w:tcBorders>
                    <w:tl2br w:val="nil"/>
                    <w:tr2bl w:val="nil"/>
                  </w:tcBorders>
                  <w:vAlign w:val="center"/>
                </w:tcPr>
                <w:p w14:paraId="3BCD14D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宋体"/>
                      <w:color w:val="auto"/>
                      <w:w w:val="100"/>
                      <w:sz w:val="18"/>
                      <w:szCs w:val="18"/>
                      <w:lang w:eastAsia="zh-CN"/>
                    </w:rPr>
                  </w:pPr>
                  <w:r>
                    <w:rPr>
                      <w:color w:val="auto"/>
                      <w:w w:val="100"/>
                      <w:sz w:val="18"/>
                      <w:szCs w:val="18"/>
                    </w:rPr>
                    <w:t>是</w:t>
                  </w:r>
                </w:p>
              </w:tc>
            </w:tr>
            <w:tr w14:paraId="7E5B4E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0A69088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ascii="宋体" w:hAnsi="宋体" w:cs="宋体"/>
                      <w:color w:val="auto"/>
                      <w:kern w:val="0"/>
                      <w:sz w:val="18"/>
                      <w:szCs w:val="18"/>
                      <w:lang w:val="en-US" w:eastAsia="zh-CN" w:bidi="ar"/>
                    </w:rPr>
                    <w:t>喷粉固化废气</w:t>
                  </w:r>
                </w:p>
              </w:tc>
              <w:tc>
                <w:tcPr>
                  <w:tcW w:w="1170" w:type="dxa"/>
                  <w:tcBorders>
                    <w:tl2br w:val="nil"/>
                    <w:tr2bl w:val="nil"/>
                  </w:tcBorders>
                  <w:shd w:val="clear" w:color="auto" w:fill="auto"/>
                  <w:vAlign w:val="center"/>
                </w:tcPr>
                <w:p w14:paraId="5CDDB3C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DA009</w:t>
                  </w:r>
                </w:p>
              </w:tc>
              <w:tc>
                <w:tcPr>
                  <w:tcW w:w="2734" w:type="dxa"/>
                  <w:tcBorders>
                    <w:tl2br w:val="nil"/>
                    <w:tr2bl w:val="nil"/>
                  </w:tcBorders>
                  <w:shd w:val="clear" w:color="auto" w:fill="auto"/>
                  <w:vAlign w:val="center"/>
                </w:tcPr>
                <w:p w14:paraId="2485B45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水喷淋+干式过滤器+活性炭吸附</w:t>
                  </w:r>
                </w:p>
              </w:tc>
              <w:tc>
                <w:tcPr>
                  <w:tcW w:w="1549" w:type="dxa"/>
                  <w:tcBorders>
                    <w:tl2br w:val="nil"/>
                    <w:tr2bl w:val="nil"/>
                  </w:tcBorders>
                  <w:vAlign w:val="center"/>
                </w:tcPr>
                <w:p w14:paraId="15079EA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67620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485A894A">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ascii="宋体" w:hAnsi="宋体" w:cs="宋体"/>
                      <w:color w:val="auto"/>
                      <w:kern w:val="0"/>
                      <w:sz w:val="18"/>
                      <w:szCs w:val="18"/>
                      <w:lang w:val="en-US" w:eastAsia="zh-CN" w:bidi="ar"/>
                    </w:rPr>
                    <w:t>投料、拌料废气</w:t>
                  </w:r>
                </w:p>
              </w:tc>
              <w:tc>
                <w:tcPr>
                  <w:tcW w:w="1170" w:type="dxa"/>
                  <w:tcBorders>
                    <w:tl2br w:val="nil"/>
                    <w:tr2bl w:val="nil"/>
                  </w:tcBorders>
                  <w:shd w:val="clear" w:color="auto" w:fill="auto"/>
                  <w:vAlign w:val="center"/>
                </w:tcPr>
                <w:p w14:paraId="2D66C6F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DA010</w:t>
                  </w:r>
                </w:p>
              </w:tc>
              <w:tc>
                <w:tcPr>
                  <w:tcW w:w="2734" w:type="dxa"/>
                  <w:tcBorders>
                    <w:tl2br w:val="nil"/>
                    <w:tr2bl w:val="nil"/>
                  </w:tcBorders>
                  <w:shd w:val="clear" w:color="auto" w:fill="auto"/>
                  <w:vAlign w:val="center"/>
                </w:tcPr>
                <w:p w14:paraId="73DFCDF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color w:val="auto"/>
                      <w:sz w:val="18"/>
                      <w:szCs w:val="18"/>
                    </w:rPr>
                    <w:t>袋式除尘设施</w:t>
                  </w:r>
                </w:p>
              </w:tc>
              <w:tc>
                <w:tcPr>
                  <w:tcW w:w="1549" w:type="dxa"/>
                  <w:tcBorders>
                    <w:tl2br w:val="nil"/>
                    <w:tr2bl w:val="nil"/>
                  </w:tcBorders>
                  <w:vAlign w:val="center"/>
                </w:tcPr>
                <w:p w14:paraId="2872E4B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3A28C4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0C04B56A">
                  <w:pPr>
                    <w:widowControl/>
                    <w:jc w:val="center"/>
                    <w:textAlignment w:val="center"/>
                    <w:rPr>
                      <w:rFonts w:hint="default"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造粒、挤出、挤管废气</w:t>
                  </w:r>
                </w:p>
              </w:tc>
              <w:tc>
                <w:tcPr>
                  <w:tcW w:w="1170" w:type="dxa"/>
                  <w:tcBorders>
                    <w:tl2br w:val="nil"/>
                    <w:tr2bl w:val="nil"/>
                  </w:tcBorders>
                  <w:shd w:val="clear" w:color="auto" w:fill="auto"/>
                  <w:vAlign w:val="center"/>
                </w:tcPr>
                <w:p w14:paraId="5949002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DA011</w:t>
                  </w:r>
                </w:p>
              </w:tc>
              <w:tc>
                <w:tcPr>
                  <w:tcW w:w="2734" w:type="dxa"/>
                  <w:tcBorders>
                    <w:tl2br w:val="nil"/>
                    <w:tr2bl w:val="nil"/>
                  </w:tcBorders>
                  <w:shd w:val="clear" w:color="auto" w:fill="auto"/>
                  <w:vAlign w:val="center"/>
                </w:tcPr>
                <w:p w14:paraId="3C550DF9">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活性炭吸附</w:t>
                  </w:r>
                </w:p>
              </w:tc>
              <w:tc>
                <w:tcPr>
                  <w:tcW w:w="1549" w:type="dxa"/>
                  <w:tcBorders>
                    <w:tl2br w:val="nil"/>
                    <w:tr2bl w:val="nil"/>
                  </w:tcBorders>
                  <w:vAlign w:val="center"/>
                </w:tcPr>
                <w:p w14:paraId="5D6D87D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color w:val="auto"/>
                      <w:w w:val="100"/>
                      <w:sz w:val="18"/>
                      <w:szCs w:val="18"/>
                    </w:rPr>
                    <w:t>是</w:t>
                  </w:r>
                </w:p>
              </w:tc>
            </w:tr>
            <w:tr w14:paraId="601D9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1C8A948F">
                  <w:pPr>
                    <w:widowControl/>
                    <w:jc w:val="center"/>
                    <w:textAlignment w:val="center"/>
                    <w:rPr>
                      <w:rFonts w:hint="default"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锅炉废气</w:t>
                  </w:r>
                </w:p>
              </w:tc>
              <w:tc>
                <w:tcPr>
                  <w:tcW w:w="1170" w:type="dxa"/>
                  <w:tcBorders>
                    <w:tl2br w:val="nil"/>
                    <w:tr2bl w:val="nil"/>
                  </w:tcBorders>
                  <w:shd w:val="clear" w:color="auto" w:fill="auto"/>
                  <w:vAlign w:val="center"/>
                </w:tcPr>
                <w:p w14:paraId="2BA34F22">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DA012</w:t>
                  </w:r>
                </w:p>
              </w:tc>
              <w:tc>
                <w:tcPr>
                  <w:tcW w:w="2734" w:type="dxa"/>
                  <w:tcBorders>
                    <w:tl2br w:val="nil"/>
                    <w:tr2bl w:val="nil"/>
                  </w:tcBorders>
                  <w:shd w:val="clear" w:color="auto" w:fill="auto"/>
                  <w:vAlign w:val="center"/>
                </w:tcPr>
                <w:p w14:paraId="74E6F1A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清洁能源，直接排放</w:t>
                  </w:r>
                </w:p>
              </w:tc>
              <w:tc>
                <w:tcPr>
                  <w:tcW w:w="1549" w:type="dxa"/>
                  <w:tcBorders>
                    <w:tl2br w:val="nil"/>
                    <w:tr2bl w:val="nil"/>
                  </w:tcBorders>
                  <w:vAlign w:val="center"/>
                </w:tcPr>
                <w:p w14:paraId="03B7B204">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18"/>
                      <w:szCs w:val="18"/>
                    </w:rPr>
                  </w:pPr>
                  <w:r>
                    <w:rPr>
                      <w:color w:val="auto"/>
                      <w:w w:val="100"/>
                      <w:sz w:val="18"/>
                      <w:szCs w:val="18"/>
                    </w:rPr>
                    <w:t>是</w:t>
                  </w:r>
                </w:p>
              </w:tc>
            </w:tr>
            <w:tr w14:paraId="48FFA5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2C51A0A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s="宋体"/>
                      <w:color w:val="auto"/>
                      <w:kern w:val="0"/>
                      <w:sz w:val="18"/>
                      <w:szCs w:val="18"/>
                      <w:lang w:val="en-US" w:eastAsia="zh-CN" w:bidi="ar"/>
                    </w:rPr>
                    <w:t>红冲加热炉废气</w:t>
                  </w:r>
                </w:p>
              </w:tc>
              <w:tc>
                <w:tcPr>
                  <w:tcW w:w="1170" w:type="dxa"/>
                  <w:tcBorders>
                    <w:tl2br w:val="nil"/>
                    <w:tr2bl w:val="nil"/>
                  </w:tcBorders>
                  <w:shd w:val="clear" w:color="auto" w:fill="auto"/>
                  <w:vAlign w:val="center"/>
                </w:tcPr>
                <w:p w14:paraId="22F818E4">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DA013</w:t>
                  </w:r>
                </w:p>
              </w:tc>
              <w:tc>
                <w:tcPr>
                  <w:tcW w:w="2734" w:type="dxa"/>
                  <w:tcBorders>
                    <w:tl2br w:val="nil"/>
                    <w:tr2bl w:val="nil"/>
                  </w:tcBorders>
                  <w:shd w:val="clear" w:color="auto" w:fill="auto"/>
                  <w:vAlign w:val="center"/>
                </w:tcPr>
                <w:p w14:paraId="13BCAD49">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清洁能源，直接排放</w:t>
                  </w:r>
                </w:p>
              </w:tc>
              <w:tc>
                <w:tcPr>
                  <w:tcW w:w="1549" w:type="dxa"/>
                  <w:tcBorders>
                    <w:tl2br w:val="nil"/>
                    <w:tr2bl w:val="nil"/>
                  </w:tcBorders>
                  <w:vAlign w:val="center"/>
                </w:tcPr>
                <w:p w14:paraId="35798A6F">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w w:val="100"/>
                      <w:sz w:val="18"/>
                      <w:szCs w:val="18"/>
                    </w:rPr>
                  </w:pPr>
                  <w:r>
                    <w:rPr>
                      <w:color w:val="auto"/>
                      <w:w w:val="100"/>
                      <w:sz w:val="18"/>
                      <w:szCs w:val="18"/>
                    </w:rPr>
                    <w:t>是</w:t>
                  </w:r>
                </w:p>
              </w:tc>
            </w:tr>
            <w:tr w14:paraId="2DF43F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9" w:type="dxa"/>
                  <w:tcBorders>
                    <w:tl2br w:val="nil"/>
                    <w:tr2bl w:val="nil"/>
                  </w:tcBorders>
                  <w:shd w:val="clear" w:color="auto" w:fill="auto"/>
                  <w:vAlign w:val="center"/>
                </w:tcPr>
                <w:p w14:paraId="0165789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s="宋体"/>
                      <w:color w:val="auto"/>
                      <w:kern w:val="0"/>
                      <w:sz w:val="18"/>
                      <w:szCs w:val="18"/>
                      <w:lang w:val="en-US" w:eastAsia="zh-CN" w:bidi="ar"/>
                    </w:rPr>
                    <w:t>红冲工件冲压、抛丸废气+铝合金熔化、压铸、打磨废气</w:t>
                  </w:r>
                </w:p>
              </w:tc>
              <w:tc>
                <w:tcPr>
                  <w:tcW w:w="1170" w:type="dxa"/>
                  <w:tcBorders>
                    <w:tl2br w:val="nil"/>
                    <w:tr2bl w:val="nil"/>
                  </w:tcBorders>
                  <w:shd w:val="clear" w:color="auto" w:fill="auto"/>
                  <w:vAlign w:val="center"/>
                </w:tcPr>
                <w:p w14:paraId="5A6C0B9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DA014</w:t>
                  </w:r>
                </w:p>
              </w:tc>
              <w:tc>
                <w:tcPr>
                  <w:tcW w:w="2734" w:type="dxa"/>
                  <w:tcBorders>
                    <w:tl2br w:val="nil"/>
                    <w:tr2bl w:val="nil"/>
                  </w:tcBorders>
                  <w:shd w:val="clear" w:color="auto" w:fill="auto"/>
                  <w:vAlign w:val="center"/>
                </w:tcPr>
                <w:p w14:paraId="52D8876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袋式除尘设施</w:t>
                  </w:r>
                </w:p>
              </w:tc>
              <w:tc>
                <w:tcPr>
                  <w:tcW w:w="1549" w:type="dxa"/>
                  <w:tcBorders>
                    <w:tl2br w:val="nil"/>
                    <w:tr2bl w:val="nil"/>
                  </w:tcBorders>
                  <w:vAlign w:val="center"/>
                </w:tcPr>
                <w:p w14:paraId="4634DC5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18"/>
                      <w:szCs w:val="18"/>
                    </w:rPr>
                  </w:pPr>
                  <w:r>
                    <w:rPr>
                      <w:color w:val="auto"/>
                      <w:w w:val="100"/>
                      <w:sz w:val="18"/>
                      <w:szCs w:val="18"/>
                    </w:rPr>
                    <w:t>是</w:t>
                  </w:r>
                </w:p>
              </w:tc>
            </w:tr>
          </w:tbl>
          <w:p w14:paraId="08F76CD4">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object>
                <v:shape id="_x0000_i1025" o:spt="75" type="#_x0000_t75" style="height:425.25pt;width:297.75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p>
          <w:p w14:paraId="14005C78">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hint="default"/>
                <w:b/>
                <w:bCs/>
                <w:color w:val="auto"/>
                <w:sz w:val="24"/>
                <w:szCs w:val="24"/>
                <w:lang w:val="en-US" w:eastAsia="zh-CN"/>
              </w:rPr>
            </w:pPr>
            <w:r>
              <w:rPr>
                <w:rFonts w:hint="eastAsia"/>
                <w:b/>
                <w:bCs/>
                <w:color w:val="auto"/>
                <w:sz w:val="24"/>
                <w:szCs w:val="24"/>
                <w:lang w:val="en-US" w:eastAsia="zh-CN"/>
              </w:rPr>
              <w:t>图4-1  项目1#厂房有组织废气治理措施示意图</w:t>
            </w:r>
          </w:p>
          <w:p w14:paraId="600AF54F">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object>
                <v:shape id="_x0000_i1026" o:spt="75" type="#_x0000_t75" style="height:252pt;width:283.5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14:paraId="733AF1BF">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hint="default"/>
                <w:b/>
                <w:bCs/>
                <w:color w:val="auto"/>
                <w:sz w:val="24"/>
                <w:szCs w:val="24"/>
                <w:lang w:val="en-US" w:eastAsia="zh-CN"/>
              </w:rPr>
            </w:pPr>
            <w:r>
              <w:rPr>
                <w:rFonts w:hint="eastAsia"/>
                <w:b/>
                <w:bCs/>
                <w:color w:val="auto"/>
                <w:sz w:val="24"/>
                <w:szCs w:val="24"/>
                <w:lang w:val="en-US" w:eastAsia="zh-CN"/>
              </w:rPr>
              <w:t>图4-2  项目2#厂房、3#厂房有组织废气治理措施示意图</w:t>
            </w:r>
          </w:p>
          <w:p w14:paraId="0A4F85F3">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hint="eastAsia"/>
                <w:b/>
                <w:bCs/>
                <w:color w:val="auto"/>
                <w:sz w:val="24"/>
                <w:szCs w:val="24"/>
              </w:rPr>
            </w:pPr>
            <w:r>
              <w:rPr>
                <w:rFonts w:hint="eastAsia"/>
                <w:b/>
                <w:bCs/>
                <w:color w:val="auto"/>
                <w:sz w:val="24"/>
                <w:szCs w:val="24"/>
                <w:lang w:val="en-US" w:eastAsia="zh-CN"/>
              </w:rPr>
              <w:t xml:space="preserve">表4-29  </w:t>
            </w:r>
            <w:r>
              <w:rPr>
                <w:rFonts w:hint="eastAsia"/>
                <w:b/>
                <w:bCs/>
                <w:color w:val="auto"/>
                <w:sz w:val="24"/>
                <w:szCs w:val="24"/>
              </w:rPr>
              <w:t>本项目生产车间工艺废气控制方案一览表</w:t>
            </w:r>
          </w:p>
          <w:tbl>
            <w:tblPr>
              <w:tblStyle w:val="29"/>
              <w:tblW w:w="838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354"/>
              <w:gridCol w:w="466"/>
              <w:gridCol w:w="813"/>
              <w:gridCol w:w="3574"/>
              <w:gridCol w:w="869"/>
              <w:gridCol w:w="807"/>
              <w:gridCol w:w="870"/>
              <w:gridCol w:w="629"/>
            </w:tblGrid>
            <w:tr w14:paraId="0DF2F2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vAlign w:val="center"/>
                </w:tcPr>
                <w:p w14:paraId="297FE33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产污工段</w:t>
                  </w:r>
                </w:p>
              </w:tc>
              <w:tc>
                <w:tcPr>
                  <w:tcW w:w="813" w:type="dxa"/>
                  <w:tcBorders>
                    <w:left w:val="single" w:color="auto" w:sz="4" w:space="0"/>
                    <w:right w:val="single" w:color="auto" w:sz="4" w:space="0"/>
                    <w:tl2br w:val="nil"/>
                    <w:tr2bl w:val="nil"/>
                  </w:tcBorders>
                  <w:vAlign w:val="center"/>
                </w:tcPr>
                <w:p w14:paraId="3E7BFF0C">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收集措施</w:t>
                  </w:r>
                </w:p>
              </w:tc>
              <w:tc>
                <w:tcPr>
                  <w:tcW w:w="3574" w:type="dxa"/>
                  <w:tcBorders>
                    <w:left w:val="single" w:color="auto" w:sz="4" w:space="0"/>
                    <w:tl2br w:val="nil"/>
                    <w:tr2bl w:val="nil"/>
                  </w:tcBorders>
                  <w:vAlign w:val="center"/>
                </w:tcPr>
                <w:p w14:paraId="393EBFB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计算公式</w:t>
                  </w:r>
                </w:p>
              </w:tc>
              <w:tc>
                <w:tcPr>
                  <w:tcW w:w="869" w:type="dxa"/>
                  <w:tcBorders>
                    <w:tl2br w:val="nil"/>
                    <w:tr2bl w:val="nil"/>
                  </w:tcBorders>
                  <w:vAlign w:val="center"/>
                </w:tcPr>
                <w:p w14:paraId="76DFF33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理论风量</w:t>
                  </w:r>
                </w:p>
              </w:tc>
              <w:tc>
                <w:tcPr>
                  <w:tcW w:w="807" w:type="dxa"/>
                  <w:tcBorders>
                    <w:right w:val="single" w:color="auto" w:sz="4" w:space="0"/>
                    <w:tl2br w:val="nil"/>
                    <w:tr2bl w:val="nil"/>
                  </w:tcBorders>
                  <w:shd w:val="clear" w:color="auto" w:fill="auto"/>
                  <w:vAlign w:val="center"/>
                </w:tcPr>
                <w:p w14:paraId="77684EA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设计风量</w:t>
                  </w:r>
                </w:p>
              </w:tc>
              <w:tc>
                <w:tcPr>
                  <w:tcW w:w="870" w:type="dxa"/>
                  <w:tcBorders>
                    <w:left w:val="single" w:color="auto" w:sz="4" w:space="0"/>
                    <w:tl2br w:val="nil"/>
                    <w:tr2bl w:val="nil"/>
                  </w:tcBorders>
                  <w:shd w:val="clear" w:color="auto" w:fill="auto"/>
                  <w:vAlign w:val="center"/>
                </w:tcPr>
                <w:p w14:paraId="5803503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cs="Times New Roman"/>
                      <w:b/>
                      <w:bCs/>
                      <w:color w:val="auto"/>
                      <w:kern w:val="2"/>
                      <w:sz w:val="18"/>
                      <w:szCs w:val="18"/>
                      <w:lang w:val="en-US" w:eastAsia="zh-CN" w:bidi="ar-SA"/>
                    </w:rPr>
                    <w:t>处理措施</w:t>
                  </w:r>
                </w:p>
              </w:tc>
              <w:tc>
                <w:tcPr>
                  <w:tcW w:w="629" w:type="dxa"/>
                  <w:tcBorders>
                    <w:tl2br w:val="nil"/>
                    <w:tr2bl w:val="nil"/>
                  </w:tcBorders>
                  <w:vAlign w:val="center"/>
                </w:tcPr>
                <w:p w14:paraId="76B0E52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排气筒</w:t>
                  </w:r>
                </w:p>
              </w:tc>
            </w:tr>
            <w:tr w14:paraId="7E59F6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vAlign w:val="center"/>
                </w:tcPr>
                <w:p w14:paraId="7190372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color w:val="auto"/>
                      <w:sz w:val="18"/>
                      <w:szCs w:val="18"/>
                      <w:lang w:val="en-US" w:eastAsia="zh-CN"/>
                    </w:rPr>
                  </w:pPr>
                  <w:r>
                    <w:rPr>
                      <w:rFonts w:hint="eastAsia"/>
                      <w:color w:val="auto"/>
                      <w:sz w:val="18"/>
                      <w:szCs w:val="18"/>
                      <w:lang w:val="en-US" w:eastAsia="zh-CN"/>
                    </w:rPr>
                    <w:t>金属融化</w:t>
                  </w:r>
                </w:p>
                <w:p w14:paraId="506A679C">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color w:val="auto"/>
                      <w:sz w:val="18"/>
                      <w:szCs w:val="18"/>
                      <w:lang w:val="en-US" w:eastAsia="zh-CN"/>
                    </w:rPr>
                  </w:pPr>
                  <w:r>
                    <w:rPr>
                      <w:rFonts w:hint="eastAsia"/>
                      <w:color w:val="auto"/>
                      <w:sz w:val="18"/>
                      <w:szCs w:val="18"/>
                      <w:lang w:val="en-US" w:eastAsia="zh-CN"/>
                    </w:rPr>
                    <w:t>（中频炉）</w:t>
                  </w:r>
                </w:p>
              </w:tc>
              <w:tc>
                <w:tcPr>
                  <w:tcW w:w="813" w:type="dxa"/>
                  <w:tcBorders>
                    <w:left w:val="single" w:color="auto" w:sz="4" w:space="0"/>
                    <w:right w:val="single" w:color="auto" w:sz="4" w:space="0"/>
                    <w:tl2br w:val="nil"/>
                    <w:tr2bl w:val="nil"/>
                  </w:tcBorders>
                  <w:vAlign w:val="center"/>
                </w:tcPr>
                <w:p w14:paraId="43617597">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顶吸集气罩</w:t>
                  </w:r>
                </w:p>
              </w:tc>
              <w:tc>
                <w:tcPr>
                  <w:tcW w:w="3574" w:type="dxa"/>
                  <w:tcBorders>
                    <w:left w:val="single" w:color="auto" w:sz="4" w:space="0"/>
                    <w:tl2br w:val="nil"/>
                    <w:tr2bl w:val="nil"/>
                  </w:tcBorders>
                  <w:vAlign w:val="center"/>
                </w:tcPr>
                <w:p w14:paraId="1586C3ED">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L=3600V</w:t>
                  </w:r>
                  <w:r>
                    <w:rPr>
                      <w:rFonts w:hint="eastAsia"/>
                      <w:color w:val="auto"/>
                      <w:sz w:val="18"/>
                      <w:szCs w:val="18"/>
                      <w:vertAlign w:val="subscript"/>
                    </w:rPr>
                    <w:t>0</w:t>
                  </w:r>
                  <w:r>
                    <w:rPr>
                      <w:rFonts w:hint="eastAsia"/>
                      <w:color w:val="auto"/>
                      <w:sz w:val="18"/>
                      <w:szCs w:val="18"/>
                    </w:rPr>
                    <w:t>F</w:t>
                  </w:r>
                </w:p>
                <w:p w14:paraId="05AB0B3C">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w:t>
                  </w:r>
                  <w:r>
                    <w:rPr>
                      <w:rFonts w:hint="eastAsia"/>
                      <w:color w:val="auto"/>
                      <w:sz w:val="18"/>
                      <w:szCs w:val="18"/>
                      <w:vertAlign w:val="subscript"/>
                    </w:rPr>
                    <w:t>0</w:t>
                  </w:r>
                  <w:r>
                    <w:rPr>
                      <w:rFonts w:hint="eastAsia"/>
                      <w:color w:val="auto"/>
                      <w:sz w:val="18"/>
                      <w:szCs w:val="18"/>
                    </w:rPr>
                    <w:t>—罩口平均风速（m/s），项目取</w:t>
                  </w:r>
                  <w:r>
                    <w:rPr>
                      <w:rFonts w:hint="eastAsia"/>
                      <w:color w:val="auto"/>
                      <w:sz w:val="18"/>
                      <w:szCs w:val="18"/>
                      <w:lang w:val="en-US" w:eastAsia="zh-CN"/>
                    </w:rPr>
                    <w:t>1.0</w:t>
                  </w:r>
                  <w:r>
                    <w:rPr>
                      <w:rFonts w:hint="eastAsia"/>
                      <w:color w:val="auto"/>
                      <w:sz w:val="18"/>
                      <w:szCs w:val="18"/>
                    </w:rPr>
                    <w:t>m/s；</w:t>
                  </w:r>
                </w:p>
                <w:p w14:paraId="0B93585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eastAsia="宋体"/>
                      <w:color w:val="auto"/>
                      <w:sz w:val="18"/>
                      <w:szCs w:val="18"/>
                      <w:lang w:eastAsia="zh-CN"/>
                    </w:rPr>
                  </w:pPr>
                  <w:r>
                    <w:rPr>
                      <w:rFonts w:hint="eastAsia"/>
                      <w:color w:val="auto"/>
                      <w:sz w:val="18"/>
                      <w:szCs w:val="18"/>
                    </w:rPr>
                    <w:t>F—罩口面积（m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w:t>
                  </w:r>
                </w:p>
                <w:p w14:paraId="580624BE">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color w:val="auto"/>
                      <w:sz w:val="18"/>
                      <w:szCs w:val="18"/>
                    </w:rPr>
                  </w:pPr>
                  <w:r>
                    <w:rPr>
                      <w:rFonts w:hint="eastAsia"/>
                      <w:color w:val="auto"/>
                      <w:sz w:val="18"/>
                      <w:szCs w:val="18"/>
                    </w:rPr>
                    <w:t>项目中频炉采用矩形集气罩</w:t>
                  </w:r>
                  <w:r>
                    <w:rPr>
                      <w:rFonts w:hint="eastAsia"/>
                      <w:color w:val="auto"/>
                      <w:sz w:val="18"/>
                      <w:szCs w:val="18"/>
                      <w:lang w:eastAsia="zh-CN"/>
                    </w:rPr>
                    <w:t>，</w:t>
                  </w:r>
                  <w:r>
                    <w:rPr>
                      <w:rFonts w:hint="eastAsia"/>
                      <w:color w:val="auto"/>
                      <w:sz w:val="18"/>
                      <w:szCs w:val="18"/>
                      <w:lang w:val="en-US" w:eastAsia="zh-CN"/>
                    </w:rPr>
                    <w:t>2吨</w:t>
                  </w:r>
                  <w:r>
                    <w:rPr>
                      <w:rFonts w:hint="eastAsia"/>
                      <w:color w:val="auto"/>
                      <w:sz w:val="18"/>
                      <w:szCs w:val="18"/>
                    </w:rPr>
                    <w:t>中频炉</w:t>
                  </w:r>
                  <w:r>
                    <w:rPr>
                      <w:rFonts w:hint="eastAsia"/>
                      <w:color w:val="auto"/>
                      <w:sz w:val="18"/>
                      <w:szCs w:val="18"/>
                      <w:lang w:val="en-US" w:eastAsia="zh-CN"/>
                    </w:rPr>
                    <w:t>集气罩</w:t>
                  </w:r>
                  <w:r>
                    <w:rPr>
                      <w:rFonts w:hint="eastAsia"/>
                      <w:color w:val="auto"/>
                      <w:sz w:val="18"/>
                      <w:szCs w:val="18"/>
                    </w:rPr>
                    <w:t>大小为0.</w:t>
                  </w:r>
                  <w:r>
                    <w:rPr>
                      <w:rFonts w:hint="eastAsia"/>
                      <w:color w:val="auto"/>
                      <w:sz w:val="18"/>
                      <w:szCs w:val="18"/>
                      <w:lang w:val="en-US" w:eastAsia="zh-CN"/>
                    </w:rPr>
                    <w:t>6</w:t>
                  </w:r>
                  <w:r>
                    <w:rPr>
                      <w:rFonts w:hint="eastAsia"/>
                      <w:color w:val="auto"/>
                      <w:sz w:val="18"/>
                      <w:szCs w:val="18"/>
                    </w:rPr>
                    <w:t>m×0.</w:t>
                  </w:r>
                  <w:r>
                    <w:rPr>
                      <w:rFonts w:hint="eastAsia"/>
                      <w:color w:val="auto"/>
                      <w:sz w:val="18"/>
                      <w:szCs w:val="18"/>
                      <w:lang w:val="en-US" w:eastAsia="zh-CN"/>
                    </w:rPr>
                    <w:t>6</w:t>
                  </w:r>
                  <w:r>
                    <w:rPr>
                      <w:rFonts w:hint="eastAsia"/>
                      <w:color w:val="auto"/>
                      <w:sz w:val="18"/>
                      <w:szCs w:val="18"/>
                    </w:rPr>
                    <w:t>m，</w:t>
                  </w:r>
                  <w:r>
                    <w:rPr>
                      <w:rFonts w:hint="eastAsia"/>
                      <w:color w:val="auto"/>
                      <w:sz w:val="18"/>
                      <w:szCs w:val="18"/>
                      <w:lang w:val="en-US" w:eastAsia="zh-CN"/>
                    </w:rPr>
                    <w:t>1吨</w:t>
                  </w:r>
                  <w:r>
                    <w:rPr>
                      <w:rFonts w:hint="eastAsia"/>
                      <w:color w:val="auto"/>
                      <w:sz w:val="18"/>
                      <w:szCs w:val="18"/>
                    </w:rPr>
                    <w:t>中频炉</w:t>
                  </w:r>
                  <w:r>
                    <w:rPr>
                      <w:rFonts w:hint="eastAsia"/>
                      <w:color w:val="auto"/>
                      <w:sz w:val="18"/>
                      <w:szCs w:val="18"/>
                      <w:lang w:val="en-US" w:eastAsia="zh-CN"/>
                    </w:rPr>
                    <w:t>集气罩</w:t>
                  </w:r>
                  <w:r>
                    <w:rPr>
                      <w:rFonts w:hint="eastAsia"/>
                      <w:color w:val="auto"/>
                      <w:sz w:val="18"/>
                      <w:szCs w:val="18"/>
                    </w:rPr>
                    <w:t>大小为0.</w:t>
                  </w:r>
                  <w:r>
                    <w:rPr>
                      <w:rFonts w:hint="eastAsia"/>
                      <w:color w:val="auto"/>
                      <w:sz w:val="18"/>
                      <w:szCs w:val="18"/>
                      <w:lang w:val="en-US" w:eastAsia="zh-CN"/>
                    </w:rPr>
                    <w:t>5</w:t>
                  </w:r>
                  <w:r>
                    <w:rPr>
                      <w:rFonts w:hint="eastAsia"/>
                      <w:color w:val="auto"/>
                      <w:sz w:val="18"/>
                      <w:szCs w:val="18"/>
                    </w:rPr>
                    <w:t>m×0.</w:t>
                  </w:r>
                  <w:r>
                    <w:rPr>
                      <w:rFonts w:hint="eastAsia"/>
                      <w:color w:val="auto"/>
                      <w:sz w:val="18"/>
                      <w:szCs w:val="18"/>
                      <w:lang w:val="en-US" w:eastAsia="zh-CN"/>
                    </w:rPr>
                    <w:t>5</w:t>
                  </w:r>
                  <w:r>
                    <w:rPr>
                      <w:rFonts w:hint="eastAsia"/>
                      <w:color w:val="auto"/>
                      <w:sz w:val="18"/>
                      <w:szCs w:val="18"/>
                    </w:rPr>
                    <w:t>m</w:t>
                  </w:r>
                  <w:r>
                    <w:rPr>
                      <w:rFonts w:hint="eastAsia"/>
                      <w:color w:val="auto"/>
                      <w:sz w:val="18"/>
                      <w:szCs w:val="18"/>
                      <w:lang w:eastAsia="zh-CN"/>
                    </w:rPr>
                    <w:t>，</w:t>
                  </w:r>
                  <w:r>
                    <w:rPr>
                      <w:rFonts w:hint="eastAsia"/>
                      <w:color w:val="auto"/>
                      <w:sz w:val="18"/>
                      <w:szCs w:val="18"/>
                      <w:lang w:val="en-US" w:eastAsia="zh-CN"/>
                    </w:rPr>
                    <w:t>0.5吨</w:t>
                  </w:r>
                  <w:r>
                    <w:rPr>
                      <w:rFonts w:hint="eastAsia"/>
                      <w:color w:val="auto"/>
                      <w:sz w:val="18"/>
                      <w:szCs w:val="18"/>
                    </w:rPr>
                    <w:t>中频炉</w:t>
                  </w:r>
                  <w:r>
                    <w:rPr>
                      <w:rFonts w:hint="eastAsia"/>
                      <w:color w:val="auto"/>
                      <w:sz w:val="18"/>
                      <w:szCs w:val="18"/>
                      <w:lang w:val="en-US" w:eastAsia="zh-CN"/>
                    </w:rPr>
                    <w:t>集气罩</w:t>
                  </w:r>
                  <w:r>
                    <w:rPr>
                      <w:rFonts w:hint="eastAsia"/>
                      <w:color w:val="auto"/>
                      <w:sz w:val="18"/>
                      <w:szCs w:val="18"/>
                    </w:rPr>
                    <w:t>大小为0.</w:t>
                  </w:r>
                  <w:r>
                    <w:rPr>
                      <w:rFonts w:hint="eastAsia"/>
                      <w:color w:val="auto"/>
                      <w:sz w:val="18"/>
                      <w:szCs w:val="18"/>
                      <w:lang w:val="en-US" w:eastAsia="zh-CN"/>
                    </w:rPr>
                    <w:t>4</w:t>
                  </w:r>
                  <w:r>
                    <w:rPr>
                      <w:rFonts w:hint="eastAsia"/>
                      <w:color w:val="auto"/>
                      <w:sz w:val="18"/>
                      <w:szCs w:val="18"/>
                    </w:rPr>
                    <w:t>m×0.</w:t>
                  </w:r>
                  <w:r>
                    <w:rPr>
                      <w:rFonts w:hint="eastAsia"/>
                      <w:color w:val="auto"/>
                      <w:sz w:val="18"/>
                      <w:szCs w:val="18"/>
                      <w:lang w:val="en-US" w:eastAsia="zh-CN"/>
                    </w:rPr>
                    <w:t>4</w:t>
                  </w:r>
                  <w:r>
                    <w:rPr>
                      <w:rFonts w:hint="eastAsia"/>
                      <w:color w:val="auto"/>
                      <w:sz w:val="18"/>
                      <w:szCs w:val="18"/>
                    </w:rPr>
                    <w:t>m，罩口四边敞开，计算得：L=V</w:t>
                  </w:r>
                  <w:r>
                    <w:rPr>
                      <w:rFonts w:hint="eastAsia"/>
                      <w:color w:val="auto"/>
                      <w:sz w:val="18"/>
                      <w:szCs w:val="18"/>
                      <w:vertAlign w:val="subscript"/>
                    </w:rPr>
                    <w:t>0</w:t>
                  </w:r>
                  <w:r>
                    <w:rPr>
                      <w:rFonts w:hint="eastAsia"/>
                      <w:color w:val="auto"/>
                      <w:sz w:val="18"/>
                      <w:szCs w:val="18"/>
                    </w:rPr>
                    <w:t>×F×3600=0.</w:t>
                  </w:r>
                  <w:r>
                    <w:rPr>
                      <w:rFonts w:hint="eastAsia"/>
                      <w:color w:val="auto"/>
                      <w:sz w:val="18"/>
                      <w:szCs w:val="18"/>
                      <w:lang w:val="en-US" w:eastAsia="zh-CN"/>
                    </w:rPr>
                    <w:t>5</w:t>
                  </w:r>
                  <w:r>
                    <w:rPr>
                      <w:rFonts w:hint="eastAsia"/>
                      <w:color w:val="auto"/>
                      <w:sz w:val="18"/>
                      <w:szCs w:val="18"/>
                    </w:rPr>
                    <w:t>×</w:t>
                  </w:r>
                  <w:r>
                    <w:rPr>
                      <w:rFonts w:hint="eastAsia"/>
                      <w:color w:val="auto"/>
                      <w:sz w:val="18"/>
                      <w:szCs w:val="18"/>
                      <w:lang w:eastAsia="zh-CN"/>
                    </w:rPr>
                    <w:t>（</w:t>
                  </w:r>
                  <w:r>
                    <w:rPr>
                      <w:rFonts w:hint="eastAsia"/>
                      <w:color w:val="auto"/>
                      <w:sz w:val="18"/>
                      <w:szCs w:val="18"/>
                      <w:lang w:val="en-US" w:eastAsia="zh-CN"/>
                    </w:rPr>
                    <w:t>0.36+0.5+0.32</w:t>
                  </w:r>
                  <w:r>
                    <w:rPr>
                      <w:rFonts w:hint="eastAsia"/>
                      <w:color w:val="auto"/>
                      <w:sz w:val="18"/>
                      <w:szCs w:val="18"/>
                      <w:lang w:eastAsia="zh-CN"/>
                    </w:rPr>
                    <w:t>）</w:t>
                  </w:r>
                  <w:r>
                    <w:rPr>
                      <w:rFonts w:hint="eastAsia"/>
                      <w:color w:val="auto"/>
                      <w:sz w:val="18"/>
                      <w:szCs w:val="18"/>
                    </w:rPr>
                    <w:t>×3600=</w:t>
                  </w:r>
                  <w:r>
                    <w:rPr>
                      <w:rFonts w:hint="eastAsia"/>
                      <w:color w:val="auto"/>
                      <w:sz w:val="18"/>
                      <w:szCs w:val="18"/>
                      <w:lang w:val="en-US" w:eastAsia="zh-CN"/>
                    </w:rPr>
                    <w:t>4606.56</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5E393DF4">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3204</w:t>
                  </w:r>
                </w:p>
              </w:tc>
              <w:tc>
                <w:tcPr>
                  <w:tcW w:w="807" w:type="dxa"/>
                  <w:vMerge w:val="restart"/>
                  <w:tcBorders>
                    <w:right w:val="single" w:color="auto" w:sz="4" w:space="0"/>
                    <w:tl2br w:val="nil"/>
                    <w:tr2bl w:val="nil"/>
                  </w:tcBorders>
                  <w:shd w:val="clear" w:color="auto" w:fill="auto"/>
                  <w:vAlign w:val="center"/>
                </w:tcPr>
                <w:p w14:paraId="37CB2F7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50000</w:t>
                  </w:r>
                </w:p>
              </w:tc>
              <w:tc>
                <w:tcPr>
                  <w:tcW w:w="870" w:type="dxa"/>
                  <w:vMerge w:val="restart"/>
                  <w:tcBorders>
                    <w:left w:val="single" w:color="auto" w:sz="4" w:space="0"/>
                    <w:tl2br w:val="nil"/>
                    <w:tr2bl w:val="nil"/>
                  </w:tcBorders>
                  <w:shd w:val="clear" w:color="auto" w:fill="auto"/>
                  <w:vAlign w:val="center"/>
                </w:tcPr>
                <w:p w14:paraId="28E44B04">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袋式除尘器</w:t>
                  </w:r>
                </w:p>
              </w:tc>
              <w:tc>
                <w:tcPr>
                  <w:tcW w:w="629" w:type="dxa"/>
                  <w:vMerge w:val="restart"/>
                  <w:tcBorders>
                    <w:tl2br w:val="nil"/>
                    <w:tr2bl w:val="nil"/>
                  </w:tcBorders>
                  <w:vAlign w:val="center"/>
                </w:tcPr>
                <w:p w14:paraId="5E792D9A">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宋体"/>
                      <w:color w:val="auto"/>
                      <w:sz w:val="18"/>
                      <w:szCs w:val="18"/>
                      <w:lang w:val="en-US" w:eastAsia="zh-CN"/>
                    </w:rPr>
                  </w:pPr>
                  <w:r>
                    <w:rPr>
                      <w:rFonts w:hint="eastAsia"/>
                      <w:color w:val="auto"/>
                      <w:sz w:val="18"/>
                      <w:szCs w:val="18"/>
                      <w:lang w:val="en-US" w:eastAsia="zh-CN"/>
                    </w:rPr>
                    <w:t>DA001</w:t>
                  </w:r>
                </w:p>
              </w:tc>
            </w:tr>
            <w:tr w14:paraId="2DB63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vAlign w:val="center"/>
                </w:tcPr>
                <w:p w14:paraId="0A1A3AE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熔模浇注</w:t>
                  </w:r>
                </w:p>
              </w:tc>
              <w:tc>
                <w:tcPr>
                  <w:tcW w:w="813" w:type="dxa"/>
                  <w:tcBorders>
                    <w:left w:val="single" w:color="auto" w:sz="4" w:space="0"/>
                    <w:right w:val="single" w:color="auto" w:sz="4" w:space="0"/>
                    <w:tl2br w:val="nil"/>
                    <w:tr2bl w:val="nil"/>
                  </w:tcBorders>
                  <w:vAlign w:val="center"/>
                </w:tcPr>
                <w:p w14:paraId="5D9AF2E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顶吸集气罩</w:t>
                  </w:r>
                </w:p>
              </w:tc>
              <w:tc>
                <w:tcPr>
                  <w:tcW w:w="3574" w:type="dxa"/>
                  <w:tcBorders>
                    <w:left w:val="single" w:color="auto" w:sz="4" w:space="0"/>
                    <w:tl2br w:val="nil"/>
                    <w:tr2bl w:val="nil"/>
                  </w:tcBorders>
                  <w:vAlign w:val="center"/>
                </w:tcPr>
                <w:p w14:paraId="14BEF42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L=3600V</w:t>
                  </w:r>
                  <w:r>
                    <w:rPr>
                      <w:rFonts w:hint="eastAsia"/>
                      <w:color w:val="auto"/>
                      <w:sz w:val="18"/>
                      <w:szCs w:val="18"/>
                      <w:vertAlign w:val="subscript"/>
                    </w:rPr>
                    <w:t>0</w:t>
                  </w:r>
                  <w:r>
                    <w:rPr>
                      <w:rFonts w:hint="eastAsia"/>
                      <w:color w:val="auto"/>
                      <w:sz w:val="18"/>
                      <w:szCs w:val="18"/>
                    </w:rPr>
                    <w:t>F</w:t>
                  </w:r>
                </w:p>
                <w:p w14:paraId="56A57632">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w:t>
                  </w:r>
                  <w:r>
                    <w:rPr>
                      <w:rFonts w:hint="eastAsia"/>
                      <w:color w:val="auto"/>
                      <w:sz w:val="18"/>
                      <w:szCs w:val="18"/>
                      <w:vertAlign w:val="subscript"/>
                    </w:rPr>
                    <w:t>0</w:t>
                  </w:r>
                  <w:r>
                    <w:rPr>
                      <w:rFonts w:hint="eastAsia"/>
                      <w:color w:val="auto"/>
                      <w:sz w:val="18"/>
                      <w:szCs w:val="18"/>
                    </w:rPr>
                    <w:t>—罩口平均风速（m/s），项目取</w:t>
                  </w:r>
                  <w:r>
                    <w:rPr>
                      <w:rFonts w:hint="eastAsia"/>
                      <w:color w:val="auto"/>
                      <w:sz w:val="18"/>
                      <w:szCs w:val="18"/>
                      <w:lang w:val="en-US" w:eastAsia="zh-CN"/>
                    </w:rPr>
                    <w:t>1.2</w:t>
                  </w:r>
                  <w:r>
                    <w:rPr>
                      <w:rFonts w:hint="eastAsia"/>
                      <w:color w:val="auto"/>
                      <w:sz w:val="18"/>
                      <w:szCs w:val="18"/>
                    </w:rPr>
                    <w:t>m/s；</w:t>
                  </w:r>
                </w:p>
                <w:p w14:paraId="47A19D7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eastAsia="宋体"/>
                      <w:color w:val="auto"/>
                      <w:sz w:val="18"/>
                      <w:szCs w:val="18"/>
                      <w:lang w:eastAsia="zh-CN"/>
                    </w:rPr>
                  </w:pPr>
                  <w:r>
                    <w:rPr>
                      <w:rFonts w:hint="eastAsia"/>
                      <w:color w:val="auto"/>
                      <w:sz w:val="18"/>
                      <w:szCs w:val="18"/>
                    </w:rPr>
                    <w:t>F—罩口面积（m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w:t>
                  </w:r>
                </w:p>
                <w:p w14:paraId="474E4F11">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color w:val="auto"/>
                      <w:sz w:val="18"/>
                      <w:szCs w:val="18"/>
                    </w:rPr>
                  </w:pPr>
                  <w:r>
                    <w:rPr>
                      <w:rFonts w:hint="eastAsia"/>
                      <w:color w:val="auto"/>
                      <w:sz w:val="18"/>
                      <w:szCs w:val="18"/>
                    </w:rPr>
                    <w:t>项目</w:t>
                  </w:r>
                  <w:r>
                    <w:rPr>
                      <w:rFonts w:hint="eastAsia"/>
                      <w:color w:val="auto"/>
                      <w:sz w:val="18"/>
                      <w:szCs w:val="18"/>
                      <w:lang w:val="en-US" w:eastAsia="zh-CN"/>
                    </w:rPr>
                    <w:t>熔模浇注废气</w:t>
                  </w:r>
                  <w:r>
                    <w:rPr>
                      <w:rFonts w:hint="eastAsia"/>
                      <w:color w:val="auto"/>
                      <w:sz w:val="18"/>
                      <w:szCs w:val="18"/>
                    </w:rPr>
                    <w:t>采用矩形集气罩，</w:t>
                  </w:r>
                  <w:r>
                    <w:rPr>
                      <w:rFonts w:hint="eastAsia"/>
                      <w:color w:val="auto"/>
                      <w:sz w:val="18"/>
                      <w:szCs w:val="18"/>
                      <w:lang w:val="en-US" w:eastAsia="zh-CN"/>
                    </w:rPr>
                    <w:t>浇筑区2个，</w:t>
                  </w:r>
                  <w:r>
                    <w:rPr>
                      <w:rFonts w:hint="eastAsia"/>
                      <w:color w:val="auto"/>
                      <w:sz w:val="18"/>
                      <w:szCs w:val="18"/>
                    </w:rPr>
                    <w:t>大小</w:t>
                  </w:r>
                  <w:r>
                    <w:rPr>
                      <w:rFonts w:hint="eastAsia"/>
                      <w:color w:val="auto"/>
                      <w:sz w:val="18"/>
                      <w:szCs w:val="18"/>
                      <w:lang w:val="en-US" w:eastAsia="zh-CN"/>
                    </w:rPr>
                    <w:t>均</w:t>
                  </w:r>
                  <w:r>
                    <w:rPr>
                      <w:rFonts w:hint="eastAsia"/>
                      <w:color w:val="auto"/>
                      <w:sz w:val="18"/>
                      <w:szCs w:val="18"/>
                    </w:rPr>
                    <w:t>为</w:t>
                  </w:r>
                  <w:r>
                    <w:rPr>
                      <w:rFonts w:hint="eastAsia"/>
                      <w:color w:val="auto"/>
                      <w:sz w:val="18"/>
                      <w:szCs w:val="18"/>
                      <w:lang w:val="en-US" w:eastAsia="zh-CN"/>
                    </w:rPr>
                    <w:t>1.0</w:t>
                  </w:r>
                  <w:r>
                    <w:rPr>
                      <w:rFonts w:hint="eastAsia"/>
                      <w:color w:val="auto"/>
                      <w:sz w:val="18"/>
                      <w:szCs w:val="18"/>
                    </w:rPr>
                    <w:t>m×</w:t>
                  </w:r>
                  <w:r>
                    <w:rPr>
                      <w:rFonts w:hint="eastAsia"/>
                      <w:color w:val="auto"/>
                      <w:sz w:val="18"/>
                      <w:szCs w:val="18"/>
                      <w:lang w:val="en-US" w:eastAsia="zh-CN"/>
                    </w:rPr>
                    <w:t>2.0</w:t>
                  </w:r>
                  <w:r>
                    <w:rPr>
                      <w:rFonts w:hint="eastAsia"/>
                      <w:color w:val="auto"/>
                      <w:sz w:val="18"/>
                      <w:szCs w:val="18"/>
                    </w:rPr>
                    <w:t>m，罩口四边敞开，计算得：L=V</w:t>
                  </w:r>
                  <w:r>
                    <w:rPr>
                      <w:rFonts w:hint="eastAsia"/>
                      <w:color w:val="auto"/>
                      <w:sz w:val="18"/>
                      <w:szCs w:val="18"/>
                      <w:vertAlign w:val="subscript"/>
                    </w:rPr>
                    <w:t>0</w:t>
                  </w:r>
                  <w:r>
                    <w:rPr>
                      <w:rFonts w:hint="eastAsia"/>
                      <w:color w:val="auto"/>
                      <w:sz w:val="18"/>
                      <w:szCs w:val="18"/>
                    </w:rPr>
                    <w:t>×F×3600=</w:t>
                  </w:r>
                  <w:r>
                    <w:rPr>
                      <w:rFonts w:hint="eastAsia"/>
                      <w:color w:val="auto"/>
                      <w:sz w:val="18"/>
                      <w:szCs w:val="18"/>
                      <w:lang w:val="en-US" w:eastAsia="zh-CN"/>
                    </w:rPr>
                    <w:t>1.2</w:t>
                  </w:r>
                  <w:r>
                    <w:rPr>
                      <w:rFonts w:hint="eastAsia"/>
                      <w:color w:val="auto"/>
                      <w:sz w:val="18"/>
                      <w:szCs w:val="18"/>
                    </w:rPr>
                    <w:t>×</w:t>
                  </w:r>
                  <w:r>
                    <w:rPr>
                      <w:rFonts w:hint="eastAsia"/>
                      <w:color w:val="auto"/>
                      <w:sz w:val="18"/>
                      <w:szCs w:val="18"/>
                      <w:lang w:val="en-US" w:eastAsia="zh-CN"/>
                    </w:rPr>
                    <w:t>4.0</w:t>
                  </w:r>
                  <w:r>
                    <w:rPr>
                      <w:rFonts w:hint="eastAsia"/>
                      <w:color w:val="auto"/>
                      <w:sz w:val="18"/>
                      <w:szCs w:val="18"/>
                    </w:rPr>
                    <w:t>×3600=</w:t>
                  </w:r>
                  <w:r>
                    <w:rPr>
                      <w:rFonts w:hint="eastAsia"/>
                      <w:color w:val="auto"/>
                      <w:sz w:val="18"/>
                      <w:szCs w:val="18"/>
                      <w:lang w:val="en-US" w:eastAsia="zh-CN"/>
                    </w:rPr>
                    <w:t>17280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4B4E9CB9">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17280</w:t>
                  </w:r>
                </w:p>
              </w:tc>
              <w:tc>
                <w:tcPr>
                  <w:tcW w:w="807" w:type="dxa"/>
                  <w:vMerge w:val="continue"/>
                  <w:tcBorders>
                    <w:right w:val="single" w:color="auto" w:sz="4" w:space="0"/>
                    <w:tl2br w:val="nil"/>
                    <w:tr2bl w:val="nil"/>
                  </w:tcBorders>
                  <w:shd w:val="clear" w:color="auto" w:fill="auto"/>
                  <w:vAlign w:val="center"/>
                </w:tcPr>
                <w:p w14:paraId="2A5E7352">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01CA5BF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4E0A396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314B59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vAlign w:val="center"/>
                </w:tcPr>
                <w:p w14:paraId="68337FB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粘土砂浇注</w:t>
                  </w:r>
                </w:p>
              </w:tc>
              <w:tc>
                <w:tcPr>
                  <w:tcW w:w="813" w:type="dxa"/>
                  <w:tcBorders>
                    <w:left w:val="single" w:color="auto" w:sz="4" w:space="0"/>
                    <w:right w:val="single" w:color="auto" w:sz="4" w:space="0"/>
                    <w:tl2br w:val="nil"/>
                    <w:tr2bl w:val="nil"/>
                  </w:tcBorders>
                  <w:vAlign w:val="center"/>
                </w:tcPr>
                <w:p w14:paraId="7D23422F">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顶吸集气罩</w:t>
                  </w:r>
                </w:p>
              </w:tc>
              <w:tc>
                <w:tcPr>
                  <w:tcW w:w="3574" w:type="dxa"/>
                  <w:tcBorders>
                    <w:left w:val="single" w:color="auto" w:sz="4" w:space="0"/>
                    <w:tl2br w:val="nil"/>
                    <w:tr2bl w:val="nil"/>
                  </w:tcBorders>
                  <w:vAlign w:val="center"/>
                </w:tcPr>
                <w:p w14:paraId="7AFA67B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L=3600V</w:t>
                  </w:r>
                  <w:r>
                    <w:rPr>
                      <w:rFonts w:hint="eastAsia"/>
                      <w:color w:val="auto"/>
                      <w:sz w:val="18"/>
                      <w:szCs w:val="18"/>
                      <w:vertAlign w:val="subscript"/>
                    </w:rPr>
                    <w:t>0</w:t>
                  </w:r>
                  <w:r>
                    <w:rPr>
                      <w:rFonts w:hint="eastAsia"/>
                      <w:color w:val="auto"/>
                      <w:sz w:val="18"/>
                      <w:szCs w:val="18"/>
                    </w:rPr>
                    <w:t>F</w:t>
                  </w:r>
                </w:p>
                <w:p w14:paraId="39505CE0">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w:t>
                  </w:r>
                  <w:r>
                    <w:rPr>
                      <w:rFonts w:hint="eastAsia"/>
                      <w:color w:val="auto"/>
                      <w:sz w:val="18"/>
                      <w:szCs w:val="18"/>
                      <w:vertAlign w:val="subscript"/>
                    </w:rPr>
                    <w:t>0</w:t>
                  </w:r>
                  <w:r>
                    <w:rPr>
                      <w:rFonts w:hint="eastAsia"/>
                      <w:color w:val="auto"/>
                      <w:sz w:val="18"/>
                      <w:szCs w:val="18"/>
                    </w:rPr>
                    <w:t>—罩口平均风速（m/s），项目取</w:t>
                  </w:r>
                  <w:r>
                    <w:rPr>
                      <w:rFonts w:hint="eastAsia"/>
                      <w:color w:val="auto"/>
                      <w:sz w:val="18"/>
                      <w:szCs w:val="18"/>
                      <w:lang w:val="en-US" w:eastAsia="zh-CN"/>
                    </w:rPr>
                    <w:t>1.2</w:t>
                  </w:r>
                  <w:r>
                    <w:rPr>
                      <w:rFonts w:hint="eastAsia"/>
                      <w:color w:val="auto"/>
                      <w:sz w:val="18"/>
                      <w:szCs w:val="18"/>
                    </w:rPr>
                    <w:t>m/s；</w:t>
                  </w:r>
                </w:p>
                <w:p w14:paraId="4699F32F">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eastAsia="宋体"/>
                      <w:color w:val="auto"/>
                      <w:sz w:val="18"/>
                      <w:szCs w:val="18"/>
                      <w:lang w:eastAsia="zh-CN"/>
                    </w:rPr>
                  </w:pPr>
                  <w:r>
                    <w:rPr>
                      <w:rFonts w:hint="eastAsia"/>
                      <w:color w:val="auto"/>
                      <w:sz w:val="18"/>
                      <w:szCs w:val="18"/>
                    </w:rPr>
                    <w:t>F—罩口面积（m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w:t>
                  </w:r>
                </w:p>
                <w:p w14:paraId="203F665E">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color w:val="auto"/>
                      <w:sz w:val="18"/>
                      <w:szCs w:val="18"/>
                    </w:rPr>
                  </w:pPr>
                  <w:r>
                    <w:rPr>
                      <w:rFonts w:hint="eastAsia"/>
                      <w:color w:val="auto"/>
                      <w:sz w:val="18"/>
                      <w:szCs w:val="18"/>
                    </w:rPr>
                    <w:t>项目</w:t>
                  </w:r>
                  <w:r>
                    <w:rPr>
                      <w:rFonts w:hint="eastAsia"/>
                      <w:color w:val="auto"/>
                      <w:sz w:val="18"/>
                      <w:szCs w:val="18"/>
                      <w:lang w:val="en-US" w:eastAsia="zh-CN"/>
                    </w:rPr>
                    <w:t>粘土砂浇注废气</w:t>
                  </w:r>
                  <w:r>
                    <w:rPr>
                      <w:rFonts w:hint="eastAsia"/>
                      <w:color w:val="auto"/>
                      <w:sz w:val="18"/>
                      <w:szCs w:val="18"/>
                    </w:rPr>
                    <w:t>采用矩形集气罩，</w:t>
                  </w:r>
                  <w:r>
                    <w:rPr>
                      <w:rFonts w:hint="eastAsia"/>
                      <w:color w:val="auto"/>
                      <w:sz w:val="18"/>
                      <w:szCs w:val="18"/>
                      <w:lang w:val="en-US" w:eastAsia="zh-CN"/>
                    </w:rPr>
                    <w:t>浇筑区3个，</w:t>
                  </w:r>
                  <w:r>
                    <w:rPr>
                      <w:rFonts w:hint="eastAsia"/>
                      <w:color w:val="auto"/>
                      <w:sz w:val="18"/>
                      <w:szCs w:val="18"/>
                    </w:rPr>
                    <w:t>大小</w:t>
                  </w:r>
                  <w:r>
                    <w:rPr>
                      <w:rFonts w:hint="eastAsia"/>
                      <w:color w:val="auto"/>
                      <w:sz w:val="18"/>
                      <w:szCs w:val="18"/>
                      <w:lang w:val="en-US" w:eastAsia="zh-CN"/>
                    </w:rPr>
                    <w:t>均</w:t>
                  </w:r>
                  <w:r>
                    <w:rPr>
                      <w:rFonts w:hint="eastAsia"/>
                      <w:color w:val="auto"/>
                      <w:sz w:val="18"/>
                      <w:szCs w:val="18"/>
                    </w:rPr>
                    <w:t>为</w:t>
                  </w:r>
                  <w:r>
                    <w:rPr>
                      <w:rFonts w:hint="eastAsia"/>
                      <w:color w:val="auto"/>
                      <w:sz w:val="18"/>
                      <w:szCs w:val="18"/>
                      <w:lang w:val="en-US" w:eastAsia="zh-CN"/>
                    </w:rPr>
                    <w:t>1.0</w:t>
                  </w:r>
                  <w:r>
                    <w:rPr>
                      <w:rFonts w:hint="eastAsia"/>
                      <w:color w:val="auto"/>
                      <w:sz w:val="18"/>
                      <w:szCs w:val="18"/>
                    </w:rPr>
                    <w:t>m×</w:t>
                  </w:r>
                  <w:r>
                    <w:rPr>
                      <w:rFonts w:hint="eastAsia"/>
                      <w:color w:val="auto"/>
                      <w:sz w:val="18"/>
                      <w:szCs w:val="18"/>
                      <w:lang w:val="en-US" w:eastAsia="zh-CN"/>
                    </w:rPr>
                    <w:t>2.0</w:t>
                  </w:r>
                  <w:r>
                    <w:rPr>
                      <w:rFonts w:hint="eastAsia"/>
                      <w:color w:val="auto"/>
                      <w:sz w:val="18"/>
                      <w:szCs w:val="18"/>
                    </w:rPr>
                    <w:t>m，罩口四边敞开，计算得：L=V</w:t>
                  </w:r>
                  <w:r>
                    <w:rPr>
                      <w:rFonts w:hint="eastAsia"/>
                      <w:color w:val="auto"/>
                      <w:sz w:val="18"/>
                      <w:szCs w:val="18"/>
                      <w:vertAlign w:val="subscript"/>
                    </w:rPr>
                    <w:t>0</w:t>
                  </w:r>
                  <w:r>
                    <w:rPr>
                      <w:rFonts w:hint="eastAsia"/>
                      <w:color w:val="auto"/>
                      <w:sz w:val="18"/>
                      <w:szCs w:val="18"/>
                    </w:rPr>
                    <w:t>×F×3600=</w:t>
                  </w:r>
                  <w:r>
                    <w:rPr>
                      <w:rFonts w:hint="eastAsia"/>
                      <w:color w:val="auto"/>
                      <w:sz w:val="18"/>
                      <w:szCs w:val="18"/>
                      <w:lang w:val="en-US" w:eastAsia="zh-CN"/>
                    </w:rPr>
                    <w:t>1.2</w:t>
                  </w:r>
                  <w:r>
                    <w:rPr>
                      <w:rFonts w:hint="eastAsia"/>
                      <w:color w:val="auto"/>
                      <w:sz w:val="18"/>
                      <w:szCs w:val="18"/>
                    </w:rPr>
                    <w:t>×</w:t>
                  </w:r>
                  <w:r>
                    <w:rPr>
                      <w:rFonts w:hint="eastAsia"/>
                      <w:color w:val="auto"/>
                      <w:sz w:val="18"/>
                      <w:szCs w:val="18"/>
                      <w:lang w:val="en-US" w:eastAsia="zh-CN"/>
                    </w:rPr>
                    <w:t>6.0</w:t>
                  </w:r>
                  <w:r>
                    <w:rPr>
                      <w:rFonts w:hint="eastAsia"/>
                      <w:color w:val="auto"/>
                      <w:sz w:val="18"/>
                      <w:szCs w:val="18"/>
                    </w:rPr>
                    <w:t>×3600=</w:t>
                  </w:r>
                  <w:r>
                    <w:rPr>
                      <w:rFonts w:hint="eastAsia"/>
                      <w:color w:val="auto"/>
                      <w:sz w:val="18"/>
                      <w:szCs w:val="18"/>
                      <w:lang w:val="en-US" w:eastAsia="zh-CN"/>
                    </w:rPr>
                    <w:t>25920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0913393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25920</w:t>
                  </w:r>
                </w:p>
              </w:tc>
              <w:tc>
                <w:tcPr>
                  <w:tcW w:w="807" w:type="dxa"/>
                  <w:vMerge w:val="continue"/>
                  <w:tcBorders>
                    <w:right w:val="single" w:color="auto" w:sz="4" w:space="0"/>
                    <w:tl2br w:val="nil"/>
                    <w:tr2bl w:val="nil"/>
                  </w:tcBorders>
                  <w:shd w:val="clear" w:color="auto" w:fill="auto"/>
                  <w:vAlign w:val="center"/>
                </w:tcPr>
                <w:p w14:paraId="50FDFD1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5D9FE01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2538C2E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4DB571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54" w:type="dxa"/>
                  <w:vMerge w:val="restart"/>
                  <w:tcBorders>
                    <w:right w:val="single" w:color="auto" w:sz="4" w:space="0"/>
                    <w:tl2br w:val="nil"/>
                    <w:tr2bl w:val="nil"/>
                  </w:tcBorders>
                  <w:shd w:val="clear" w:color="auto" w:fill="auto"/>
                  <w:vAlign w:val="center"/>
                </w:tcPr>
                <w:p w14:paraId="04ABFA1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制芯废气</w:t>
                  </w:r>
                </w:p>
              </w:tc>
              <w:tc>
                <w:tcPr>
                  <w:tcW w:w="466" w:type="dxa"/>
                  <w:tcBorders>
                    <w:left w:val="single" w:color="auto" w:sz="4" w:space="0"/>
                    <w:right w:val="single" w:color="auto" w:sz="4" w:space="0"/>
                    <w:tl2br w:val="nil"/>
                    <w:tr2bl w:val="nil"/>
                  </w:tcBorders>
                  <w:shd w:val="clear" w:color="auto" w:fill="auto"/>
                  <w:vAlign w:val="center"/>
                </w:tcPr>
                <w:p w14:paraId="61171C9E">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热芯盒制芯</w:t>
                  </w:r>
                </w:p>
              </w:tc>
              <w:tc>
                <w:tcPr>
                  <w:tcW w:w="813" w:type="dxa"/>
                  <w:tcBorders>
                    <w:left w:val="single" w:color="auto" w:sz="4" w:space="0"/>
                    <w:right w:val="single" w:color="auto" w:sz="4" w:space="0"/>
                    <w:tl2br w:val="nil"/>
                    <w:tr2bl w:val="nil"/>
                  </w:tcBorders>
                  <w:vAlign w:val="center"/>
                </w:tcPr>
                <w:p w14:paraId="763ED29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集气罩收集</w:t>
                  </w:r>
                </w:p>
              </w:tc>
              <w:tc>
                <w:tcPr>
                  <w:tcW w:w="3574" w:type="dxa"/>
                  <w:tcBorders>
                    <w:left w:val="single" w:color="auto" w:sz="4" w:space="0"/>
                    <w:tl2br w:val="nil"/>
                    <w:tr2bl w:val="nil"/>
                  </w:tcBorders>
                  <w:vAlign w:val="center"/>
                </w:tcPr>
                <w:p w14:paraId="4E349E91">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L=3600V</w:t>
                  </w:r>
                  <w:r>
                    <w:rPr>
                      <w:rFonts w:hint="eastAsia"/>
                      <w:color w:val="auto"/>
                      <w:sz w:val="18"/>
                      <w:szCs w:val="18"/>
                      <w:vertAlign w:val="subscript"/>
                    </w:rPr>
                    <w:t>0</w:t>
                  </w:r>
                  <w:r>
                    <w:rPr>
                      <w:rFonts w:hint="eastAsia"/>
                      <w:color w:val="auto"/>
                      <w:sz w:val="18"/>
                      <w:szCs w:val="18"/>
                    </w:rPr>
                    <w:t>F</w:t>
                  </w:r>
                </w:p>
                <w:p w14:paraId="06A7C139">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w:t>
                  </w:r>
                  <w:r>
                    <w:rPr>
                      <w:rFonts w:hint="eastAsia"/>
                      <w:color w:val="auto"/>
                      <w:sz w:val="18"/>
                      <w:szCs w:val="18"/>
                      <w:vertAlign w:val="subscript"/>
                    </w:rPr>
                    <w:t>0</w:t>
                  </w:r>
                  <w:r>
                    <w:rPr>
                      <w:rFonts w:hint="eastAsia"/>
                      <w:color w:val="auto"/>
                      <w:sz w:val="18"/>
                      <w:szCs w:val="18"/>
                    </w:rPr>
                    <w:t>—罩口平均风速（m/s），项目取</w:t>
                  </w:r>
                  <w:r>
                    <w:rPr>
                      <w:rFonts w:hint="eastAsia"/>
                      <w:color w:val="auto"/>
                      <w:sz w:val="18"/>
                      <w:szCs w:val="18"/>
                      <w:lang w:val="en-US" w:eastAsia="zh-CN"/>
                    </w:rPr>
                    <w:t>1.0</w:t>
                  </w:r>
                  <w:r>
                    <w:rPr>
                      <w:rFonts w:hint="eastAsia"/>
                      <w:color w:val="auto"/>
                      <w:sz w:val="18"/>
                      <w:szCs w:val="18"/>
                    </w:rPr>
                    <w:t>m/s；</w:t>
                  </w:r>
                </w:p>
                <w:p w14:paraId="17FEF18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eastAsia="宋体"/>
                      <w:color w:val="auto"/>
                      <w:sz w:val="18"/>
                      <w:szCs w:val="18"/>
                      <w:lang w:eastAsia="zh-CN"/>
                    </w:rPr>
                  </w:pPr>
                  <w:r>
                    <w:rPr>
                      <w:rFonts w:hint="eastAsia"/>
                      <w:color w:val="auto"/>
                      <w:sz w:val="18"/>
                      <w:szCs w:val="18"/>
                    </w:rPr>
                    <w:t>F—罩口面积（m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w:t>
                  </w:r>
                </w:p>
                <w:p w14:paraId="02B64B4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color w:val="auto"/>
                      <w:sz w:val="18"/>
                      <w:szCs w:val="18"/>
                    </w:rPr>
                  </w:pPr>
                  <w:r>
                    <w:rPr>
                      <w:rFonts w:hint="eastAsia"/>
                      <w:color w:val="auto"/>
                      <w:sz w:val="18"/>
                      <w:szCs w:val="18"/>
                    </w:rPr>
                    <w:t>项目</w:t>
                  </w:r>
                  <w:r>
                    <w:rPr>
                      <w:rFonts w:hint="eastAsia"/>
                      <w:color w:val="auto"/>
                      <w:sz w:val="18"/>
                      <w:szCs w:val="18"/>
                      <w:lang w:val="en-US" w:eastAsia="zh-CN"/>
                    </w:rPr>
                    <w:t>热芯盒制芯废气</w:t>
                  </w:r>
                  <w:r>
                    <w:rPr>
                      <w:rFonts w:hint="eastAsia"/>
                      <w:color w:val="auto"/>
                      <w:sz w:val="18"/>
                      <w:szCs w:val="18"/>
                    </w:rPr>
                    <w:t>采用</w:t>
                  </w:r>
                  <w:r>
                    <w:rPr>
                      <w:rFonts w:hint="eastAsia"/>
                      <w:color w:val="auto"/>
                      <w:sz w:val="18"/>
                      <w:szCs w:val="18"/>
                      <w:lang w:val="en-US" w:eastAsia="zh-CN"/>
                    </w:rPr>
                    <w:t>圆形</w:t>
                  </w:r>
                  <w:r>
                    <w:rPr>
                      <w:rFonts w:hint="eastAsia"/>
                      <w:color w:val="auto"/>
                      <w:sz w:val="18"/>
                      <w:szCs w:val="18"/>
                    </w:rPr>
                    <w:t>集气罩，</w:t>
                  </w:r>
                  <w:r>
                    <w:rPr>
                      <w:rFonts w:hint="eastAsia"/>
                      <w:color w:val="auto"/>
                      <w:sz w:val="18"/>
                      <w:szCs w:val="18"/>
                      <w:lang w:val="en-US" w:eastAsia="zh-CN"/>
                    </w:rPr>
                    <w:t>制芯设备12台，集气罩口直径0.3</w:t>
                  </w:r>
                  <w:r>
                    <w:rPr>
                      <w:rFonts w:hint="eastAsia"/>
                      <w:color w:val="auto"/>
                      <w:sz w:val="18"/>
                      <w:szCs w:val="18"/>
                    </w:rPr>
                    <w:t>m，罩口</w:t>
                  </w:r>
                  <w:r>
                    <w:rPr>
                      <w:rFonts w:hint="eastAsia"/>
                      <w:color w:val="auto"/>
                      <w:sz w:val="18"/>
                      <w:szCs w:val="18"/>
                      <w:lang w:val="en-US" w:eastAsia="zh-CN"/>
                    </w:rPr>
                    <w:t>紧贴制芯设备</w:t>
                  </w:r>
                  <w:r>
                    <w:rPr>
                      <w:rFonts w:hint="eastAsia"/>
                      <w:color w:val="auto"/>
                      <w:sz w:val="18"/>
                      <w:szCs w:val="18"/>
                    </w:rPr>
                    <w:t>，计算得：L=V</w:t>
                  </w:r>
                  <w:r>
                    <w:rPr>
                      <w:rFonts w:hint="eastAsia"/>
                      <w:color w:val="auto"/>
                      <w:sz w:val="18"/>
                      <w:szCs w:val="18"/>
                      <w:vertAlign w:val="subscript"/>
                    </w:rPr>
                    <w:t>0</w:t>
                  </w:r>
                  <w:r>
                    <w:rPr>
                      <w:rFonts w:hint="eastAsia"/>
                      <w:color w:val="auto"/>
                      <w:sz w:val="18"/>
                      <w:szCs w:val="18"/>
                    </w:rPr>
                    <w:t>×F×3600=</w:t>
                  </w:r>
                  <w:r>
                    <w:rPr>
                      <w:rFonts w:hint="eastAsia"/>
                      <w:color w:val="auto"/>
                      <w:sz w:val="18"/>
                      <w:szCs w:val="18"/>
                      <w:lang w:val="en-US" w:eastAsia="zh-CN"/>
                    </w:rPr>
                    <w:t>1.0</w:t>
                  </w:r>
                  <w:r>
                    <w:rPr>
                      <w:rFonts w:hint="eastAsia"/>
                      <w:color w:val="auto"/>
                      <w:sz w:val="18"/>
                      <w:szCs w:val="18"/>
                    </w:rPr>
                    <w:t>×</w:t>
                  </w:r>
                  <w:r>
                    <w:rPr>
                      <w:rFonts w:hint="eastAsia"/>
                      <w:color w:val="auto"/>
                      <w:sz w:val="18"/>
                      <w:szCs w:val="18"/>
                      <w:lang w:val="en-US" w:eastAsia="zh-CN"/>
                    </w:rPr>
                    <w:t>（0.15</w:t>
                  </w:r>
                  <w:r>
                    <w:rPr>
                      <w:rFonts w:hint="eastAsia"/>
                      <w:color w:val="auto"/>
                      <w:sz w:val="18"/>
                      <w:szCs w:val="18"/>
                      <w:vertAlign w:val="superscript"/>
                      <w:lang w:val="en-US" w:eastAsia="zh-CN"/>
                    </w:rPr>
                    <w:t>2</w:t>
                  </w:r>
                  <w:r>
                    <w:rPr>
                      <w:rFonts w:hint="eastAsia"/>
                      <w:color w:val="auto"/>
                      <w:sz w:val="18"/>
                      <w:szCs w:val="18"/>
                    </w:rPr>
                    <w:t>×</w:t>
                  </w:r>
                  <w:r>
                    <w:rPr>
                      <w:rFonts w:hint="eastAsia"/>
                      <w:color w:val="auto"/>
                      <w:sz w:val="18"/>
                      <w:szCs w:val="18"/>
                      <w:lang w:val="en-US" w:eastAsia="zh-CN"/>
                    </w:rPr>
                    <w:t>3.14</w:t>
                  </w:r>
                  <w:r>
                    <w:rPr>
                      <w:rFonts w:hint="eastAsia"/>
                      <w:color w:val="auto"/>
                      <w:sz w:val="18"/>
                      <w:szCs w:val="18"/>
                    </w:rPr>
                    <w:t>×</w:t>
                  </w:r>
                  <w:r>
                    <w:rPr>
                      <w:rFonts w:hint="eastAsia"/>
                      <w:color w:val="auto"/>
                      <w:sz w:val="18"/>
                      <w:szCs w:val="18"/>
                      <w:lang w:val="en-US" w:eastAsia="zh-CN"/>
                    </w:rPr>
                    <w:t>12）</w:t>
                  </w:r>
                  <w:r>
                    <w:rPr>
                      <w:rFonts w:hint="eastAsia"/>
                      <w:color w:val="auto"/>
                      <w:sz w:val="18"/>
                      <w:szCs w:val="18"/>
                    </w:rPr>
                    <w:t>×3600=</w:t>
                  </w:r>
                  <w:r>
                    <w:rPr>
                      <w:rFonts w:hint="eastAsia"/>
                      <w:color w:val="auto"/>
                      <w:sz w:val="18"/>
                      <w:szCs w:val="18"/>
                      <w:lang w:val="en-US" w:eastAsia="zh-CN"/>
                    </w:rPr>
                    <w:t>3052.08</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532D7854">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3052.08</w:t>
                  </w:r>
                </w:p>
              </w:tc>
              <w:tc>
                <w:tcPr>
                  <w:tcW w:w="807" w:type="dxa"/>
                  <w:vMerge w:val="restart"/>
                  <w:tcBorders>
                    <w:right w:val="single" w:color="auto" w:sz="4" w:space="0"/>
                    <w:tl2br w:val="nil"/>
                    <w:tr2bl w:val="nil"/>
                  </w:tcBorders>
                  <w:shd w:val="clear" w:color="auto" w:fill="auto"/>
                  <w:vAlign w:val="center"/>
                </w:tcPr>
                <w:p w14:paraId="1019A17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30000</w:t>
                  </w:r>
                </w:p>
              </w:tc>
              <w:tc>
                <w:tcPr>
                  <w:tcW w:w="870" w:type="dxa"/>
                  <w:vMerge w:val="restart"/>
                  <w:tcBorders>
                    <w:left w:val="single" w:color="auto" w:sz="4" w:space="0"/>
                    <w:tl2br w:val="nil"/>
                    <w:tr2bl w:val="nil"/>
                  </w:tcBorders>
                  <w:shd w:val="clear" w:color="auto" w:fill="auto"/>
                  <w:vAlign w:val="center"/>
                </w:tcPr>
                <w:p w14:paraId="1546192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pacing w:val="-1"/>
                      <w:sz w:val="18"/>
                      <w:szCs w:val="18"/>
                    </w:rPr>
                    <w:t>袋式除尘器</w:t>
                  </w:r>
                  <w:r>
                    <w:rPr>
                      <w:rFonts w:hint="default" w:ascii="Times New Roman" w:hAnsi="Times New Roman" w:eastAsia="Times New Roman" w:cs="Times New Roman"/>
                      <w:color w:val="auto"/>
                      <w:sz w:val="18"/>
                      <w:szCs w:val="18"/>
                    </w:rPr>
                    <w:t>+</w:t>
                  </w:r>
                  <w:r>
                    <w:rPr>
                      <w:rFonts w:hint="default" w:ascii="Times New Roman" w:hAnsi="Times New Roman" w:eastAsia="Times New Roman" w:cs="Times New Roman"/>
                      <w:color w:val="auto"/>
                      <w:spacing w:val="-50"/>
                      <w:sz w:val="18"/>
                      <w:szCs w:val="18"/>
                    </w:rPr>
                    <w:t xml:space="preserve"> </w:t>
                  </w:r>
                  <w:r>
                    <w:rPr>
                      <w:rFonts w:hint="default" w:ascii="Times New Roman" w:hAnsi="Times New Roman" w:cs="Times New Roman"/>
                      <w:color w:val="auto"/>
                      <w:sz w:val="18"/>
                      <w:szCs w:val="18"/>
                    </w:rPr>
                    <w:t>活性炭吸附</w:t>
                  </w:r>
                </w:p>
              </w:tc>
              <w:tc>
                <w:tcPr>
                  <w:tcW w:w="629" w:type="dxa"/>
                  <w:vMerge w:val="restart"/>
                  <w:tcBorders>
                    <w:tl2br w:val="nil"/>
                    <w:tr2bl w:val="nil"/>
                  </w:tcBorders>
                  <w:vAlign w:val="center"/>
                </w:tcPr>
                <w:p w14:paraId="51E09C2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DA002</w:t>
                  </w:r>
                </w:p>
              </w:tc>
            </w:tr>
            <w:tr w14:paraId="33A54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54" w:type="dxa"/>
                  <w:vMerge w:val="continue"/>
                  <w:tcBorders>
                    <w:right w:val="single" w:color="auto" w:sz="4" w:space="0"/>
                    <w:tl2br w:val="nil"/>
                    <w:tr2bl w:val="nil"/>
                  </w:tcBorders>
                  <w:shd w:val="clear" w:color="auto" w:fill="auto"/>
                  <w:vAlign w:val="center"/>
                </w:tcPr>
                <w:p w14:paraId="4B7BB39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cs="Times New Roman"/>
                      <w:color w:val="auto"/>
                      <w:sz w:val="18"/>
                      <w:szCs w:val="18"/>
                    </w:rPr>
                  </w:pPr>
                </w:p>
              </w:tc>
              <w:tc>
                <w:tcPr>
                  <w:tcW w:w="466" w:type="dxa"/>
                  <w:tcBorders>
                    <w:left w:val="single" w:color="auto" w:sz="4" w:space="0"/>
                    <w:right w:val="single" w:color="auto" w:sz="4" w:space="0"/>
                    <w:tl2br w:val="nil"/>
                    <w:tr2bl w:val="nil"/>
                  </w:tcBorders>
                  <w:shd w:val="clear" w:color="auto" w:fill="auto"/>
                  <w:vAlign w:val="center"/>
                </w:tcPr>
                <w:p w14:paraId="2DD8A9F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冷芯盒制芯</w:t>
                  </w:r>
                </w:p>
              </w:tc>
              <w:tc>
                <w:tcPr>
                  <w:tcW w:w="813" w:type="dxa"/>
                  <w:tcBorders>
                    <w:left w:val="single" w:color="auto" w:sz="4" w:space="0"/>
                    <w:right w:val="single" w:color="auto" w:sz="4" w:space="0"/>
                    <w:tl2br w:val="nil"/>
                    <w:tr2bl w:val="nil"/>
                  </w:tcBorders>
                  <w:vAlign w:val="center"/>
                </w:tcPr>
                <w:p w14:paraId="2A5D153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密闭收集</w:t>
                  </w:r>
                </w:p>
              </w:tc>
              <w:tc>
                <w:tcPr>
                  <w:tcW w:w="3574" w:type="dxa"/>
                  <w:tcBorders>
                    <w:left w:val="single" w:color="auto" w:sz="4" w:space="0"/>
                    <w:tl2br w:val="nil"/>
                    <w:tr2bl w:val="nil"/>
                  </w:tcBorders>
                  <w:vAlign w:val="center"/>
                </w:tcPr>
                <w:p w14:paraId="37066782">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lang w:val="en-US" w:eastAsia="zh-CN"/>
                    </w:rPr>
                    <w:t>冷芯盒设备密闭，</w:t>
                  </w:r>
                  <w:r>
                    <w:rPr>
                      <w:rFonts w:hint="eastAsia"/>
                      <w:color w:val="auto"/>
                      <w:sz w:val="18"/>
                      <w:szCs w:val="18"/>
                    </w:rPr>
                    <w:t>按照密闭罩的计算方法粗略核算。</w:t>
                  </w:r>
                </w:p>
                <w:p w14:paraId="711F739F">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废气收集情况按截面风速计算：L=3600Fv。</w:t>
                  </w:r>
                </w:p>
                <w:p w14:paraId="44CB2650">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F—密闭罩横截面积，m</w:t>
                  </w:r>
                  <w:r>
                    <w:rPr>
                      <w:rFonts w:hint="eastAsia"/>
                      <w:color w:val="auto"/>
                      <w:sz w:val="18"/>
                      <w:szCs w:val="18"/>
                      <w:vertAlign w:val="superscript"/>
                    </w:rPr>
                    <w:t>2</w:t>
                  </w:r>
                  <w:r>
                    <w:rPr>
                      <w:rFonts w:hint="eastAsia"/>
                      <w:color w:val="auto"/>
                      <w:sz w:val="18"/>
                      <w:szCs w:val="18"/>
                    </w:rPr>
                    <w:t>。本项目</w:t>
                  </w:r>
                  <w:r>
                    <w:rPr>
                      <w:rFonts w:hint="eastAsia"/>
                      <w:color w:val="auto"/>
                      <w:sz w:val="18"/>
                      <w:szCs w:val="18"/>
                      <w:lang w:val="en-US" w:eastAsia="zh-CN"/>
                    </w:rPr>
                    <w:t>单台冷芯盒产气点</w:t>
                  </w:r>
                  <w:r>
                    <w:rPr>
                      <w:rFonts w:hint="eastAsia"/>
                      <w:color w:val="auto"/>
                      <w:sz w:val="18"/>
                      <w:szCs w:val="18"/>
                    </w:rPr>
                    <w:t>面积</w:t>
                  </w:r>
                  <w:r>
                    <w:rPr>
                      <w:rFonts w:hint="eastAsia"/>
                      <w:color w:val="auto"/>
                      <w:sz w:val="18"/>
                      <w:szCs w:val="18"/>
                      <w:lang w:val="en-US" w:eastAsia="zh-CN"/>
                    </w:rPr>
                    <w:t>以0.1</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p>
                <w:p w14:paraId="4C97290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v—密闭罩横截面积平均风速，一般取0.4m/s。</w:t>
                  </w:r>
                </w:p>
                <w:p w14:paraId="237BD150">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lang w:val="en-US" w:eastAsia="zh-CN"/>
                    </w:rPr>
                    <w:t>项目共4台冷芯盒制芯设备</w:t>
                  </w:r>
                  <w:r>
                    <w:rPr>
                      <w:rFonts w:hint="eastAsia"/>
                      <w:color w:val="auto"/>
                      <w:sz w:val="18"/>
                      <w:szCs w:val="18"/>
                    </w:rPr>
                    <w:t>计算</w:t>
                  </w:r>
                  <w:r>
                    <w:rPr>
                      <w:rFonts w:hint="eastAsia"/>
                      <w:color w:val="auto"/>
                      <w:sz w:val="18"/>
                      <w:szCs w:val="18"/>
                      <w:lang w:val="en-US" w:eastAsia="zh-CN"/>
                    </w:rPr>
                    <w:t>冷芯盒制芯废气</w:t>
                  </w:r>
                  <w:r>
                    <w:rPr>
                      <w:rFonts w:hint="eastAsia"/>
                      <w:color w:val="auto"/>
                      <w:sz w:val="18"/>
                      <w:szCs w:val="18"/>
                    </w:rPr>
                    <w:t>收集风量为L=V×F×3600=</w:t>
                  </w:r>
                  <w:r>
                    <w:rPr>
                      <w:rFonts w:hint="eastAsia"/>
                      <w:color w:val="auto"/>
                      <w:sz w:val="18"/>
                      <w:szCs w:val="18"/>
                      <w:lang w:val="en-US" w:eastAsia="zh-CN"/>
                    </w:rPr>
                    <w:t>0.1</w:t>
                  </w:r>
                  <w:r>
                    <w:rPr>
                      <w:rFonts w:hint="eastAsia"/>
                      <w:color w:val="auto"/>
                      <w:sz w:val="18"/>
                      <w:szCs w:val="18"/>
                    </w:rPr>
                    <w:t>×</w:t>
                  </w:r>
                  <w:r>
                    <w:rPr>
                      <w:rFonts w:hint="eastAsia"/>
                      <w:color w:val="auto"/>
                      <w:sz w:val="18"/>
                      <w:szCs w:val="18"/>
                      <w:lang w:val="en-US" w:eastAsia="zh-CN"/>
                    </w:rPr>
                    <w:t>0.4</w:t>
                  </w:r>
                  <w:r>
                    <w:rPr>
                      <w:rFonts w:hint="eastAsia"/>
                      <w:color w:val="auto"/>
                      <w:sz w:val="18"/>
                      <w:szCs w:val="18"/>
                    </w:rPr>
                    <w:t>×3600=</w:t>
                  </w:r>
                  <w:r>
                    <w:rPr>
                      <w:rFonts w:hint="eastAsia"/>
                      <w:color w:val="auto"/>
                      <w:sz w:val="18"/>
                      <w:szCs w:val="18"/>
                      <w:lang w:val="en-US" w:eastAsia="zh-CN"/>
                    </w:rPr>
                    <w:t>576</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6D584F0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576</w:t>
                  </w:r>
                </w:p>
              </w:tc>
              <w:tc>
                <w:tcPr>
                  <w:tcW w:w="807" w:type="dxa"/>
                  <w:vMerge w:val="continue"/>
                  <w:tcBorders>
                    <w:right w:val="single" w:color="auto" w:sz="4" w:space="0"/>
                    <w:tl2br w:val="nil"/>
                    <w:tr2bl w:val="nil"/>
                  </w:tcBorders>
                  <w:shd w:val="clear" w:color="auto" w:fill="auto"/>
                  <w:vAlign w:val="center"/>
                </w:tcPr>
                <w:p w14:paraId="63BC924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165F2E1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3A177E1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28E590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208C2A9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树脂砂浇注</w:t>
                  </w:r>
                </w:p>
              </w:tc>
              <w:tc>
                <w:tcPr>
                  <w:tcW w:w="813" w:type="dxa"/>
                  <w:tcBorders>
                    <w:left w:val="single" w:color="auto" w:sz="4" w:space="0"/>
                    <w:right w:val="single" w:color="auto" w:sz="4" w:space="0"/>
                    <w:tl2br w:val="nil"/>
                    <w:tr2bl w:val="nil"/>
                  </w:tcBorders>
                  <w:vAlign w:val="center"/>
                </w:tcPr>
                <w:p w14:paraId="0B50D55C">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集气罩收集</w:t>
                  </w:r>
                </w:p>
              </w:tc>
              <w:tc>
                <w:tcPr>
                  <w:tcW w:w="3574" w:type="dxa"/>
                  <w:tcBorders>
                    <w:left w:val="single" w:color="auto" w:sz="4" w:space="0"/>
                    <w:tl2br w:val="nil"/>
                    <w:tr2bl w:val="nil"/>
                  </w:tcBorders>
                  <w:vAlign w:val="center"/>
                </w:tcPr>
                <w:p w14:paraId="7BD098A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L=3600V</w:t>
                  </w:r>
                  <w:r>
                    <w:rPr>
                      <w:rFonts w:hint="eastAsia"/>
                      <w:color w:val="auto"/>
                      <w:sz w:val="18"/>
                      <w:szCs w:val="18"/>
                      <w:vertAlign w:val="subscript"/>
                    </w:rPr>
                    <w:t>0</w:t>
                  </w:r>
                  <w:r>
                    <w:rPr>
                      <w:rFonts w:hint="eastAsia"/>
                      <w:color w:val="auto"/>
                      <w:sz w:val="18"/>
                      <w:szCs w:val="18"/>
                    </w:rPr>
                    <w:t>F</w:t>
                  </w:r>
                </w:p>
                <w:p w14:paraId="0B987D19">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w:t>
                  </w:r>
                  <w:r>
                    <w:rPr>
                      <w:rFonts w:hint="eastAsia"/>
                      <w:color w:val="auto"/>
                      <w:sz w:val="18"/>
                      <w:szCs w:val="18"/>
                      <w:vertAlign w:val="subscript"/>
                    </w:rPr>
                    <w:t>0</w:t>
                  </w:r>
                  <w:r>
                    <w:rPr>
                      <w:rFonts w:hint="eastAsia"/>
                      <w:color w:val="auto"/>
                      <w:sz w:val="18"/>
                      <w:szCs w:val="18"/>
                    </w:rPr>
                    <w:t>—罩口平均风速（m/s），项目取</w:t>
                  </w:r>
                  <w:r>
                    <w:rPr>
                      <w:rFonts w:hint="eastAsia"/>
                      <w:color w:val="auto"/>
                      <w:sz w:val="18"/>
                      <w:szCs w:val="18"/>
                      <w:lang w:val="en-US" w:eastAsia="zh-CN"/>
                    </w:rPr>
                    <w:t>1.2</w:t>
                  </w:r>
                  <w:r>
                    <w:rPr>
                      <w:rFonts w:hint="eastAsia"/>
                      <w:color w:val="auto"/>
                      <w:sz w:val="18"/>
                      <w:szCs w:val="18"/>
                    </w:rPr>
                    <w:t>m/s；</w:t>
                  </w:r>
                </w:p>
                <w:p w14:paraId="65932499">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eastAsia="宋体"/>
                      <w:color w:val="auto"/>
                      <w:sz w:val="18"/>
                      <w:szCs w:val="18"/>
                      <w:lang w:eastAsia="zh-CN"/>
                    </w:rPr>
                  </w:pPr>
                  <w:r>
                    <w:rPr>
                      <w:rFonts w:hint="eastAsia"/>
                      <w:color w:val="auto"/>
                      <w:sz w:val="18"/>
                      <w:szCs w:val="18"/>
                    </w:rPr>
                    <w:t>F—罩口面积（m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w:t>
                  </w:r>
                </w:p>
                <w:p w14:paraId="400349D1">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color w:val="auto"/>
                      <w:sz w:val="18"/>
                      <w:szCs w:val="18"/>
                    </w:rPr>
                  </w:pPr>
                  <w:r>
                    <w:rPr>
                      <w:rFonts w:hint="eastAsia"/>
                      <w:color w:val="auto"/>
                      <w:sz w:val="18"/>
                      <w:szCs w:val="18"/>
                    </w:rPr>
                    <w:t>项目</w:t>
                  </w:r>
                  <w:r>
                    <w:rPr>
                      <w:rFonts w:hint="eastAsia"/>
                      <w:color w:val="auto"/>
                      <w:sz w:val="18"/>
                      <w:szCs w:val="18"/>
                      <w:lang w:val="en-US" w:eastAsia="zh-CN"/>
                    </w:rPr>
                    <w:t>树脂砂浇注废气</w:t>
                  </w:r>
                  <w:r>
                    <w:rPr>
                      <w:rFonts w:hint="eastAsia"/>
                      <w:color w:val="auto"/>
                      <w:sz w:val="18"/>
                      <w:szCs w:val="18"/>
                    </w:rPr>
                    <w:t>采用矩形集气罩，</w:t>
                  </w:r>
                  <w:r>
                    <w:rPr>
                      <w:rFonts w:hint="eastAsia"/>
                      <w:color w:val="auto"/>
                      <w:sz w:val="18"/>
                      <w:szCs w:val="18"/>
                      <w:lang w:val="en-US" w:eastAsia="zh-CN"/>
                    </w:rPr>
                    <w:t>浇筑区2个，</w:t>
                  </w:r>
                  <w:r>
                    <w:rPr>
                      <w:rFonts w:hint="eastAsia"/>
                      <w:color w:val="auto"/>
                      <w:sz w:val="18"/>
                      <w:szCs w:val="18"/>
                    </w:rPr>
                    <w:t>大小</w:t>
                  </w:r>
                  <w:r>
                    <w:rPr>
                      <w:rFonts w:hint="eastAsia"/>
                      <w:color w:val="auto"/>
                      <w:sz w:val="18"/>
                      <w:szCs w:val="18"/>
                      <w:lang w:val="en-US" w:eastAsia="zh-CN"/>
                    </w:rPr>
                    <w:t>均</w:t>
                  </w:r>
                  <w:r>
                    <w:rPr>
                      <w:rFonts w:hint="eastAsia"/>
                      <w:color w:val="auto"/>
                      <w:sz w:val="18"/>
                      <w:szCs w:val="18"/>
                    </w:rPr>
                    <w:t>为</w:t>
                  </w:r>
                  <w:r>
                    <w:rPr>
                      <w:rFonts w:hint="eastAsia"/>
                      <w:color w:val="auto"/>
                      <w:sz w:val="18"/>
                      <w:szCs w:val="18"/>
                      <w:lang w:val="en-US" w:eastAsia="zh-CN"/>
                    </w:rPr>
                    <w:t>1.2</w:t>
                  </w:r>
                  <w:r>
                    <w:rPr>
                      <w:rFonts w:hint="eastAsia"/>
                      <w:color w:val="auto"/>
                      <w:sz w:val="18"/>
                      <w:szCs w:val="18"/>
                    </w:rPr>
                    <w:t>m×</w:t>
                  </w:r>
                  <w:r>
                    <w:rPr>
                      <w:rFonts w:hint="eastAsia"/>
                      <w:color w:val="auto"/>
                      <w:sz w:val="18"/>
                      <w:szCs w:val="18"/>
                      <w:lang w:val="en-US" w:eastAsia="zh-CN"/>
                    </w:rPr>
                    <w:t>2.2</w:t>
                  </w:r>
                  <w:r>
                    <w:rPr>
                      <w:rFonts w:hint="eastAsia"/>
                      <w:color w:val="auto"/>
                      <w:sz w:val="18"/>
                      <w:szCs w:val="18"/>
                    </w:rPr>
                    <w:t>m，罩口四边敞开，计算得：L=V</w:t>
                  </w:r>
                  <w:r>
                    <w:rPr>
                      <w:rFonts w:hint="eastAsia"/>
                      <w:color w:val="auto"/>
                      <w:sz w:val="18"/>
                      <w:szCs w:val="18"/>
                      <w:vertAlign w:val="subscript"/>
                    </w:rPr>
                    <w:t>0</w:t>
                  </w:r>
                  <w:r>
                    <w:rPr>
                      <w:rFonts w:hint="eastAsia"/>
                      <w:color w:val="auto"/>
                      <w:sz w:val="18"/>
                      <w:szCs w:val="18"/>
                    </w:rPr>
                    <w:t>×F×3600=</w:t>
                  </w:r>
                  <w:r>
                    <w:rPr>
                      <w:rFonts w:hint="eastAsia"/>
                      <w:color w:val="auto"/>
                      <w:sz w:val="18"/>
                      <w:szCs w:val="18"/>
                      <w:lang w:val="en-US" w:eastAsia="zh-CN"/>
                    </w:rPr>
                    <w:t>1.2</w:t>
                  </w:r>
                  <w:r>
                    <w:rPr>
                      <w:rFonts w:hint="eastAsia"/>
                      <w:color w:val="auto"/>
                      <w:sz w:val="18"/>
                      <w:szCs w:val="18"/>
                    </w:rPr>
                    <w:t>×</w:t>
                  </w:r>
                  <w:r>
                    <w:rPr>
                      <w:rFonts w:hint="eastAsia"/>
                      <w:color w:val="auto"/>
                      <w:sz w:val="18"/>
                      <w:szCs w:val="18"/>
                      <w:lang w:val="en-US" w:eastAsia="zh-CN"/>
                    </w:rPr>
                    <w:t>5.28</w:t>
                  </w:r>
                  <w:r>
                    <w:rPr>
                      <w:rFonts w:hint="eastAsia"/>
                      <w:color w:val="auto"/>
                      <w:sz w:val="18"/>
                      <w:szCs w:val="18"/>
                    </w:rPr>
                    <w:t>×3600=</w:t>
                  </w:r>
                  <w:r>
                    <w:rPr>
                      <w:rFonts w:hint="eastAsia"/>
                      <w:color w:val="auto"/>
                      <w:sz w:val="18"/>
                      <w:szCs w:val="18"/>
                      <w:lang w:val="en-US" w:eastAsia="zh-CN"/>
                    </w:rPr>
                    <w:t>25920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425397D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22809.6</w:t>
                  </w:r>
                </w:p>
              </w:tc>
              <w:tc>
                <w:tcPr>
                  <w:tcW w:w="807" w:type="dxa"/>
                  <w:vMerge w:val="continue"/>
                  <w:tcBorders>
                    <w:right w:val="single" w:color="auto" w:sz="4" w:space="0"/>
                    <w:tl2br w:val="nil"/>
                    <w:tr2bl w:val="nil"/>
                  </w:tcBorders>
                  <w:shd w:val="clear" w:color="auto" w:fill="auto"/>
                  <w:vAlign w:val="center"/>
                </w:tcPr>
                <w:p w14:paraId="71E3C302">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0C8453DE">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48253212">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69F428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3708236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树脂砂造型</w:t>
                  </w:r>
                </w:p>
              </w:tc>
              <w:tc>
                <w:tcPr>
                  <w:tcW w:w="813" w:type="dxa"/>
                  <w:tcBorders>
                    <w:left w:val="single" w:color="auto" w:sz="4" w:space="0"/>
                    <w:right w:val="single" w:color="auto" w:sz="4" w:space="0"/>
                    <w:tl2br w:val="nil"/>
                    <w:tr2bl w:val="nil"/>
                  </w:tcBorders>
                  <w:vAlign w:val="center"/>
                </w:tcPr>
                <w:p w14:paraId="39245B1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18"/>
                      <w:szCs w:val="18"/>
                      <w:lang w:val="en-US"/>
                    </w:rPr>
                  </w:pPr>
                  <w:r>
                    <w:rPr>
                      <w:rFonts w:hint="eastAsia"/>
                      <w:color w:val="auto"/>
                      <w:sz w:val="18"/>
                      <w:szCs w:val="18"/>
                      <w:lang w:val="en-US" w:eastAsia="zh-CN"/>
                    </w:rPr>
                    <w:t>集气罩收集</w:t>
                  </w:r>
                </w:p>
              </w:tc>
              <w:tc>
                <w:tcPr>
                  <w:tcW w:w="3574" w:type="dxa"/>
                  <w:tcBorders>
                    <w:left w:val="single" w:color="auto" w:sz="4" w:space="0"/>
                    <w:tl2br w:val="nil"/>
                    <w:tr2bl w:val="nil"/>
                  </w:tcBorders>
                  <w:vAlign w:val="center"/>
                </w:tcPr>
                <w:p w14:paraId="299A560A">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L=3600V</w:t>
                  </w:r>
                  <w:r>
                    <w:rPr>
                      <w:rFonts w:hint="eastAsia"/>
                      <w:color w:val="auto"/>
                      <w:sz w:val="18"/>
                      <w:szCs w:val="18"/>
                      <w:vertAlign w:val="subscript"/>
                    </w:rPr>
                    <w:t>0</w:t>
                  </w:r>
                  <w:r>
                    <w:rPr>
                      <w:rFonts w:hint="eastAsia"/>
                      <w:color w:val="auto"/>
                      <w:sz w:val="18"/>
                      <w:szCs w:val="18"/>
                    </w:rPr>
                    <w:t>F</w:t>
                  </w:r>
                </w:p>
                <w:p w14:paraId="1EF5C42E">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w:t>
                  </w:r>
                  <w:r>
                    <w:rPr>
                      <w:rFonts w:hint="eastAsia"/>
                      <w:color w:val="auto"/>
                      <w:sz w:val="18"/>
                      <w:szCs w:val="18"/>
                      <w:vertAlign w:val="subscript"/>
                    </w:rPr>
                    <w:t>0</w:t>
                  </w:r>
                  <w:r>
                    <w:rPr>
                      <w:rFonts w:hint="eastAsia"/>
                      <w:color w:val="auto"/>
                      <w:sz w:val="18"/>
                      <w:szCs w:val="18"/>
                    </w:rPr>
                    <w:t>—罩口平均风速（m/s），项目取</w:t>
                  </w:r>
                  <w:r>
                    <w:rPr>
                      <w:rFonts w:hint="eastAsia"/>
                      <w:color w:val="auto"/>
                      <w:sz w:val="18"/>
                      <w:szCs w:val="18"/>
                      <w:lang w:val="en-US" w:eastAsia="zh-CN"/>
                    </w:rPr>
                    <w:t>1.0</w:t>
                  </w:r>
                  <w:r>
                    <w:rPr>
                      <w:rFonts w:hint="eastAsia"/>
                      <w:color w:val="auto"/>
                      <w:sz w:val="18"/>
                      <w:szCs w:val="18"/>
                    </w:rPr>
                    <w:t>m/s；</w:t>
                  </w:r>
                </w:p>
                <w:p w14:paraId="300AE925">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eastAsia="宋体"/>
                      <w:color w:val="auto"/>
                      <w:sz w:val="18"/>
                      <w:szCs w:val="18"/>
                      <w:lang w:eastAsia="zh-CN"/>
                    </w:rPr>
                  </w:pPr>
                  <w:r>
                    <w:rPr>
                      <w:rFonts w:hint="eastAsia"/>
                      <w:color w:val="auto"/>
                      <w:sz w:val="18"/>
                      <w:szCs w:val="18"/>
                    </w:rPr>
                    <w:t>F—罩口面积（m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w:t>
                  </w:r>
                </w:p>
                <w:p w14:paraId="6ADA2EFA">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color w:val="auto"/>
                      <w:sz w:val="18"/>
                      <w:szCs w:val="18"/>
                      <w:lang w:val="en-US"/>
                    </w:rPr>
                  </w:pPr>
                  <w:r>
                    <w:rPr>
                      <w:rFonts w:hint="eastAsia"/>
                      <w:color w:val="auto"/>
                      <w:sz w:val="18"/>
                      <w:szCs w:val="18"/>
                    </w:rPr>
                    <w:t>项目</w:t>
                  </w:r>
                  <w:r>
                    <w:rPr>
                      <w:rFonts w:hint="eastAsia"/>
                      <w:color w:val="auto"/>
                      <w:sz w:val="18"/>
                      <w:szCs w:val="18"/>
                      <w:lang w:val="en-US" w:eastAsia="zh-CN"/>
                    </w:rPr>
                    <w:t>树脂砂造型废气</w:t>
                  </w:r>
                  <w:r>
                    <w:rPr>
                      <w:rFonts w:hint="eastAsia"/>
                      <w:color w:val="auto"/>
                      <w:sz w:val="18"/>
                      <w:szCs w:val="18"/>
                    </w:rPr>
                    <w:t>采用</w:t>
                  </w:r>
                  <w:r>
                    <w:rPr>
                      <w:rFonts w:hint="eastAsia"/>
                      <w:color w:val="auto"/>
                      <w:sz w:val="18"/>
                      <w:szCs w:val="18"/>
                      <w:lang w:val="en-US" w:eastAsia="zh-CN"/>
                    </w:rPr>
                    <w:t>圆形</w:t>
                  </w:r>
                  <w:r>
                    <w:rPr>
                      <w:rFonts w:hint="eastAsia"/>
                      <w:color w:val="auto"/>
                      <w:sz w:val="18"/>
                      <w:szCs w:val="18"/>
                    </w:rPr>
                    <w:t>集气罩，</w:t>
                  </w:r>
                  <w:r>
                    <w:rPr>
                      <w:rFonts w:hint="eastAsia"/>
                      <w:color w:val="auto"/>
                      <w:sz w:val="18"/>
                      <w:szCs w:val="18"/>
                      <w:lang w:val="en-US" w:eastAsia="zh-CN"/>
                    </w:rPr>
                    <w:t>造型设备5台，集气罩口直径0.3</w:t>
                  </w:r>
                  <w:r>
                    <w:rPr>
                      <w:rFonts w:hint="eastAsia"/>
                      <w:color w:val="auto"/>
                      <w:sz w:val="18"/>
                      <w:szCs w:val="18"/>
                    </w:rPr>
                    <w:t>m，罩口</w:t>
                  </w:r>
                  <w:r>
                    <w:rPr>
                      <w:rFonts w:hint="eastAsia"/>
                      <w:color w:val="auto"/>
                      <w:sz w:val="18"/>
                      <w:szCs w:val="18"/>
                      <w:lang w:val="en-US" w:eastAsia="zh-CN"/>
                    </w:rPr>
                    <w:t>紧贴造型设备</w:t>
                  </w:r>
                  <w:r>
                    <w:rPr>
                      <w:rFonts w:hint="eastAsia"/>
                      <w:color w:val="auto"/>
                      <w:sz w:val="18"/>
                      <w:szCs w:val="18"/>
                    </w:rPr>
                    <w:t>，计算得：L=V</w:t>
                  </w:r>
                  <w:r>
                    <w:rPr>
                      <w:rFonts w:hint="eastAsia"/>
                      <w:color w:val="auto"/>
                      <w:sz w:val="18"/>
                      <w:szCs w:val="18"/>
                      <w:vertAlign w:val="subscript"/>
                    </w:rPr>
                    <w:t>0</w:t>
                  </w:r>
                  <w:r>
                    <w:rPr>
                      <w:rFonts w:hint="eastAsia"/>
                      <w:color w:val="auto"/>
                      <w:sz w:val="18"/>
                      <w:szCs w:val="18"/>
                    </w:rPr>
                    <w:t>×F×3600=</w:t>
                  </w:r>
                  <w:r>
                    <w:rPr>
                      <w:rFonts w:hint="eastAsia"/>
                      <w:color w:val="auto"/>
                      <w:sz w:val="18"/>
                      <w:szCs w:val="18"/>
                      <w:lang w:val="en-US" w:eastAsia="zh-CN"/>
                    </w:rPr>
                    <w:t>1.0</w:t>
                  </w:r>
                  <w:r>
                    <w:rPr>
                      <w:rFonts w:hint="eastAsia"/>
                      <w:color w:val="auto"/>
                      <w:sz w:val="18"/>
                      <w:szCs w:val="18"/>
                    </w:rPr>
                    <w:t>×</w:t>
                  </w:r>
                  <w:r>
                    <w:rPr>
                      <w:rFonts w:hint="eastAsia"/>
                      <w:color w:val="auto"/>
                      <w:sz w:val="18"/>
                      <w:szCs w:val="18"/>
                      <w:lang w:val="en-US" w:eastAsia="zh-CN"/>
                    </w:rPr>
                    <w:t>（0.15</w:t>
                  </w:r>
                  <w:r>
                    <w:rPr>
                      <w:rFonts w:hint="eastAsia"/>
                      <w:color w:val="auto"/>
                      <w:sz w:val="18"/>
                      <w:szCs w:val="18"/>
                      <w:vertAlign w:val="superscript"/>
                      <w:lang w:val="en-US" w:eastAsia="zh-CN"/>
                    </w:rPr>
                    <w:t>2</w:t>
                  </w:r>
                  <w:r>
                    <w:rPr>
                      <w:rFonts w:hint="eastAsia"/>
                      <w:color w:val="auto"/>
                      <w:sz w:val="18"/>
                      <w:szCs w:val="18"/>
                    </w:rPr>
                    <w:t>×</w:t>
                  </w:r>
                  <w:r>
                    <w:rPr>
                      <w:rFonts w:hint="eastAsia"/>
                      <w:color w:val="auto"/>
                      <w:sz w:val="18"/>
                      <w:szCs w:val="18"/>
                      <w:lang w:val="en-US" w:eastAsia="zh-CN"/>
                    </w:rPr>
                    <w:t>3.14</w:t>
                  </w:r>
                  <w:r>
                    <w:rPr>
                      <w:rFonts w:hint="eastAsia"/>
                      <w:color w:val="auto"/>
                      <w:sz w:val="18"/>
                      <w:szCs w:val="18"/>
                    </w:rPr>
                    <w:t>×</w:t>
                  </w:r>
                  <w:r>
                    <w:rPr>
                      <w:rFonts w:hint="eastAsia"/>
                      <w:color w:val="auto"/>
                      <w:sz w:val="18"/>
                      <w:szCs w:val="18"/>
                      <w:lang w:val="en-US" w:eastAsia="zh-CN"/>
                    </w:rPr>
                    <w:t>5）</w:t>
                  </w:r>
                  <w:r>
                    <w:rPr>
                      <w:rFonts w:hint="eastAsia"/>
                      <w:color w:val="auto"/>
                      <w:sz w:val="18"/>
                      <w:szCs w:val="18"/>
                    </w:rPr>
                    <w:t>×3600=</w:t>
                  </w:r>
                  <w:r>
                    <w:rPr>
                      <w:rFonts w:hint="eastAsia"/>
                      <w:color w:val="auto"/>
                      <w:sz w:val="18"/>
                      <w:szCs w:val="18"/>
                      <w:lang w:val="en-US" w:eastAsia="zh-CN"/>
                    </w:rPr>
                    <w:t>3052.08</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0E05DB7F">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1271.7</w:t>
                  </w:r>
                </w:p>
              </w:tc>
              <w:tc>
                <w:tcPr>
                  <w:tcW w:w="807" w:type="dxa"/>
                  <w:vMerge w:val="continue"/>
                  <w:tcBorders>
                    <w:right w:val="single" w:color="auto" w:sz="4" w:space="0"/>
                    <w:tl2br w:val="nil"/>
                    <w:tr2bl w:val="nil"/>
                  </w:tcBorders>
                  <w:shd w:val="clear" w:color="auto" w:fill="auto"/>
                  <w:vAlign w:val="center"/>
                </w:tcPr>
                <w:p w14:paraId="42DAE01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0E43A95E">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7C5EF4C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4F1ABF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vAlign w:val="center"/>
                </w:tcPr>
                <w:p w14:paraId="2651C31C">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default" w:ascii="Times New Roman" w:hAnsi="Times New Roman" w:cs="Times New Roman"/>
                      <w:color w:val="auto"/>
                      <w:sz w:val="18"/>
                      <w:szCs w:val="18"/>
                      <w:highlight w:val="none"/>
                      <w:lang w:val="en-US" w:eastAsia="zh-CN"/>
                    </w:rPr>
                    <w:t>蜡模组树</w:t>
                  </w:r>
                </w:p>
              </w:tc>
              <w:tc>
                <w:tcPr>
                  <w:tcW w:w="813" w:type="dxa"/>
                  <w:tcBorders>
                    <w:left w:val="single" w:color="auto" w:sz="4" w:space="0"/>
                    <w:right w:val="single" w:color="auto" w:sz="4" w:space="0"/>
                    <w:tl2br w:val="nil"/>
                    <w:tr2bl w:val="nil"/>
                  </w:tcBorders>
                  <w:vAlign w:val="center"/>
                </w:tcPr>
                <w:p w14:paraId="649DBFB9">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集气罩收集</w:t>
                  </w:r>
                </w:p>
              </w:tc>
              <w:tc>
                <w:tcPr>
                  <w:tcW w:w="3574" w:type="dxa"/>
                  <w:tcBorders>
                    <w:left w:val="single" w:color="auto" w:sz="4" w:space="0"/>
                    <w:tl2br w:val="nil"/>
                    <w:tr2bl w:val="nil"/>
                  </w:tcBorders>
                  <w:vAlign w:val="center"/>
                </w:tcPr>
                <w:p w14:paraId="6541122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L=3600V</w:t>
                  </w:r>
                  <w:r>
                    <w:rPr>
                      <w:rFonts w:hint="eastAsia"/>
                      <w:color w:val="auto"/>
                      <w:sz w:val="18"/>
                      <w:szCs w:val="18"/>
                      <w:vertAlign w:val="subscript"/>
                    </w:rPr>
                    <w:t>0</w:t>
                  </w:r>
                  <w:r>
                    <w:rPr>
                      <w:rFonts w:hint="eastAsia"/>
                      <w:color w:val="auto"/>
                      <w:sz w:val="18"/>
                      <w:szCs w:val="18"/>
                    </w:rPr>
                    <w:t>F</w:t>
                  </w:r>
                </w:p>
                <w:p w14:paraId="5EC6FC1C">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w:t>
                  </w:r>
                  <w:r>
                    <w:rPr>
                      <w:rFonts w:hint="eastAsia"/>
                      <w:color w:val="auto"/>
                      <w:sz w:val="18"/>
                      <w:szCs w:val="18"/>
                      <w:vertAlign w:val="subscript"/>
                    </w:rPr>
                    <w:t>0</w:t>
                  </w:r>
                  <w:r>
                    <w:rPr>
                      <w:rFonts w:hint="eastAsia"/>
                      <w:color w:val="auto"/>
                      <w:sz w:val="18"/>
                      <w:szCs w:val="18"/>
                    </w:rPr>
                    <w:t>—罩口平均风速（m/s），项目取</w:t>
                  </w:r>
                  <w:r>
                    <w:rPr>
                      <w:rFonts w:hint="eastAsia"/>
                      <w:color w:val="auto"/>
                      <w:sz w:val="18"/>
                      <w:szCs w:val="18"/>
                      <w:lang w:val="en-US" w:eastAsia="zh-CN"/>
                    </w:rPr>
                    <w:t>1.0</w:t>
                  </w:r>
                  <w:r>
                    <w:rPr>
                      <w:rFonts w:hint="eastAsia"/>
                      <w:color w:val="auto"/>
                      <w:sz w:val="18"/>
                      <w:szCs w:val="18"/>
                    </w:rPr>
                    <w:t>m/s；</w:t>
                  </w:r>
                </w:p>
                <w:p w14:paraId="5D855EF5">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eastAsia="宋体"/>
                      <w:color w:val="auto"/>
                      <w:sz w:val="18"/>
                      <w:szCs w:val="18"/>
                      <w:lang w:eastAsia="zh-CN"/>
                    </w:rPr>
                  </w:pPr>
                  <w:r>
                    <w:rPr>
                      <w:rFonts w:hint="eastAsia"/>
                      <w:color w:val="auto"/>
                      <w:sz w:val="18"/>
                      <w:szCs w:val="18"/>
                    </w:rPr>
                    <w:t>F—罩口面积（m</w:t>
                  </w:r>
                  <w:r>
                    <w:rPr>
                      <w:rFonts w:hint="eastAsia"/>
                      <w:color w:val="auto"/>
                      <w:sz w:val="18"/>
                      <w:szCs w:val="18"/>
                      <w:vertAlign w:val="superscript"/>
                    </w:rPr>
                    <w:t>2</w:t>
                  </w:r>
                  <w:r>
                    <w:rPr>
                      <w:rFonts w:hint="eastAsia"/>
                      <w:color w:val="auto"/>
                      <w:sz w:val="18"/>
                      <w:szCs w:val="18"/>
                    </w:rPr>
                    <w:t>）</w:t>
                  </w:r>
                  <w:r>
                    <w:rPr>
                      <w:rFonts w:hint="eastAsia"/>
                      <w:color w:val="auto"/>
                      <w:sz w:val="18"/>
                      <w:szCs w:val="18"/>
                      <w:lang w:eastAsia="zh-CN"/>
                    </w:rPr>
                    <w:t>。</w:t>
                  </w:r>
                </w:p>
                <w:p w14:paraId="729862C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color w:val="auto"/>
                      <w:sz w:val="18"/>
                      <w:szCs w:val="18"/>
                    </w:rPr>
                  </w:pPr>
                  <w:r>
                    <w:rPr>
                      <w:rFonts w:hint="eastAsia"/>
                      <w:color w:val="auto"/>
                      <w:sz w:val="18"/>
                      <w:szCs w:val="18"/>
                    </w:rPr>
                    <w:t>项目</w:t>
                  </w:r>
                  <w:r>
                    <w:rPr>
                      <w:rFonts w:hint="eastAsia"/>
                      <w:color w:val="auto"/>
                      <w:sz w:val="18"/>
                      <w:szCs w:val="18"/>
                      <w:lang w:val="en-US" w:eastAsia="zh-CN"/>
                    </w:rPr>
                    <w:t>蜡模组树废气</w:t>
                  </w:r>
                  <w:r>
                    <w:rPr>
                      <w:rFonts w:hint="eastAsia"/>
                      <w:color w:val="auto"/>
                      <w:sz w:val="18"/>
                      <w:szCs w:val="18"/>
                    </w:rPr>
                    <w:t>采用</w:t>
                  </w:r>
                  <w:r>
                    <w:rPr>
                      <w:rFonts w:hint="eastAsia"/>
                      <w:color w:val="auto"/>
                      <w:sz w:val="18"/>
                      <w:szCs w:val="18"/>
                      <w:lang w:val="en-US" w:eastAsia="zh-CN"/>
                    </w:rPr>
                    <w:t>矩形</w:t>
                  </w:r>
                  <w:r>
                    <w:rPr>
                      <w:rFonts w:hint="eastAsia"/>
                      <w:color w:val="auto"/>
                      <w:sz w:val="18"/>
                      <w:szCs w:val="18"/>
                    </w:rPr>
                    <w:t>集气罩，</w:t>
                  </w:r>
                  <w:r>
                    <w:rPr>
                      <w:rFonts w:hint="eastAsia"/>
                      <w:color w:val="auto"/>
                      <w:sz w:val="18"/>
                      <w:szCs w:val="18"/>
                      <w:lang w:val="en-US" w:eastAsia="zh-CN"/>
                    </w:rPr>
                    <w:t>设1个蜡模组树区，集气罩长1.5</w:t>
                  </w:r>
                  <w:r>
                    <w:rPr>
                      <w:rFonts w:hint="eastAsia"/>
                      <w:color w:val="auto"/>
                      <w:sz w:val="18"/>
                      <w:szCs w:val="18"/>
                    </w:rPr>
                    <w:t>m，</w:t>
                  </w:r>
                  <w:r>
                    <w:rPr>
                      <w:rFonts w:hint="eastAsia"/>
                      <w:color w:val="auto"/>
                      <w:sz w:val="18"/>
                      <w:szCs w:val="18"/>
                      <w:lang w:val="en-US" w:eastAsia="zh-CN"/>
                    </w:rPr>
                    <w:t>宽0.8m，</w:t>
                  </w:r>
                  <w:r>
                    <w:rPr>
                      <w:rFonts w:hint="eastAsia"/>
                      <w:color w:val="auto"/>
                      <w:sz w:val="18"/>
                      <w:szCs w:val="18"/>
                    </w:rPr>
                    <w:t>计算得：L=V</w:t>
                  </w:r>
                  <w:r>
                    <w:rPr>
                      <w:rFonts w:hint="eastAsia"/>
                      <w:color w:val="auto"/>
                      <w:sz w:val="18"/>
                      <w:szCs w:val="18"/>
                      <w:vertAlign w:val="subscript"/>
                    </w:rPr>
                    <w:t>0</w:t>
                  </w:r>
                  <w:r>
                    <w:rPr>
                      <w:rFonts w:hint="eastAsia"/>
                      <w:color w:val="auto"/>
                      <w:sz w:val="18"/>
                      <w:szCs w:val="18"/>
                    </w:rPr>
                    <w:t>×F×3600=</w:t>
                  </w:r>
                  <w:r>
                    <w:rPr>
                      <w:rFonts w:hint="eastAsia"/>
                      <w:color w:val="auto"/>
                      <w:sz w:val="18"/>
                      <w:szCs w:val="18"/>
                      <w:lang w:val="en-US" w:eastAsia="zh-CN"/>
                    </w:rPr>
                    <w:t>1.0</w:t>
                  </w:r>
                  <w:r>
                    <w:rPr>
                      <w:rFonts w:hint="eastAsia"/>
                      <w:color w:val="auto"/>
                      <w:sz w:val="18"/>
                      <w:szCs w:val="18"/>
                    </w:rPr>
                    <w:t>×</w:t>
                  </w:r>
                  <w:r>
                    <w:rPr>
                      <w:rFonts w:hint="eastAsia"/>
                      <w:color w:val="auto"/>
                      <w:sz w:val="18"/>
                      <w:szCs w:val="18"/>
                      <w:lang w:val="en-US" w:eastAsia="zh-CN"/>
                    </w:rPr>
                    <w:t>（1.5</w:t>
                  </w:r>
                  <w:r>
                    <w:rPr>
                      <w:rFonts w:hint="eastAsia"/>
                      <w:color w:val="auto"/>
                      <w:sz w:val="18"/>
                      <w:szCs w:val="18"/>
                    </w:rPr>
                    <w:t>×</w:t>
                  </w:r>
                  <w:r>
                    <w:rPr>
                      <w:rFonts w:hint="eastAsia"/>
                      <w:color w:val="auto"/>
                      <w:sz w:val="18"/>
                      <w:szCs w:val="18"/>
                      <w:lang w:val="en-US" w:eastAsia="zh-CN"/>
                    </w:rPr>
                    <w:t>0.8）</w:t>
                  </w:r>
                  <w:r>
                    <w:rPr>
                      <w:rFonts w:hint="eastAsia"/>
                      <w:color w:val="auto"/>
                      <w:sz w:val="18"/>
                      <w:szCs w:val="18"/>
                    </w:rPr>
                    <w:t>×3600=</w:t>
                  </w:r>
                  <w:r>
                    <w:rPr>
                      <w:rFonts w:hint="eastAsia"/>
                      <w:color w:val="auto"/>
                      <w:sz w:val="18"/>
                      <w:szCs w:val="18"/>
                      <w:lang w:val="en-US" w:eastAsia="zh-CN"/>
                    </w:rPr>
                    <w:t>4320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6029B6E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4320</w:t>
                  </w:r>
                </w:p>
              </w:tc>
              <w:tc>
                <w:tcPr>
                  <w:tcW w:w="807" w:type="dxa"/>
                  <w:tcBorders>
                    <w:right w:val="single" w:color="auto" w:sz="4" w:space="0"/>
                    <w:tl2br w:val="nil"/>
                    <w:tr2bl w:val="nil"/>
                  </w:tcBorders>
                  <w:shd w:val="clear" w:color="auto" w:fill="auto"/>
                  <w:vAlign w:val="center"/>
                </w:tcPr>
                <w:p w14:paraId="54EF609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5000</w:t>
                  </w:r>
                </w:p>
              </w:tc>
              <w:tc>
                <w:tcPr>
                  <w:tcW w:w="870" w:type="dxa"/>
                  <w:tcBorders>
                    <w:left w:val="single" w:color="auto" w:sz="4" w:space="0"/>
                    <w:tl2br w:val="nil"/>
                    <w:tr2bl w:val="nil"/>
                  </w:tcBorders>
                  <w:shd w:val="clear" w:color="auto" w:fill="auto"/>
                  <w:vAlign w:val="center"/>
                </w:tcPr>
                <w:p w14:paraId="36C42E1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活性炭吸附</w:t>
                  </w:r>
                </w:p>
              </w:tc>
              <w:tc>
                <w:tcPr>
                  <w:tcW w:w="629" w:type="dxa"/>
                  <w:tcBorders>
                    <w:tl2br w:val="nil"/>
                    <w:tr2bl w:val="nil"/>
                  </w:tcBorders>
                  <w:vAlign w:val="center"/>
                </w:tcPr>
                <w:p w14:paraId="7D9AA197">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DA003</w:t>
                  </w:r>
                </w:p>
              </w:tc>
            </w:tr>
            <w:tr w14:paraId="7FC6C6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155000E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脱蜡</w:t>
                  </w:r>
                </w:p>
              </w:tc>
              <w:tc>
                <w:tcPr>
                  <w:tcW w:w="813" w:type="dxa"/>
                  <w:tcBorders>
                    <w:left w:val="single" w:color="auto" w:sz="4" w:space="0"/>
                    <w:right w:val="single" w:color="auto" w:sz="4" w:space="0"/>
                    <w:tl2br w:val="nil"/>
                    <w:tr2bl w:val="nil"/>
                  </w:tcBorders>
                  <w:vAlign w:val="center"/>
                </w:tcPr>
                <w:p w14:paraId="7F633D5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cs="宋体"/>
                      <w:color w:val="auto"/>
                      <w:kern w:val="0"/>
                      <w:sz w:val="18"/>
                      <w:szCs w:val="18"/>
                      <w:lang w:val="en-US" w:eastAsia="zh-CN" w:bidi="ar"/>
                    </w:rPr>
                  </w:pPr>
                  <w:r>
                    <w:rPr>
                      <w:rFonts w:hint="eastAsia"/>
                      <w:color w:val="auto"/>
                      <w:sz w:val="18"/>
                      <w:szCs w:val="18"/>
                      <w:lang w:val="en-US" w:eastAsia="zh-CN"/>
                    </w:rPr>
                    <w:t>密闭收集</w:t>
                  </w:r>
                </w:p>
              </w:tc>
              <w:tc>
                <w:tcPr>
                  <w:tcW w:w="3574" w:type="dxa"/>
                  <w:tcBorders>
                    <w:left w:val="single" w:color="auto" w:sz="4" w:space="0"/>
                    <w:tl2br w:val="nil"/>
                    <w:tr2bl w:val="nil"/>
                  </w:tcBorders>
                  <w:vAlign w:val="center"/>
                </w:tcPr>
                <w:p w14:paraId="081744DD">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lang w:val="en-US" w:eastAsia="zh-CN"/>
                    </w:rPr>
                    <w:t>脱蜡机设备密闭，</w:t>
                  </w:r>
                  <w:r>
                    <w:rPr>
                      <w:rFonts w:hint="eastAsia"/>
                      <w:color w:val="auto"/>
                      <w:sz w:val="18"/>
                      <w:szCs w:val="18"/>
                    </w:rPr>
                    <w:t>按照密闭罩的计算方法粗略核算。</w:t>
                  </w:r>
                </w:p>
                <w:p w14:paraId="6C6D038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废气收集情况按截面风速计算：L=3600Fv。</w:t>
                  </w:r>
                </w:p>
                <w:p w14:paraId="671C9000">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F—密闭罩横截面积，m</w:t>
                  </w:r>
                  <w:r>
                    <w:rPr>
                      <w:rFonts w:hint="eastAsia"/>
                      <w:color w:val="auto"/>
                      <w:sz w:val="18"/>
                      <w:szCs w:val="18"/>
                      <w:vertAlign w:val="superscript"/>
                    </w:rPr>
                    <w:t>2</w:t>
                  </w:r>
                  <w:r>
                    <w:rPr>
                      <w:rFonts w:hint="eastAsia"/>
                      <w:color w:val="auto"/>
                      <w:sz w:val="18"/>
                      <w:szCs w:val="18"/>
                    </w:rPr>
                    <w:t>。本项目</w:t>
                  </w:r>
                  <w:r>
                    <w:rPr>
                      <w:rFonts w:hint="eastAsia"/>
                      <w:color w:val="auto"/>
                      <w:sz w:val="18"/>
                      <w:szCs w:val="18"/>
                      <w:lang w:val="en-US" w:eastAsia="zh-CN"/>
                    </w:rPr>
                    <w:t>脱蜡机产气点</w:t>
                  </w:r>
                  <w:r>
                    <w:rPr>
                      <w:rFonts w:hint="eastAsia"/>
                      <w:color w:val="auto"/>
                      <w:sz w:val="18"/>
                      <w:szCs w:val="18"/>
                    </w:rPr>
                    <w:t>面积</w:t>
                  </w:r>
                  <w:r>
                    <w:rPr>
                      <w:rFonts w:hint="eastAsia"/>
                      <w:color w:val="auto"/>
                      <w:sz w:val="18"/>
                      <w:szCs w:val="18"/>
                      <w:lang w:val="en-US" w:eastAsia="zh-CN"/>
                    </w:rPr>
                    <w:t>以2.5</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p>
                <w:p w14:paraId="14534BCD">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v—密闭罩横截面积平均风速，一般取0.4m/s。</w:t>
                  </w:r>
                </w:p>
                <w:p w14:paraId="52E30FF5">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ascii="宋体" w:hAnsi="宋体" w:cs="宋体"/>
                      <w:color w:val="auto"/>
                      <w:kern w:val="0"/>
                      <w:sz w:val="18"/>
                      <w:szCs w:val="18"/>
                      <w:lang w:val="en-US" w:eastAsia="zh-CN" w:bidi="ar"/>
                    </w:rPr>
                  </w:pPr>
                  <w:r>
                    <w:rPr>
                      <w:rFonts w:hint="eastAsia"/>
                      <w:color w:val="auto"/>
                      <w:sz w:val="18"/>
                      <w:szCs w:val="18"/>
                      <w:lang w:val="en-US" w:eastAsia="zh-CN"/>
                    </w:rPr>
                    <w:t>项目共1台脱蜡机，脱蜡废气</w:t>
                  </w:r>
                  <w:r>
                    <w:rPr>
                      <w:rFonts w:hint="eastAsia"/>
                      <w:color w:val="auto"/>
                      <w:sz w:val="18"/>
                      <w:szCs w:val="18"/>
                    </w:rPr>
                    <w:t>收集风量为L=V×F×3600=</w:t>
                  </w:r>
                  <w:r>
                    <w:rPr>
                      <w:rFonts w:hint="eastAsia"/>
                      <w:color w:val="auto"/>
                      <w:sz w:val="18"/>
                      <w:szCs w:val="18"/>
                      <w:lang w:val="en-US" w:eastAsia="zh-CN"/>
                    </w:rPr>
                    <w:t>2.5</w:t>
                  </w:r>
                  <w:r>
                    <w:rPr>
                      <w:rFonts w:hint="eastAsia"/>
                      <w:color w:val="auto"/>
                      <w:sz w:val="18"/>
                      <w:szCs w:val="18"/>
                    </w:rPr>
                    <w:t>×</w:t>
                  </w:r>
                  <w:r>
                    <w:rPr>
                      <w:rFonts w:hint="eastAsia"/>
                      <w:color w:val="auto"/>
                      <w:sz w:val="18"/>
                      <w:szCs w:val="18"/>
                      <w:lang w:val="en-US" w:eastAsia="zh-CN"/>
                    </w:rPr>
                    <w:t>0.4</w:t>
                  </w:r>
                  <w:r>
                    <w:rPr>
                      <w:rFonts w:hint="eastAsia"/>
                      <w:color w:val="auto"/>
                      <w:sz w:val="18"/>
                      <w:szCs w:val="18"/>
                    </w:rPr>
                    <w:t>×3600=</w:t>
                  </w:r>
                  <w:r>
                    <w:rPr>
                      <w:rFonts w:hint="eastAsia"/>
                      <w:color w:val="auto"/>
                      <w:sz w:val="18"/>
                      <w:szCs w:val="18"/>
                      <w:lang w:val="en-US" w:eastAsia="zh-CN"/>
                    </w:rPr>
                    <w:t>3600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vAlign w:val="center"/>
                </w:tcPr>
                <w:p w14:paraId="6C1B9A1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18"/>
                      <w:szCs w:val="18"/>
                      <w:lang w:val="en-US" w:eastAsia="zh-CN"/>
                    </w:rPr>
                  </w:pPr>
                  <w:r>
                    <w:rPr>
                      <w:rFonts w:hint="eastAsia"/>
                      <w:color w:val="auto"/>
                      <w:sz w:val="18"/>
                      <w:szCs w:val="18"/>
                      <w:lang w:val="en-US" w:eastAsia="zh-CN"/>
                    </w:rPr>
                    <w:t>3600</w:t>
                  </w:r>
                </w:p>
              </w:tc>
              <w:tc>
                <w:tcPr>
                  <w:tcW w:w="807" w:type="dxa"/>
                  <w:vMerge w:val="restart"/>
                  <w:tcBorders>
                    <w:right w:val="single" w:color="auto" w:sz="4" w:space="0"/>
                    <w:tl2br w:val="nil"/>
                    <w:tr2bl w:val="nil"/>
                  </w:tcBorders>
                  <w:shd w:val="clear" w:color="auto" w:fill="auto"/>
                  <w:vAlign w:val="center"/>
                </w:tcPr>
                <w:p w14:paraId="4885CA6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eastAsia="宋体"/>
                      <w:color w:val="auto"/>
                      <w:sz w:val="18"/>
                      <w:szCs w:val="18"/>
                      <w:lang w:val="en-US" w:eastAsia="zh-CN"/>
                    </w:rPr>
                  </w:pPr>
                  <w:r>
                    <w:rPr>
                      <w:rFonts w:hint="eastAsia"/>
                      <w:color w:val="auto"/>
                      <w:sz w:val="18"/>
                      <w:szCs w:val="18"/>
                      <w:lang w:val="en-US" w:eastAsia="zh-CN"/>
                    </w:rPr>
                    <w:t>6000</w:t>
                  </w:r>
                </w:p>
              </w:tc>
              <w:tc>
                <w:tcPr>
                  <w:tcW w:w="870" w:type="dxa"/>
                  <w:vMerge w:val="restart"/>
                  <w:tcBorders>
                    <w:left w:val="single" w:color="auto" w:sz="4" w:space="0"/>
                    <w:tl2br w:val="nil"/>
                    <w:tr2bl w:val="nil"/>
                  </w:tcBorders>
                  <w:shd w:val="clear" w:color="auto" w:fill="auto"/>
                  <w:vAlign w:val="center"/>
                </w:tcPr>
                <w:p w14:paraId="02145532">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eastAsia="宋体"/>
                      <w:color w:val="auto"/>
                      <w:sz w:val="18"/>
                      <w:szCs w:val="18"/>
                      <w:lang w:val="en-US" w:eastAsia="zh-CN"/>
                    </w:rPr>
                  </w:pPr>
                  <w:r>
                    <w:rPr>
                      <w:rFonts w:hint="eastAsia"/>
                      <w:color w:val="auto"/>
                      <w:sz w:val="18"/>
                      <w:szCs w:val="18"/>
                      <w:lang w:val="en-US" w:eastAsia="zh-CN"/>
                    </w:rPr>
                    <w:t>水喷淋+干式过滤器+活性炭吸附</w:t>
                  </w:r>
                </w:p>
              </w:tc>
              <w:tc>
                <w:tcPr>
                  <w:tcW w:w="629" w:type="dxa"/>
                  <w:vMerge w:val="restart"/>
                  <w:tcBorders>
                    <w:tl2br w:val="nil"/>
                    <w:tr2bl w:val="nil"/>
                  </w:tcBorders>
                  <w:vAlign w:val="center"/>
                </w:tcPr>
                <w:p w14:paraId="5FD0ACE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w w:val="100"/>
                      <w:sz w:val="18"/>
                      <w:szCs w:val="18"/>
                      <w:lang w:val="en-US" w:eastAsia="zh-CN"/>
                    </w:rPr>
                  </w:pPr>
                  <w:r>
                    <w:rPr>
                      <w:rFonts w:hint="eastAsia"/>
                      <w:color w:val="auto"/>
                      <w:w w:val="100"/>
                      <w:sz w:val="18"/>
                      <w:szCs w:val="18"/>
                      <w:lang w:val="en-US" w:eastAsia="zh-CN"/>
                    </w:rPr>
                    <w:t>DA004</w:t>
                  </w:r>
                </w:p>
              </w:tc>
            </w:tr>
            <w:tr w14:paraId="7FDD95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6210D7C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型壳焙烧</w:t>
                  </w:r>
                </w:p>
              </w:tc>
              <w:tc>
                <w:tcPr>
                  <w:tcW w:w="813" w:type="dxa"/>
                  <w:tcBorders>
                    <w:left w:val="single" w:color="auto" w:sz="4" w:space="0"/>
                    <w:right w:val="single" w:color="auto" w:sz="4" w:space="0"/>
                    <w:tl2br w:val="nil"/>
                    <w:tr2bl w:val="nil"/>
                  </w:tcBorders>
                  <w:vAlign w:val="center"/>
                </w:tcPr>
                <w:p w14:paraId="5ACF192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密闭收集</w:t>
                  </w:r>
                </w:p>
              </w:tc>
              <w:tc>
                <w:tcPr>
                  <w:tcW w:w="3574" w:type="dxa"/>
                  <w:tcBorders>
                    <w:left w:val="single" w:color="auto" w:sz="4" w:space="0"/>
                    <w:tl2br w:val="nil"/>
                    <w:tr2bl w:val="nil"/>
                  </w:tcBorders>
                  <w:vAlign w:val="center"/>
                </w:tcPr>
                <w:p w14:paraId="2803C73B">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eastAsia="宋体"/>
                      <w:color w:val="auto"/>
                      <w:sz w:val="18"/>
                      <w:szCs w:val="18"/>
                      <w:lang w:val="en-US" w:eastAsia="zh-CN"/>
                    </w:rPr>
                  </w:pPr>
                  <w:r>
                    <w:rPr>
                      <w:rFonts w:hint="eastAsia" w:cs="Times New Roman"/>
                      <w:color w:val="auto"/>
                      <w:spacing w:val="0"/>
                      <w:sz w:val="18"/>
                      <w:szCs w:val="18"/>
                      <w:lang w:val="en-US" w:eastAsia="zh-CN"/>
                    </w:rPr>
                    <w:t>型壳</w:t>
                  </w:r>
                  <w:r>
                    <w:rPr>
                      <w:rFonts w:hint="default" w:ascii="Times New Roman" w:hAnsi="Times New Roman" w:cs="Times New Roman"/>
                      <w:color w:val="auto"/>
                      <w:spacing w:val="0"/>
                      <w:sz w:val="18"/>
                      <w:szCs w:val="18"/>
                      <w:lang w:val="en-US" w:eastAsia="zh-CN"/>
                    </w:rPr>
                    <w:t>焙烧炉</w:t>
                  </w:r>
                  <w:r>
                    <w:rPr>
                      <w:rFonts w:hint="eastAsia" w:cs="Times New Roman"/>
                      <w:color w:val="auto"/>
                      <w:spacing w:val="0"/>
                      <w:sz w:val="18"/>
                      <w:szCs w:val="18"/>
                      <w:lang w:val="en-US" w:eastAsia="zh-CN"/>
                    </w:rPr>
                    <w:t>天然气用量为</w:t>
                  </w:r>
                  <w:r>
                    <w:rPr>
                      <w:rFonts w:hint="default" w:ascii="Times New Roman" w:hAnsi="Times New Roman" w:cs="Times New Roman"/>
                      <w:color w:val="auto"/>
                      <w:spacing w:val="0"/>
                      <w:sz w:val="18"/>
                      <w:szCs w:val="18"/>
                      <w:lang w:val="en-US" w:eastAsia="zh-CN"/>
                    </w:rPr>
                    <w:t>40万m³/a</w:t>
                  </w:r>
                  <w:r>
                    <w:rPr>
                      <w:rFonts w:hint="eastAsia" w:cs="Times New Roman"/>
                      <w:color w:val="auto"/>
                      <w:spacing w:val="0"/>
                      <w:sz w:val="18"/>
                      <w:szCs w:val="18"/>
                      <w:lang w:val="en-US" w:eastAsia="zh-CN"/>
                    </w:rPr>
                    <w:t>，根据产排污系数手册，焙烧炉废气量以1</w:t>
                  </w:r>
                  <w:r>
                    <w:rPr>
                      <w:rFonts w:hint="eastAsia" w:cs="Times New Roman"/>
                      <w:b w:val="0"/>
                      <w:bCs w:val="0"/>
                      <w:color w:val="auto"/>
                      <w:spacing w:val="-1"/>
                      <w:sz w:val="18"/>
                      <w:szCs w:val="18"/>
                      <w:lang w:val="en-US" w:eastAsia="zh-CN"/>
                    </w:rPr>
                    <w:t>3.6标立方米/立方米-原料计，焙烧炉年运行3000h，则焙烧炉小时废气量为40万</w:t>
                  </w:r>
                  <w:r>
                    <w:rPr>
                      <w:rFonts w:hint="eastAsia"/>
                      <w:color w:val="auto"/>
                      <w:sz w:val="18"/>
                      <w:szCs w:val="18"/>
                    </w:rPr>
                    <w:t>×</w:t>
                  </w:r>
                  <w:r>
                    <w:rPr>
                      <w:rFonts w:hint="eastAsia"/>
                      <w:color w:val="auto"/>
                      <w:sz w:val="18"/>
                      <w:szCs w:val="18"/>
                      <w:lang w:val="en-US" w:eastAsia="zh-CN"/>
                    </w:rPr>
                    <w:t>13.6=1813.3m³/h</w:t>
                  </w:r>
                </w:p>
              </w:tc>
              <w:tc>
                <w:tcPr>
                  <w:tcW w:w="869" w:type="dxa"/>
                  <w:tcBorders>
                    <w:tl2br w:val="nil"/>
                    <w:tr2bl w:val="nil"/>
                  </w:tcBorders>
                  <w:shd w:val="clear" w:color="auto" w:fill="auto"/>
                  <w:vAlign w:val="center"/>
                </w:tcPr>
                <w:p w14:paraId="0C700374">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1813.3</w:t>
                  </w:r>
                </w:p>
              </w:tc>
              <w:tc>
                <w:tcPr>
                  <w:tcW w:w="807" w:type="dxa"/>
                  <w:vMerge w:val="continue"/>
                  <w:tcBorders>
                    <w:right w:val="single" w:color="auto" w:sz="4" w:space="0"/>
                    <w:tl2br w:val="nil"/>
                    <w:tr2bl w:val="nil"/>
                  </w:tcBorders>
                  <w:shd w:val="clear" w:color="auto" w:fill="auto"/>
                  <w:vAlign w:val="center"/>
                </w:tcPr>
                <w:p w14:paraId="50A3F9B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5203407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3F30B1F7">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07B683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7EEF5921">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落砂、砂再生废气</w:t>
                  </w:r>
                </w:p>
              </w:tc>
              <w:tc>
                <w:tcPr>
                  <w:tcW w:w="813" w:type="dxa"/>
                  <w:tcBorders>
                    <w:left w:val="single" w:color="auto" w:sz="4" w:space="0"/>
                    <w:right w:val="single" w:color="auto" w:sz="4" w:space="0"/>
                    <w:tl2br w:val="nil"/>
                    <w:tr2bl w:val="nil"/>
                  </w:tcBorders>
                  <w:vAlign w:val="center"/>
                </w:tcPr>
                <w:p w14:paraId="04DC3A3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eastAsia="宋体"/>
                      <w:color w:val="auto"/>
                      <w:sz w:val="18"/>
                      <w:szCs w:val="18"/>
                      <w:lang w:val="en-US" w:eastAsia="zh-CN"/>
                    </w:rPr>
                  </w:pPr>
                  <w:r>
                    <w:rPr>
                      <w:rFonts w:hint="eastAsia"/>
                      <w:color w:val="auto"/>
                      <w:sz w:val="18"/>
                      <w:szCs w:val="18"/>
                      <w:lang w:val="en-US" w:eastAsia="zh-CN"/>
                    </w:rPr>
                    <w:t>密闭收集</w:t>
                  </w:r>
                </w:p>
              </w:tc>
              <w:tc>
                <w:tcPr>
                  <w:tcW w:w="3574" w:type="dxa"/>
                  <w:tcBorders>
                    <w:left w:val="single" w:color="auto" w:sz="4" w:space="0"/>
                    <w:tl2br w:val="nil"/>
                    <w:tr2bl w:val="nil"/>
                  </w:tcBorders>
                  <w:vAlign w:val="center"/>
                </w:tcPr>
                <w:p w14:paraId="433CE202">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lang w:val="en-US" w:eastAsia="zh-CN"/>
                    </w:rPr>
                    <w:t>按照密闭罩的计算方法粗略核算，砂处理线的废气收集位点位于砂投料/暂存、落砂、砂再生系统</w:t>
                  </w:r>
                  <w:r>
                    <w:rPr>
                      <w:rFonts w:hint="eastAsia"/>
                      <w:color w:val="auto"/>
                      <w:sz w:val="18"/>
                      <w:szCs w:val="18"/>
                    </w:rPr>
                    <w:t>。</w:t>
                  </w:r>
                </w:p>
                <w:p w14:paraId="70490D5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废气收集情况按截面风速计算：L=3600Fv。</w:t>
                  </w:r>
                </w:p>
                <w:p w14:paraId="285BD162">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F—密闭罩横截面积，m</w:t>
                  </w:r>
                  <w:r>
                    <w:rPr>
                      <w:rFonts w:hint="eastAsia"/>
                      <w:color w:val="auto"/>
                      <w:sz w:val="18"/>
                      <w:szCs w:val="18"/>
                      <w:vertAlign w:val="superscript"/>
                    </w:rPr>
                    <w:t>2</w:t>
                  </w:r>
                  <w:r>
                    <w:rPr>
                      <w:rFonts w:hint="eastAsia"/>
                      <w:color w:val="auto"/>
                      <w:sz w:val="18"/>
                      <w:szCs w:val="18"/>
                    </w:rPr>
                    <w:t>。本项目</w:t>
                  </w:r>
                  <w:r>
                    <w:rPr>
                      <w:rFonts w:hint="eastAsia"/>
                      <w:color w:val="auto"/>
                      <w:sz w:val="18"/>
                      <w:szCs w:val="18"/>
                      <w:lang w:val="en-US" w:eastAsia="zh-CN"/>
                    </w:rPr>
                    <w:t>设2台落砂机，面积均为5.0</w:t>
                  </w:r>
                  <w:r>
                    <w:rPr>
                      <w:rFonts w:hint="eastAsia"/>
                      <w:color w:val="auto"/>
                      <w:sz w:val="18"/>
                      <w:szCs w:val="18"/>
                    </w:rPr>
                    <w:t>m</w:t>
                  </w:r>
                  <w:r>
                    <w:rPr>
                      <w:rFonts w:hint="eastAsia"/>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设有粘土砂和树脂砂再生系统各1套，面积分别为10.0</w:t>
                  </w:r>
                  <w:r>
                    <w:rPr>
                      <w:rFonts w:hint="eastAsia"/>
                      <w:color w:val="auto"/>
                      <w:sz w:val="18"/>
                      <w:szCs w:val="18"/>
                    </w:rPr>
                    <w:t>m</w:t>
                  </w:r>
                  <w:r>
                    <w:rPr>
                      <w:rFonts w:hint="eastAsia"/>
                      <w:color w:val="auto"/>
                      <w:sz w:val="18"/>
                      <w:szCs w:val="18"/>
                      <w:vertAlign w:val="superscript"/>
                    </w:rPr>
                    <w:t>2</w:t>
                  </w:r>
                  <w:r>
                    <w:rPr>
                      <w:rFonts w:hint="eastAsia"/>
                      <w:color w:val="auto"/>
                      <w:sz w:val="18"/>
                      <w:szCs w:val="18"/>
                      <w:vertAlign w:val="baseline"/>
                      <w:lang w:val="en-US" w:eastAsia="zh-CN"/>
                    </w:rPr>
                    <w:t>、8.0</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p>
                <w:p w14:paraId="2A059CD0">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v—密闭罩横截面积平均风速，一般取0.4m/s。</w:t>
                  </w:r>
                </w:p>
                <w:p w14:paraId="13A05C9E">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color w:val="auto"/>
                      <w:sz w:val="18"/>
                      <w:szCs w:val="18"/>
                    </w:rPr>
                  </w:pPr>
                  <w:r>
                    <w:rPr>
                      <w:rFonts w:hint="eastAsia"/>
                      <w:color w:val="auto"/>
                      <w:sz w:val="18"/>
                      <w:szCs w:val="18"/>
                    </w:rPr>
                    <w:t>计算</w:t>
                  </w:r>
                  <w:r>
                    <w:rPr>
                      <w:rFonts w:hint="eastAsia"/>
                      <w:color w:val="auto"/>
                      <w:sz w:val="18"/>
                      <w:szCs w:val="18"/>
                      <w:lang w:val="en-US" w:eastAsia="zh-CN"/>
                    </w:rPr>
                    <w:t>落砂、砂处理废气</w:t>
                  </w:r>
                  <w:r>
                    <w:rPr>
                      <w:rFonts w:hint="eastAsia"/>
                      <w:color w:val="auto"/>
                      <w:sz w:val="18"/>
                      <w:szCs w:val="18"/>
                    </w:rPr>
                    <w:t>收集风量为L=V×F×3600=</w:t>
                  </w:r>
                  <w:r>
                    <w:rPr>
                      <w:rFonts w:hint="eastAsia"/>
                      <w:color w:val="auto"/>
                      <w:sz w:val="18"/>
                      <w:szCs w:val="18"/>
                      <w:lang w:val="en-US" w:eastAsia="zh-CN"/>
                    </w:rPr>
                    <w:t>（5</w:t>
                  </w:r>
                  <w:r>
                    <w:rPr>
                      <w:rFonts w:hint="eastAsia"/>
                      <w:color w:val="auto"/>
                      <w:sz w:val="18"/>
                      <w:szCs w:val="18"/>
                    </w:rPr>
                    <w:t>×</w:t>
                  </w:r>
                  <w:r>
                    <w:rPr>
                      <w:rFonts w:hint="eastAsia"/>
                      <w:color w:val="auto"/>
                      <w:sz w:val="18"/>
                      <w:szCs w:val="18"/>
                      <w:lang w:val="en-US" w:eastAsia="zh-CN"/>
                    </w:rPr>
                    <w:t>2+10+8）</w:t>
                  </w:r>
                  <w:r>
                    <w:rPr>
                      <w:rFonts w:hint="eastAsia"/>
                      <w:color w:val="auto"/>
                      <w:sz w:val="18"/>
                      <w:szCs w:val="18"/>
                    </w:rPr>
                    <w:t>×</w:t>
                  </w:r>
                  <w:r>
                    <w:rPr>
                      <w:rFonts w:hint="eastAsia"/>
                      <w:color w:val="auto"/>
                      <w:sz w:val="18"/>
                      <w:szCs w:val="18"/>
                      <w:lang w:val="en-US" w:eastAsia="zh-CN"/>
                    </w:rPr>
                    <w:t>0.4</w:t>
                  </w:r>
                  <w:r>
                    <w:rPr>
                      <w:rFonts w:hint="eastAsia"/>
                      <w:color w:val="auto"/>
                      <w:sz w:val="18"/>
                      <w:szCs w:val="18"/>
                    </w:rPr>
                    <w:t>×3600=</w:t>
                  </w:r>
                  <w:r>
                    <w:rPr>
                      <w:rFonts w:hint="eastAsia"/>
                      <w:color w:val="auto"/>
                      <w:sz w:val="18"/>
                      <w:szCs w:val="18"/>
                      <w:lang w:val="en-US" w:eastAsia="zh-CN"/>
                    </w:rPr>
                    <w:t>40320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shd w:val="clear" w:color="auto" w:fill="auto"/>
                  <w:vAlign w:val="center"/>
                </w:tcPr>
                <w:p w14:paraId="17999C1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40320</w:t>
                  </w:r>
                </w:p>
              </w:tc>
              <w:tc>
                <w:tcPr>
                  <w:tcW w:w="807" w:type="dxa"/>
                  <w:vMerge w:val="restart"/>
                  <w:tcBorders>
                    <w:right w:val="single" w:color="auto" w:sz="4" w:space="0"/>
                    <w:tl2br w:val="nil"/>
                    <w:tr2bl w:val="nil"/>
                  </w:tcBorders>
                  <w:shd w:val="clear" w:color="auto" w:fill="auto"/>
                  <w:vAlign w:val="center"/>
                </w:tcPr>
                <w:p w14:paraId="1F4EDA6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60000</w:t>
                  </w:r>
                </w:p>
              </w:tc>
              <w:tc>
                <w:tcPr>
                  <w:tcW w:w="870" w:type="dxa"/>
                  <w:vMerge w:val="restart"/>
                  <w:tcBorders>
                    <w:left w:val="single" w:color="auto" w:sz="4" w:space="0"/>
                    <w:tl2br w:val="nil"/>
                    <w:tr2bl w:val="nil"/>
                  </w:tcBorders>
                  <w:shd w:val="clear" w:color="auto" w:fill="auto"/>
                  <w:vAlign w:val="center"/>
                </w:tcPr>
                <w:p w14:paraId="0E0E267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袋式除尘器</w:t>
                  </w:r>
                </w:p>
              </w:tc>
              <w:tc>
                <w:tcPr>
                  <w:tcW w:w="629" w:type="dxa"/>
                  <w:vMerge w:val="restart"/>
                  <w:tcBorders>
                    <w:tl2br w:val="nil"/>
                    <w:tr2bl w:val="nil"/>
                  </w:tcBorders>
                  <w:vAlign w:val="center"/>
                </w:tcPr>
                <w:p w14:paraId="387FDD77">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DA005</w:t>
                  </w:r>
                </w:p>
              </w:tc>
            </w:tr>
            <w:tr w14:paraId="32570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7190F55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粘土砂造型废气</w:t>
                  </w:r>
                </w:p>
              </w:tc>
              <w:tc>
                <w:tcPr>
                  <w:tcW w:w="813" w:type="dxa"/>
                  <w:tcBorders>
                    <w:left w:val="single" w:color="auto" w:sz="4" w:space="0"/>
                    <w:right w:val="single" w:color="auto" w:sz="4" w:space="0"/>
                    <w:tl2br w:val="nil"/>
                    <w:tr2bl w:val="nil"/>
                  </w:tcBorders>
                  <w:vAlign w:val="center"/>
                </w:tcPr>
                <w:p w14:paraId="5F0D6C6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集气罩收集</w:t>
                  </w:r>
                </w:p>
              </w:tc>
              <w:tc>
                <w:tcPr>
                  <w:tcW w:w="3574" w:type="dxa"/>
                  <w:tcBorders>
                    <w:left w:val="single" w:color="auto" w:sz="4" w:space="0"/>
                    <w:tl2br w:val="nil"/>
                    <w:tr2bl w:val="nil"/>
                  </w:tcBorders>
                  <w:vAlign w:val="center"/>
                </w:tcPr>
                <w:p w14:paraId="5F1C054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L=3600V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w:t>
                  </w:r>
                </w:p>
                <w:p w14:paraId="252D21E2">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—罩口平均风速（m/s），项目取</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m/s；</w:t>
                  </w:r>
                </w:p>
                <w:p w14:paraId="2AAB86E4">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F—罩口面积（m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p w14:paraId="1B97551A">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r>
                    <w:rPr>
                      <w:rFonts w:hint="default" w:ascii="Times New Roman" w:hAnsi="Times New Roman" w:cs="Times New Roman"/>
                      <w:color w:val="auto"/>
                      <w:sz w:val="18"/>
                      <w:szCs w:val="18"/>
                      <w:lang w:val="en-US" w:eastAsia="zh-CN"/>
                    </w:rPr>
                    <w:t>粘土砂造型废气</w:t>
                  </w:r>
                  <w:r>
                    <w:rPr>
                      <w:rFonts w:hint="default" w:ascii="Times New Roman" w:hAnsi="Times New Roman" w:cs="Times New Roman"/>
                      <w:color w:val="auto"/>
                      <w:sz w:val="18"/>
                      <w:szCs w:val="18"/>
                    </w:rPr>
                    <w:t>采用</w:t>
                  </w:r>
                  <w:r>
                    <w:rPr>
                      <w:rFonts w:hint="default" w:ascii="Times New Roman" w:hAnsi="Times New Roman" w:cs="Times New Roman"/>
                      <w:color w:val="auto"/>
                      <w:sz w:val="18"/>
                      <w:szCs w:val="18"/>
                      <w:lang w:val="en-US" w:eastAsia="zh-CN"/>
                    </w:rPr>
                    <w:t>矩形</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造型设备3条，集气罩口长</w:t>
                  </w:r>
                  <w:r>
                    <w:rPr>
                      <w:rFonts w:hint="eastAsia" w:ascii="Times New Roman" w:hAnsi="Times New Roman" w:cs="Times New Roman"/>
                      <w:color w:val="auto"/>
                      <w:sz w:val="18"/>
                      <w:szCs w:val="18"/>
                      <w:lang w:val="en-US" w:eastAsia="zh-CN"/>
                    </w:rPr>
                    <w:t>宽</w:t>
                  </w:r>
                  <w:r>
                    <w:rPr>
                      <w:rFonts w:hint="default" w:ascii="Times New Roman" w:hAnsi="Times New Roman" w:cs="Times New Roman"/>
                      <w:color w:val="auto"/>
                      <w:sz w:val="18"/>
                      <w:szCs w:val="18"/>
                      <w:lang w:val="en-US" w:eastAsia="zh-CN"/>
                    </w:rPr>
                    <w:t>为4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lang w:val="en-US" w:eastAsia="zh-CN"/>
                    </w:rPr>
                    <w:t>两个，3</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lang w:val="en-US" w:eastAsia="zh-CN"/>
                    </w:rPr>
                    <w:t>一个</w:t>
                  </w:r>
                  <w:r>
                    <w:rPr>
                      <w:rFonts w:hint="default" w:ascii="Times New Roman" w:hAnsi="Times New Roman" w:cs="Times New Roman"/>
                      <w:color w:val="auto"/>
                      <w:sz w:val="18"/>
                      <w:szCs w:val="18"/>
                    </w:rPr>
                    <w:t>，计算得：L=V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×F×3600=</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0.5</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2+3</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0.5）</w:t>
                  </w:r>
                  <w:r>
                    <w:rPr>
                      <w:rFonts w:hint="default" w:ascii="Times New Roman" w:hAnsi="Times New Roman" w:cs="Times New Roman"/>
                      <w:color w:val="auto"/>
                      <w:sz w:val="18"/>
                      <w:szCs w:val="18"/>
                    </w:rPr>
                    <w:t>×3600=</w:t>
                  </w:r>
                  <w:r>
                    <w:rPr>
                      <w:rFonts w:hint="default" w:ascii="Times New Roman" w:hAnsi="Times New Roman" w:cs="Times New Roman"/>
                      <w:color w:val="auto"/>
                      <w:sz w:val="18"/>
                      <w:szCs w:val="18"/>
                      <w:lang w:val="en-US" w:eastAsia="zh-CN"/>
                    </w:rPr>
                    <w:t>15120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69" w:type="dxa"/>
                  <w:tcBorders>
                    <w:tl2br w:val="nil"/>
                    <w:tr2bl w:val="nil"/>
                  </w:tcBorders>
                  <w:shd w:val="clear" w:color="auto" w:fill="auto"/>
                  <w:vAlign w:val="center"/>
                </w:tcPr>
                <w:p w14:paraId="0BD7A9B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15120</w:t>
                  </w:r>
                </w:p>
              </w:tc>
              <w:tc>
                <w:tcPr>
                  <w:tcW w:w="807" w:type="dxa"/>
                  <w:vMerge w:val="continue"/>
                  <w:tcBorders>
                    <w:right w:val="single" w:color="auto" w:sz="4" w:space="0"/>
                    <w:tl2br w:val="nil"/>
                    <w:tr2bl w:val="nil"/>
                  </w:tcBorders>
                  <w:shd w:val="clear" w:color="auto" w:fill="auto"/>
                  <w:vAlign w:val="center"/>
                </w:tcPr>
                <w:p w14:paraId="15240BE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3FECC3C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4A3C131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043F12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00930B13">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铸件抛丸清理</w:t>
                  </w:r>
                  <w:r>
                    <w:rPr>
                      <w:rFonts w:hint="eastAsia" w:cs="Times New Roman"/>
                      <w:color w:val="auto"/>
                      <w:sz w:val="18"/>
                      <w:szCs w:val="18"/>
                      <w:lang w:val="en-US" w:eastAsia="zh-CN"/>
                    </w:rPr>
                    <w:t>、</w:t>
                  </w:r>
                  <w:r>
                    <w:rPr>
                      <w:rFonts w:hint="default" w:ascii="Times New Roman" w:hAnsi="Times New Roman" w:cs="Times New Roman" w:eastAsiaTheme="minorEastAsia"/>
                      <w:color w:val="auto"/>
                      <w:sz w:val="18"/>
                      <w:szCs w:val="18"/>
                      <w:lang w:val="en-US" w:eastAsia="zh-CN"/>
                    </w:rPr>
                    <w:t>二次抛丸</w:t>
                  </w:r>
                </w:p>
              </w:tc>
              <w:tc>
                <w:tcPr>
                  <w:tcW w:w="813" w:type="dxa"/>
                  <w:tcBorders>
                    <w:left w:val="single" w:color="auto" w:sz="4" w:space="0"/>
                    <w:right w:val="single" w:color="auto" w:sz="4" w:space="0"/>
                    <w:tl2br w:val="nil"/>
                    <w:tr2bl w:val="nil"/>
                  </w:tcBorders>
                  <w:shd w:val="clear" w:color="auto" w:fill="auto"/>
                  <w:vAlign w:val="center"/>
                </w:tcPr>
                <w:p w14:paraId="74009D4A">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宋体" w:hAnsi="宋体" w:eastAsia="宋体" w:cs="宋体"/>
                      <w:color w:val="auto"/>
                      <w:kern w:val="0"/>
                      <w:sz w:val="18"/>
                      <w:szCs w:val="18"/>
                      <w:lang w:val="en-US" w:eastAsia="zh-CN" w:bidi="ar"/>
                    </w:rPr>
                  </w:pPr>
                  <w:r>
                    <w:rPr>
                      <w:rFonts w:hint="eastAsia"/>
                      <w:color w:val="auto"/>
                      <w:sz w:val="18"/>
                      <w:szCs w:val="18"/>
                      <w:lang w:val="en-US" w:eastAsia="zh-CN"/>
                    </w:rPr>
                    <w:t>密闭收集</w:t>
                  </w:r>
                </w:p>
              </w:tc>
              <w:tc>
                <w:tcPr>
                  <w:tcW w:w="3574" w:type="dxa"/>
                  <w:tcBorders>
                    <w:left w:val="single" w:color="auto" w:sz="4" w:space="0"/>
                    <w:tl2br w:val="nil"/>
                    <w:tr2bl w:val="nil"/>
                  </w:tcBorders>
                  <w:shd w:val="clear" w:color="auto" w:fill="auto"/>
                  <w:vAlign w:val="center"/>
                </w:tcPr>
                <w:p w14:paraId="7F77F1AE">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lang w:val="en-US" w:eastAsia="zh-CN"/>
                    </w:rPr>
                    <w:t>按照密闭罩的计算方法粗略核算</w:t>
                  </w:r>
                  <w:r>
                    <w:rPr>
                      <w:rFonts w:hint="eastAsia"/>
                      <w:color w:val="auto"/>
                      <w:sz w:val="18"/>
                      <w:szCs w:val="18"/>
                    </w:rPr>
                    <w:t>废气收集情况按截面风速计算：L=3600Fv。</w:t>
                  </w:r>
                </w:p>
                <w:p w14:paraId="1EBED39A">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F—密闭罩横截面积，m</w:t>
                  </w:r>
                  <w:r>
                    <w:rPr>
                      <w:rFonts w:hint="eastAsia"/>
                      <w:color w:val="auto"/>
                      <w:sz w:val="18"/>
                      <w:szCs w:val="18"/>
                      <w:vertAlign w:val="superscript"/>
                    </w:rPr>
                    <w:t>2</w:t>
                  </w:r>
                  <w:r>
                    <w:rPr>
                      <w:rFonts w:hint="eastAsia"/>
                      <w:color w:val="auto"/>
                      <w:sz w:val="18"/>
                      <w:szCs w:val="18"/>
                    </w:rPr>
                    <w:t>。本项目</w:t>
                  </w:r>
                  <w:r>
                    <w:rPr>
                      <w:rFonts w:hint="eastAsia"/>
                      <w:color w:val="auto"/>
                      <w:sz w:val="18"/>
                      <w:szCs w:val="18"/>
                      <w:lang w:val="en-US" w:eastAsia="zh-CN"/>
                    </w:rPr>
                    <w:t>1#厂房铸造线共设14台抛丸机，面积均为1.5</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p>
                <w:p w14:paraId="77290BF8">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v—密闭罩横截面积平均风速，一般取0.4m/s。</w:t>
                  </w:r>
                </w:p>
                <w:p w14:paraId="46CAC3E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宋体" w:hAnsi="宋体" w:eastAsia="宋体" w:cs="宋体"/>
                      <w:color w:val="auto"/>
                      <w:kern w:val="0"/>
                      <w:sz w:val="18"/>
                      <w:szCs w:val="18"/>
                      <w:lang w:val="en-US" w:eastAsia="zh-CN" w:bidi="ar"/>
                    </w:rPr>
                  </w:pPr>
                  <w:r>
                    <w:rPr>
                      <w:rFonts w:hint="eastAsia"/>
                      <w:color w:val="auto"/>
                      <w:sz w:val="18"/>
                      <w:szCs w:val="18"/>
                    </w:rPr>
                    <w:t>计</w:t>
                  </w:r>
                  <w:r>
                    <w:rPr>
                      <w:rFonts w:hint="eastAsia"/>
                      <w:color w:val="auto"/>
                      <w:sz w:val="18"/>
                      <w:szCs w:val="18"/>
                      <w:lang w:val="en-US" w:eastAsia="zh-CN"/>
                    </w:rPr>
                    <w:t>抛丸废气</w:t>
                  </w:r>
                  <w:r>
                    <w:rPr>
                      <w:rFonts w:hint="eastAsia"/>
                      <w:color w:val="auto"/>
                      <w:sz w:val="18"/>
                      <w:szCs w:val="18"/>
                    </w:rPr>
                    <w:t>收集风量为L=V×F×3600=</w:t>
                  </w:r>
                  <w:r>
                    <w:rPr>
                      <w:rFonts w:hint="eastAsia"/>
                      <w:color w:val="auto"/>
                      <w:sz w:val="18"/>
                      <w:szCs w:val="18"/>
                      <w:lang w:val="en-US" w:eastAsia="zh-CN"/>
                    </w:rPr>
                    <w:t>（1.5</w:t>
                  </w:r>
                  <w:r>
                    <w:rPr>
                      <w:rFonts w:hint="eastAsia"/>
                      <w:color w:val="auto"/>
                      <w:sz w:val="18"/>
                      <w:szCs w:val="18"/>
                    </w:rPr>
                    <w:t>×</w:t>
                  </w:r>
                  <w:r>
                    <w:rPr>
                      <w:rFonts w:hint="eastAsia"/>
                      <w:color w:val="auto"/>
                      <w:sz w:val="18"/>
                      <w:szCs w:val="18"/>
                      <w:lang w:val="en-US" w:eastAsia="zh-CN"/>
                    </w:rPr>
                    <w:t>14）</w:t>
                  </w:r>
                  <w:r>
                    <w:rPr>
                      <w:rFonts w:hint="eastAsia"/>
                      <w:color w:val="auto"/>
                      <w:sz w:val="18"/>
                      <w:szCs w:val="18"/>
                    </w:rPr>
                    <w:t>×</w:t>
                  </w:r>
                  <w:r>
                    <w:rPr>
                      <w:rFonts w:hint="eastAsia"/>
                      <w:color w:val="auto"/>
                      <w:sz w:val="18"/>
                      <w:szCs w:val="18"/>
                      <w:lang w:val="en-US" w:eastAsia="zh-CN"/>
                    </w:rPr>
                    <w:t>0.4</w:t>
                  </w:r>
                  <w:r>
                    <w:rPr>
                      <w:rFonts w:hint="eastAsia"/>
                      <w:color w:val="auto"/>
                      <w:sz w:val="18"/>
                      <w:szCs w:val="18"/>
                    </w:rPr>
                    <w:t>×3600=</w:t>
                  </w:r>
                  <w:r>
                    <w:rPr>
                      <w:rFonts w:hint="eastAsia"/>
                      <w:color w:val="auto"/>
                      <w:sz w:val="18"/>
                      <w:szCs w:val="18"/>
                      <w:lang w:val="en-US" w:eastAsia="zh-CN"/>
                    </w:rPr>
                    <w:t>30240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shd w:val="clear" w:color="auto" w:fill="auto"/>
                  <w:vAlign w:val="center"/>
                </w:tcPr>
                <w:p w14:paraId="78E66F1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30240</w:t>
                  </w:r>
                </w:p>
              </w:tc>
              <w:tc>
                <w:tcPr>
                  <w:tcW w:w="807" w:type="dxa"/>
                  <w:tcBorders>
                    <w:right w:val="single" w:color="auto" w:sz="4" w:space="0"/>
                    <w:tl2br w:val="nil"/>
                    <w:tr2bl w:val="nil"/>
                  </w:tcBorders>
                  <w:shd w:val="clear" w:color="auto" w:fill="auto"/>
                  <w:vAlign w:val="center"/>
                </w:tcPr>
                <w:p w14:paraId="2EC8185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35000</w:t>
                  </w:r>
                </w:p>
              </w:tc>
              <w:tc>
                <w:tcPr>
                  <w:tcW w:w="870" w:type="dxa"/>
                  <w:tcBorders>
                    <w:left w:val="single" w:color="auto" w:sz="4" w:space="0"/>
                    <w:tl2br w:val="nil"/>
                    <w:tr2bl w:val="nil"/>
                  </w:tcBorders>
                  <w:shd w:val="clear" w:color="auto" w:fill="auto"/>
                  <w:vAlign w:val="center"/>
                </w:tcPr>
                <w:p w14:paraId="6501449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袋式除尘器</w:t>
                  </w:r>
                </w:p>
              </w:tc>
              <w:tc>
                <w:tcPr>
                  <w:tcW w:w="629" w:type="dxa"/>
                  <w:tcBorders>
                    <w:tl2br w:val="nil"/>
                    <w:tr2bl w:val="nil"/>
                  </w:tcBorders>
                  <w:vAlign w:val="center"/>
                </w:tcPr>
                <w:p w14:paraId="0079809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color w:val="auto"/>
                      <w:sz w:val="18"/>
                      <w:szCs w:val="18"/>
                      <w:lang w:val="en-US" w:eastAsia="zh-CN"/>
                    </w:rPr>
                  </w:pPr>
                  <w:r>
                    <w:rPr>
                      <w:rFonts w:hint="eastAsia"/>
                      <w:color w:val="auto"/>
                      <w:sz w:val="18"/>
                      <w:szCs w:val="18"/>
                      <w:lang w:val="en-US" w:eastAsia="zh-CN"/>
                    </w:rPr>
                    <w:t>DA006</w:t>
                  </w:r>
                </w:p>
              </w:tc>
            </w:tr>
            <w:tr w14:paraId="0C098C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3A567BF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熔模铸件退火废气</w:t>
                  </w:r>
                </w:p>
              </w:tc>
              <w:tc>
                <w:tcPr>
                  <w:tcW w:w="813" w:type="dxa"/>
                  <w:tcBorders>
                    <w:left w:val="single" w:color="auto" w:sz="4" w:space="0"/>
                    <w:right w:val="single" w:color="auto" w:sz="4" w:space="0"/>
                    <w:tl2br w:val="nil"/>
                    <w:tr2bl w:val="nil"/>
                  </w:tcBorders>
                  <w:shd w:val="clear" w:color="auto" w:fill="auto"/>
                  <w:vAlign w:val="center"/>
                </w:tcPr>
                <w:p w14:paraId="4AD6F7B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密闭收集</w:t>
                  </w:r>
                </w:p>
              </w:tc>
              <w:tc>
                <w:tcPr>
                  <w:tcW w:w="3574" w:type="dxa"/>
                  <w:tcBorders>
                    <w:left w:val="single" w:color="auto" w:sz="4" w:space="0"/>
                    <w:tl2br w:val="nil"/>
                    <w:tr2bl w:val="nil"/>
                  </w:tcBorders>
                  <w:shd w:val="clear" w:color="auto" w:fill="auto"/>
                  <w:vAlign w:val="center"/>
                </w:tcPr>
                <w:p w14:paraId="0ED74CAA">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0"/>
                      <w:sz w:val="18"/>
                      <w:szCs w:val="18"/>
                      <w:lang w:val="en-US" w:eastAsia="zh-CN"/>
                    </w:rPr>
                    <w:t>退火炉天然气用量为1</w:t>
                  </w:r>
                  <w:r>
                    <w:rPr>
                      <w:rFonts w:hint="default" w:ascii="Times New Roman" w:hAnsi="Times New Roman" w:cs="Times New Roman"/>
                      <w:color w:val="auto"/>
                      <w:spacing w:val="0"/>
                      <w:sz w:val="18"/>
                      <w:szCs w:val="18"/>
                      <w:lang w:val="en-US" w:eastAsia="zh-CN"/>
                    </w:rPr>
                    <w:t>0万m³/a</w:t>
                  </w:r>
                  <w:r>
                    <w:rPr>
                      <w:rFonts w:hint="eastAsia" w:cs="Times New Roman"/>
                      <w:color w:val="auto"/>
                      <w:spacing w:val="0"/>
                      <w:sz w:val="18"/>
                      <w:szCs w:val="18"/>
                      <w:lang w:val="en-US" w:eastAsia="zh-CN"/>
                    </w:rPr>
                    <w:t>，根据产排污系数手册，退火炉废气量以1</w:t>
                  </w:r>
                  <w:r>
                    <w:rPr>
                      <w:rFonts w:hint="eastAsia" w:cs="Times New Roman"/>
                      <w:b w:val="0"/>
                      <w:bCs w:val="0"/>
                      <w:color w:val="auto"/>
                      <w:spacing w:val="-1"/>
                      <w:sz w:val="18"/>
                      <w:szCs w:val="18"/>
                      <w:lang w:val="en-US" w:eastAsia="zh-CN"/>
                    </w:rPr>
                    <w:t>3.6标立方米/立方米-原料计，</w:t>
                  </w:r>
                  <w:r>
                    <w:rPr>
                      <w:rFonts w:hint="eastAsia" w:cs="Times New Roman"/>
                      <w:color w:val="auto"/>
                      <w:spacing w:val="0"/>
                      <w:sz w:val="18"/>
                      <w:szCs w:val="18"/>
                      <w:lang w:val="en-US" w:eastAsia="zh-CN"/>
                    </w:rPr>
                    <w:t>退火炉</w:t>
                  </w:r>
                  <w:r>
                    <w:rPr>
                      <w:rFonts w:hint="eastAsia" w:cs="Times New Roman"/>
                      <w:b w:val="0"/>
                      <w:bCs w:val="0"/>
                      <w:color w:val="auto"/>
                      <w:spacing w:val="-1"/>
                      <w:sz w:val="18"/>
                      <w:szCs w:val="18"/>
                      <w:lang w:val="en-US" w:eastAsia="zh-CN"/>
                    </w:rPr>
                    <w:t>年运行3000h，则</w:t>
                  </w:r>
                  <w:r>
                    <w:rPr>
                      <w:rFonts w:hint="eastAsia" w:cs="Times New Roman"/>
                      <w:color w:val="auto"/>
                      <w:spacing w:val="0"/>
                      <w:sz w:val="18"/>
                      <w:szCs w:val="18"/>
                      <w:lang w:val="en-US" w:eastAsia="zh-CN"/>
                    </w:rPr>
                    <w:t>退火炉</w:t>
                  </w:r>
                  <w:r>
                    <w:rPr>
                      <w:rFonts w:hint="eastAsia" w:cs="Times New Roman"/>
                      <w:b w:val="0"/>
                      <w:bCs w:val="0"/>
                      <w:color w:val="auto"/>
                      <w:spacing w:val="-1"/>
                      <w:sz w:val="18"/>
                      <w:szCs w:val="18"/>
                      <w:lang w:val="en-US" w:eastAsia="zh-CN"/>
                    </w:rPr>
                    <w:t>小时废气量为10万</w:t>
                  </w:r>
                  <w:r>
                    <w:rPr>
                      <w:rFonts w:hint="eastAsia"/>
                      <w:color w:val="auto"/>
                      <w:sz w:val="18"/>
                      <w:szCs w:val="18"/>
                    </w:rPr>
                    <w:t>×</w:t>
                  </w:r>
                  <w:r>
                    <w:rPr>
                      <w:rFonts w:hint="eastAsia"/>
                      <w:color w:val="auto"/>
                      <w:sz w:val="18"/>
                      <w:szCs w:val="18"/>
                      <w:lang w:val="en-US" w:eastAsia="zh-CN"/>
                    </w:rPr>
                    <w:t>13.6</w:t>
                  </w:r>
                  <w:r>
                    <w:rPr>
                      <w:rFonts w:hint="default" w:ascii="Arial" w:hAnsi="Arial" w:cs="Arial"/>
                      <w:color w:val="auto"/>
                      <w:sz w:val="18"/>
                      <w:szCs w:val="18"/>
                      <w:lang w:val="en-US" w:eastAsia="zh-CN"/>
                    </w:rPr>
                    <w:t>÷</w:t>
                  </w:r>
                  <w:r>
                    <w:rPr>
                      <w:rFonts w:hint="eastAsia"/>
                      <w:color w:val="auto"/>
                      <w:sz w:val="18"/>
                      <w:szCs w:val="18"/>
                      <w:lang w:val="en-US" w:eastAsia="zh-CN"/>
                    </w:rPr>
                    <w:t>3000=453.3m³/h</w:t>
                  </w:r>
                </w:p>
              </w:tc>
              <w:tc>
                <w:tcPr>
                  <w:tcW w:w="869" w:type="dxa"/>
                  <w:tcBorders>
                    <w:tl2br w:val="nil"/>
                    <w:tr2bl w:val="nil"/>
                  </w:tcBorders>
                  <w:shd w:val="clear" w:color="auto" w:fill="auto"/>
                  <w:vAlign w:val="center"/>
                </w:tcPr>
                <w:p w14:paraId="39D8294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453.3</w:t>
                  </w:r>
                </w:p>
              </w:tc>
              <w:tc>
                <w:tcPr>
                  <w:tcW w:w="807" w:type="dxa"/>
                  <w:tcBorders>
                    <w:right w:val="single" w:color="auto" w:sz="4" w:space="0"/>
                    <w:tl2br w:val="nil"/>
                    <w:tr2bl w:val="nil"/>
                  </w:tcBorders>
                  <w:shd w:val="clear" w:color="auto" w:fill="auto"/>
                  <w:vAlign w:val="center"/>
                </w:tcPr>
                <w:p w14:paraId="273BEB3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453.3</w:t>
                  </w:r>
                </w:p>
              </w:tc>
              <w:tc>
                <w:tcPr>
                  <w:tcW w:w="870" w:type="dxa"/>
                  <w:tcBorders>
                    <w:left w:val="single" w:color="auto" w:sz="4" w:space="0"/>
                    <w:tl2br w:val="nil"/>
                    <w:tr2bl w:val="nil"/>
                  </w:tcBorders>
                  <w:shd w:val="clear" w:color="auto" w:fill="auto"/>
                  <w:vAlign w:val="center"/>
                </w:tcPr>
                <w:p w14:paraId="6161B9D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9" w:type="dxa"/>
                  <w:tcBorders>
                    <w:tl2br w:val="nil"/>
                    <w:tr2bl w:val="nil"/>
                  </w:tcBorders>
                  <w:vAlign w:val="center"/>
                </w:tcPr>
                <w:p w14:paraId="60B9C3BB">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ascii="Times New Roman" w:eastAsia="宋体"/>
                      <w:color w:val="auto"/>
                      <w:sz w:val="18"/>
                      <w:szCs w:val="18"/>
                      <w:lang w:val="en-US" w:eastAsia="zh-CN"/>
                    </w:rPr>
                  </w:pPr>
                  <w:r>
                    <w:rPr>
                      <w:rFonts w:hint="eastAsia"/>
                      <w:color w:val="auto"/>
                      <w:sz w:val="18"/>
                      <w:szCs w:val="18"/>
                      <w:lang w:val="en-US" w:eastAsia="zh-CN"/>
                    </w:rPr>
                    <w:t>DA007</w:t>
                  </w:r>
                </w:p>
              </w:tc>
            </w:tr>
            <w:tr w14:paraId="5EC4F0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71051BBD">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喷粉废气</w:t>
                  </w:r>
                </w:p>
              </w:tc>
              <w:tc>
                <w:tcPr>
                  <w:tcW w:w="813" w:type="dxa"/>
                  <w:tcBorders>
                    <w:left w:val="single" w:color="auto" w:sz="4" w:space="0"/>
                    <w:right w:val="single" w:color="auto" w:sz="4" w:space="0"/>
                    <w:tl2br w:val="nil"/>
                    <w:tr2bl w:val="nil"/>
                  </w:tcBorders>
                  <w:shd w:val="clear" w:color="auto" w:fill="auto"/>
                  <w:vAlign w:val="center"/>
                </w:tcPr>
                <w:p w14:paraId="1F3FB85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密闭收集</w:t>
                  </w:r>
                </w:p>
              </w:tc>
              <w:tc>
                <w:tcPr>
                  <w:tcW w:w="3574" w:type="dxa"/>
                  <w:tcBorders>
                    <w:left w:val="single" w:color="auto" w:sz="4" w:space="0"/>
                    <w:tl2br w:val="nil"/>
                    <w:tr2bl w:val="nil"/>
                  </w:tcBorders>
                  <w:shd w:val="clear" w:color="auto" w:fill="auto"/>
                  <w:vAlign w:val="center"/>
                </w:tcPr>
                <w:p w14:paraId="228F8C39">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lang w:val="en-US" w:eastAsia="zh-CN"/>
                    </w:rPr>
                    <w:t>按照密闭罩的计算方法粗略核算</w:t>
                  </w:r>
                  <w:r>
                    <w:rPr>
                      <w:rFonts w:hint="eastAsia"/>
                      <w:color w:val="auto"/>
                      <w:sz w:val="18"/>
                      <w:szCs w:val="18"/>
                    </w:rPr>
                    <w:t>废气收集情况</w:t>
                  </w:r>
                  <w:r>
                    <w:rPr>
                      <w:rFonts w:hint="eastAsia"/>
                      <w:color w:val="auto"/>
                      <w:sz w:val="18"/>
                      <w:szCs w:val="18"/>
                      <w:lang w:eastAsia="zh-CN"/>
                    </w:rPr>
                    <w:t>，</w:t>
                  </w:r>
                  <w:r>
                    <w:rPr>
                      <w:rFonts w:hint="eastAsia"/>
                      <w:color w:val="auto"/>
                      <w:sz w:val="18"/>
                      <w:szCs w:val="18"/>
                    </w:rPr>
                    <w:t>按截面风速计算：L=3600Fv。</w:t>
                  </w:r>
                </w:p>
                <w:p w14:paraId="704853A8">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F—密闭罩横截面积，m</w:t>
                  </w:r>
                  <w:r>
                    <w:rPr>
                      <w:rFonts w:hint="eastAsia"/>
                      <w:color w:val="auto"/>
                      <w:sz w:val="18"/>
                      <w:szCs w:val="18"/>
                      <w:vertAlign w:val="superscript"/>
                    </w:rPr>
                    <w:t>2</w:t>
                  </w:r>
                  <w:r>
                    <w:rPr>
                      <w:rFonts w:hint="eastAsia"/>
                      <w:color w:val="auto"/>
                      <w:sz w:val="18"/>
                      <w:szCs w:val="18"/>
                    </w:rPr>
                    <w:t>。本项目</w:t>
                  </w:r>
                  <w:r>
                    <w:rPr>
                      <w:rFonts w:hint="eastAsia"/>
                      <w:color w:val="auto"/>
                      <w:sz w:val="18"/>
                      <w:szCs w:val="18"/>
                      <w:lang w:val="en-US" w:eastAsia="zh-CN"/>
                    </w:rPr>
                    <w:t>设2条喷粉线，截面积均为3.0</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p>
                <w:p w14:paraId="456DF77E">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v—密闭罩横截面积平均风速，一般取0.4m/s。</w:t>
                  </w:r>
                </w:p>
                <w:p w14:paraId="17D0A1D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计</w:t>
                  </w:r>
                  <w:r>
                    <w:rPr>
                      <w:rFonts w:hint="eastAsia"/>
                      <w:color w:val="auto"/>
                      <w:sz w:val="18"/>
                      <w:szCs w:val="18"/>
                      <w:lang w:val="en-US" w:eastAsia="zh-CN"/>
                    </w:rPr>
                    <w:t>抛丸废气</w:t>
                  </w:r>
                  <w:r>
                    <w:rPr>
                      <w:rFonts w:hint="eastAsia"/>
                      <w:color w:val="auto"/>
                      <w:sz w:val="18"/>
                      <w:szCs w:val="18"/>
                    </w:rPr>
                    <w:t>收集风量为L=V×F×3600=</w:t>
                  </w:r>
                  <w:r>
                    <w:rPr>
                      <w:rFonts w:hint="eastAsia"/>
                      <w:color w:val="auto"/>
                      <w:sz w:val="18"/>
                      <w:szCs w:val="18"/>
                      <w:lang w:val="en-US" w:eastAsia="zh-CN"/>
                    </w:rPr>
                    <w:t>（3.0</w:t>
                  </w:r>
                  <w:r>
                    <w:rPr>
                      <w:rFonts w:hint="eastAsia"/>
                      <w:color w:val="auto"/>
                      <w:sz w:val="18"/>
                      <w:szCs w:val="18"/>
                    </w:rPr>
                    <w:t>×</w:t>
                  </w:r>
                  <w:r>
                    <w:rPr>
                      <w:rFonts w:hint="eastAsia"/>
                      <w:color w:val="auto"/>
                      <w:sz w:val="18"/>
                      <w:szCs w:val="18"/>
                      <w:lang w:val="en-US" w:eastAsia="zh-CN"/>
                    </w:rPr>
                    <w:t>2）</w:t>
                  </w:r>
                  <w:r>
                    <w:rPr>
                      <w:rFonts w:hint="eastAsia"/>
                      <w:color w:val="auto"/>
                      <w:sz w:val="18"/>
                      <w:szCs w:val="18"/>
                    </w:rPr>
                    <w:t>×</w:t>
                  </w:r>
                  <w:r>
                    <w:rPr>
                      <w:rFonts w:hint="eastAsia"/>
                      <w:color w:val="auto"/>
                      <w:sz w:val="18"/>
                      <w:szCs w:val="18"/>
                      <w:lang w:val="en-US" w:eastAsia="zh-CN"/>
                    </w:rPr>
                    <w:t>0.4</w:t>
                  </w:r>
                  <w:r>
                    <w:rPr>
                      <w:rFonts w:hint="eastAsia"/>
                      <w:color w:val="auto"/>
                      <w:sz w:val="18"/>
                      <w:szCs w:val="18"/>
                    </w:rPr>
                    <w:t>×3600=</w:t>
                  </w:r>
                  <w:r>
                    <w:rPr>
                      <w:rFonts w:hint="eastAsia"/>
                      <w:color w:val="auto"/>
                      <w:sz w:val="18"/>
                      <w:szCs w:val="18"/>
                      <w:lang w:val="en-US" w:eastAsia="zh-CN"/>
                    </w:rPr>
                    <w:t>8640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shd w:val="clear" w:color="auto" w:fill="auto"/>
                  <w:vAlign w:val="center"/>
                </w:tcPr>
                <w:p w14:paraId="22F0979A">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8640</w:t>
                  </w:r>
                </w:p>
              </w:tc>
              <w:tc>
                <w:tcPr>
                  <w:tcW w:w="807" w:type="dxa"/>
                  <w:tcBorders>
                    <w:right w:val="single" w:color="auto" w:sz="4" w:space="0"/>
                    <w:tl2br w:val="nil"/>
                    <w:tr2bl w:val="nil"/>
                  </w:tcBorders>
                  <w:shd w:val="clear" w:color="auto" w:fill="auto"/>
                  <w:vAlign w:val="center"/>
                </w:tcPr>
                <w:p w14:paraId="4ADFE35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10000</w:t>
                  </w:r>
                </w:p>
              </w:tc>
              <w:tc>
                <w:tcPr>
                  <w:tcW w:w="870" w:type="dxa"/>
                  <w:tcBorders>
                    <w:left w:val="single" w:color="auto" w:sz="4" w:space="0"/>
                    <w:tl2br w:val="nil"/>
                    <w:tr2bl w:val="nil"/>
                  </w:tcBorders>
                  <w:shd w:val="clear" w:color="auto" w:fill="auto"/>
                  <w:vAlign w:val="center"/>
                </w:tcPr>
                <w:p w14:paraId="458A961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袋式除尘器</w:t>
                  </w:r>
                </w:p>
              </w:tc>
              <w:tc>
                <w:tcPr>
                  <w:tcW w:w="629" w:type="dxa"/>
                  <w:tcBorders>
                    <w:tl2br w:val="nil"/>
                    <w:tr2bl w:val="nil"/>
                  </w:tcBorders>
                  <w:shd w:val="clear" w:color="auto" w:fill="auto"/>
                  <w:vAlign w:val="center"/>
                </w:tcPr>
                <w:p w14:paraId="44F180A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DA008</w:t>
                  </w:r>
                </w:p>
              </w:tc>
            </w:tr>
            <w:tr w14:paraId="0624DA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3DF4EE8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固化废气</w:t>
                  </w:r>
                </w:p>
              </w:tc>
              <w:tc>
                <w:tcPr>
                  <w:tcW w:w="813" w:type="dxa"/>
                  <w:tcBorders>
                    <w:left w:val="single" w:color="auto" w:sz="4" w:space="0"/>
                    <w:right w:val="single" w:color="auto" w:sz="4" w:space="0"/>
                    <w:tl2br w:val="nil"/>
                    <w:tr2bl w:val="nil"/>
                  </w:tcBorders>
                  <w:shd w:val="clear" w:color="auto" w:fill="auto"/>
                  <w:vAlign w:val="center"/>
                </w:tcPr>
                <w:p w14:paraId="03C12369">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密闭收集</w:t>
                  </w:r>
                </w:p>
              </w:tc>
              <w:tc>
                <w:tcPr>
                  <w:tcW w:w="3574" w:type="dxa"/>
                  <w:tcBorders>
                    <w:left w:val="single" w:color="auto" w:sz="4" w:space="0"/>
                    <w:tl2br w:val="nil"/>
                    <w:tr2bl w:val="nil"/>
                  </w:tcBorders>
                  <w:shd w:val="clear" w:color="auto" w:fill="auto"/>
                  <w:vAlign w:val="center"/>
                </w:tcPr>
                <w:p w14:paraId="5B24B6C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0"/>
                      <w:sz w:val="18"/>
                      <w:szCs w:val="18"/>
                      <w:lang w:val="en-US" w:eastAsia="zh-CN"/>
                    </w:rPr>
                    <w:t>固化工序天然气用量为9</w:t>
                  </w:r>
                  <w:r>
                    <w:rPr>
                      <w:rFonts w:hint="default" w:ascii="Times New Roman" w:hAnsi="Times New Roman" w:cs="Times New Roman"/>
                      <w:color w:val="auto"/>
                      <w:spacing w:val="0"/>
                      <w:sz w:val="18"/>
                      <w:szCs w:val="18"/>
                      <w:lang w:val="en-US" w:eastAsia="zh-CN"/>
                    </w:rPr>
                    <w:t>0万m³/a</w:t>
                  </w:r>
                  <w:r>
                    <w:rPr>
                      <w:rFonts w:hint="eastAsia" w:cs="Times New Roman"/>
                      <w:color w:val="auto"/>
                      <w:spacing w:val="0"/>
                      <w:sz w:val="18"/>
                      <w:szCs w:val="18"/>
                      <w:lang w:val="en-US" w:eastAsia="zh-CN"/>
                    </w:rPr>
                    <w:t>，根据产排污系数手册，固化工序废气量以1</w:t>
                  </w:r>
                  <w:r>
                    <w:rPr>
                      <w:rFonts w:hint="eastAsia" w:cs="Times New Roman"/>
                      <w:b w:val="0"/>
                      <w:bCs w:val="0"/>
                      <w:color w:val="auto"/>
                      <w:spacing w:val="-1"/>
                      <w:sz w:val="18"/>
                      <w:szCs w:val="18"/>
                      <w:lang w:val="en-US" w:eastAsia="zh-CN"/>
                    </w:rPr>
                    <w:t>3.6标立方米/立方米-原料计，</w:t>
                  </w:r>
                  <w:r>
                    <w:rPr>
                      <w:rFonts w:hint="eastAsia" w:cs="Times New Roman"/>
                      <w:color w:val="auto"/>
                      <w:spacing w:val="0"/>
                      <w:sz w:val="18"/>
                      <w:szCs w:val="18"/>
                      <w:lang w:val="en-US" w:eastAsia="zh-CN"/>
                    </w:rPr>
                    <w:t>固化工序</w:t>
                  </w:r>
                  <w:r>
                    <w:rPr>
                      <w:rFonts w:hint="eastAsia" w:cs="Times New Roman"/>
                      <w:b w:val="0"/>
                      <w:bCs w:val="0"/>
                      <w:color w:val="auto"/>
                      <w:spacing w:val="-1"/>
                      <w:sz w:val="18"/>
                      <w:szCs w:val="18"/>
                      <w:lang w:val="en-US" w:eastAsia="zh-CN"/>
                    </w:rPr>
                    <w:t>年运行7200h，则固化工序小时废气量为90万</w:t>
                  </w:r>
                  <w:r>
                    <w:rPr>
                      <w:rFonts w:hint="eastAsia"/>
                      <w:color w:val="auto"/>
                      <w:sz w:val="18"/>
                      <w:szCs w:val="18"/>
                    </w:rPr>
                    <w:t>×</w:t>
                  </w:r>
                  <w:r>
                    <w:rPr>
                      <w:rFonts w:hint="eastAsia"/>
                      <w:color w:val="auto"/>
                      <w:sz w:val="18"/>
                      <w:szCs w:val="18"/>
                      <w:lang w:val="en-US" w:eastAsia="zh-CN"/>
                    </w:rPr>
                    <w:t>13.6</w:t>
                  </w:r>
                  <w:r>
                    <w:rPr>
                      <w:rFonts w:hint="default" w:ascii="Arial" w:hAnsi="Arial" w:cs="Arial"/>
                      <w:color w:val="auto"/>
                      <w:sz w:val="18"/>
                      <w:szCs w:val="18"/>
                      <w:lang w:val="en-US" w:eastAsia="zh-CN"/>
                    </w:rPr>
                    <w:t>÷</w:t>
                  </w:r>
                  <w:r>
                    <w:rPr>
                      <w:rFonts w:hint="eastAsia"/>
                      <w:color w:val="auto"/>
                      <w:sz w:val="18"/>
                      <w:szCs w:val="18"/>
                      <w:lang w:val="en-US" w:eastAsia="zh-CN"/>
                    </w:rPr>
                    <w:t>7200=1700m³/h</w:t>
                  </w:r>
                </w:p>
              </w:tc>
              <w:tc>
                <w:tcPr>
                  <w:tcW w:w="869" w:type="dxa"/>
                  <w:tcBorders>
                    <w:tl2br w:val="nil"/>
                    <w:tr2bl w:val="nil"/>
                  </w:tcBorders>
                  <w:shd w:val="clear" w:color="auto" w:fill="auto"/>
                  <w:vAlign w:val="center"/>
                </w:tcPr>
                <w:p w14:paraId="133EC584">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1700</w:t>
                  </w:r>
                </w:p>
              </w:tc>
              <w:tc>
                <w:tcPr>
                  <w:tcW w:w="807" w:type="dxa"/>
                  <w:tcBorders>
                    <w:right w:val="single" w:color="auto" w:sz="4" w:space="0"/>
                    <w:tl2br w:val="nil"/>
                    <w:tr2bl w:val="nil"/>
                  </w:tcBorders>
                  <w:shd w:val="clear" w:color="auto" w:fill="auto"/>
                  <w:vAlign w:val="center"/>
                </w:tcPr>
                <w:p w14:paraId="6F9DFC9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2500</w:t>
                  </w:r>
                </w:p>
              </w:tc>
              <w:tc>
                <w:tcPr>
                  <w:tcW w:w="870" w:type="dxa"/>
                  <w:tcBorders>
                    <w:left w:val="single" w:color="auto" w:sz="4" w:space="0"/>
                    <w:tl2br w:val="nil"/>
                    <w:tr2bl w:val="nil"/>
                  </w:tcBorders>
                  <w:shd w:val="clear" w:color="auto" w:fill="auto"/>
                  <w:vAlign w:val="center"/>
                </w:tcPr>
                <w:p w14:paraId="628FC31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水喷淋+干式过滤器+活性炭吸附</w:t>
                  </w:r>
                </w:p>
              </w:tc>
              <w:tc>
                <w:tcPr>
                  <w:tcW w:w="629" w:type="dxa"/>
                  <w:tcBorders>
                    <w:tl2br w:val="nil"/>
                    <w:tr2bl w:val="nil"/>
                  </w:tcBorders>
                  <w:vAlign w:val="center"/>
                </w:tcPr>
                <w:p w14:paraId="3D65986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DA009</w:t>
                  </w:r>
                </w:p>
              </w:tc>
            </w:tr>
            <w:tr w14:paraId="2303B1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3499DF09">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投料、拌料</w:t>
                  </w:r>
                  <w:r>
                    <w:rPr>
                      <w:rFonts w:hint="default" w:ascii="Times New Roman" w:hAnsi="Times New Roman" w:cs="Times New Roman"/>
                      <w:color w:val="auto"/>
                      <w:spacing w:val="-1"/>
                      <w:sz w:val="18"/>
                      <w:szCs w:val="18"/>
                    </w:rPr>
                    <w:t>粉尘废气</w:t>
                  </w:r>
                </w:p>
              </w:tc>
              <w:tc>
                <w:tcPr>
                  <w:tcW w:w="813" w:type="dxa"/>
                  <w:tcBorders>
                    <w:left w:val="single" w:color="auto" w:sz="4" w:space="0"/>
                    <w:right w:val="single" w:color="auto" w:sz="4" w:space="0"/>
                    <w:tl2br w:val="nil"/>
                    <w:tr2bl w:val="nil"/>
                  </w:tcBorders>
                  <w:shd w:val="clear" w:color="auto" w:fill="auto"/>
                  <w:vAlign w:val="center"/>
                </w:tcPr>
                <w:p w14:paraId="7D742E3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集气罩收集</w:t>
                  </w:r>
                </w:p>
              </w:tc>
              <w:tc>
                <w:tcPr>
                  <w:tcW w:w="3574" w:type="dxa"/>
                  <w:tcBorders>
                    <w:left w:val="single" w:color="auto" w:sz="4" w:space="0"/>
                    <w:tl2br w:val="nil"/>
                    <w:tr2bl w:val="nil"/>
                  </w:tcBorders>
                  <w:shd w:val="clear" w:color="auto" w:fill="auto"/>
                  <w:vAlign w:val="center"/>
                </w:tcPr>
                <w:p w14:paraId="54C83F2A">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L=3600V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w:t>
                  </w:r>
                </w:p>
                <w:p w14:paraId="6F4EBDE2">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—罩口平均风速（m/s），项目取</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m/s；</w:t>
                  </w:r>
                </w:p>
                <w:p w14:paraId="4A08207C">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F—罩口面积（m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p w14:paraId="5BD4FAC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消防软管投料、拌料</w:t>
                  </w:r>
                  <w:r>
                    <w:rPr>
                      <w:rFonts w:hint="default" w:ascii="Times New Roman" w:hAnsi="Times New Roman" w:cs="Times New Roman"/>
                      <w:color w:val="auto"/>
                      <w:sz w:val="18"/>
                      <w:szCs w:val="18"/>
                      <w:lang w:val="en-US" w:eastAsia="zh-CN"/>
                    </w:rPr>
                    <w:t>废气</w:t>
                  </w:r>
                  <w:r>
                    <w:rPr>
                      <w:rFonts w:hint="default" w:ascii="Times New Roman" w:hAnsi="Times New Roman" w:cs="Times New Roman"/>
                      <w:color w:val="auto"/>
                      <w:sz w:val="18"/>
                      <w:szCs w:val="18"/>
                    </w:rPr>
                    <w:t>采用</w:t>
                  </w:r>
                  <w:r>
                    <w:rPr>
                      <w:rFonts w:hint="default" w:ascii="Times New Roman" w:hAnsi="Times New Roman" w:cs="Times New Roman"/>
                      <w:color w:val="auto"/>
                      <w:sz w:val="18"/>
                      <w:szCs w:val="18"/>
                      <w:lang w:val="en-US" w:eastAsia="zh-CN"/>
                    </w:rPr>
                    <w:t>矩形</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设备</w:t>
                  </w:r>
                  <w:r>
                    <w:rPr>
                      <w:rFonts w:hint="eastAsia" w:cs="Times New Roman"/>
                      <w:color w:val="auto"/>
                      <w:sz w:val="18"/>
                      <w:szCs w:val="18"/>
                      <w:lang w:val="en-US" w:eastAsia="zh-CN"/>
                    </w:rPr>
                    <w:t>4台</w:t>
                  </w:r>
                  <w:r>
                    <w:rPr>
                      <w:rFonts w:hint="default" w:ascii="Times New Roman" w:hAnsi="Times New Roman" w:cs="Times New Roman"/>
                      <w:color w:val="auto"/>
                      <w:sz w:val="18"/>
                      <w:szCs w:val="18"/>
                      <w:lang w:val="en-US" w:eastAsia="zh-CN"/>
                    </w:rPr>
                    <w:t>，集气罩口长</w:t>
                  </w:r>
                  <w:r>
                    <w:rPr>
                      <w:rFonts w:hint="eastAsia" w:cs="Times New Roman"/>
                      <w:color w:val="auto"/>
                      <w:sz w:val="18"/>
                      <w:szCs w:val="18"/>
                      <w:lang w:val="en-US" w:eastAsia="zh-CN"/>
                    </w:rPr>
                    <w:t>宽</w:t>
                  </w:r>
                  <w:r>
                    <w:rPr>
                      <w:rFonts w:hint="default" w:ascii="Times New Roman" w:hAnsi="Times New Roman" w:cs="Times New Roman"/>
                      <w:color w:val="auto"/>
                      <w:sz w:val="18"/>
                      <w:szCs w:val="18"/>
                      <w:lang w:val="en-US" w:eastAsia="zh-CN"/>
                    </w:rPr>
                    <w:t>为</w:t>
                  </w:r>
                  <w:r>
                    <w:rPr>
                      <w:rFonts w:hint="eastAsia" w:cs="Times New Roman"/>
                      <w:color w:val="auto"/>
                      <w:sz w:val="18"/>
                      <w:szCs w:val="18"/>
                      <w:lang w:val="en-US" w:eastAsia="zh-CN"/>
                    </w:rPr>
                    <w:t>0.6</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5</w:t>
                  </w:r>
                  <w:r>
                    <w:rPr>
                      <w:rFonts w:hint="default" w:ascii="Times New Roman" w:hAnsi="Times New Roman" w:cs="Times New Roman"/>
                      <w:color w:val="auto"/>
                      <w:sz w:val="18"/>
                      <w:szCs w:val="18"/>
                    </w:rPr>
                    <w:t>m，计算得：L=V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×F×3600=</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6</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5</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×3600=</w:t>
                  </w:r>
                  <w:r>
                    <w:rPr>
                      <w:rFonts w:hint="eastAsia" w:cs="Times New Roman"/>
                      <w:color w:val="auto"/>
                      <w:sz w:val="18"/>
                      <w:szCs w:val="18"/>
                      <w:lang w:val="en-US" w:eastAsia="zh-CN"/>
                    </w:rPr>
                    <w:t>5184</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69" w:type="dxa"/>
                  <w:tcBorders>
                    <w:tl2br w:val="nil"/>
                    <w:tr2bl w:val="nil"/>
                  </w:tcBorders>
                  <w:shd w:val="clear" w:color="auto" w:fill="auto"/>
                  <w:vAlign w:val="center"/>
                </w:tcPr>
                <w:p w14:paraId="6AF235F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5184</w:t>
                  </w:r>
                </w:p>
              </w:tc>
              <w:tc>
                <w:tcPr>
                  <w:tcW w:w="807" w:type="dxa"/>
                  <w:tcBorders>
                    <w:right w:val="single" w:color="auto" w:sz="4" w:space="0"/>
                    <w:tl2br w:val="nil"/>
                    <w:tr2bl w:val="nil"/>
                  </w:tcBorders>
                  <w:shd w:val="clear" w:color="auto" w:fill="auto"/>
                  <w:vAlign w:val="center"/>
                </w:tcPr>
                <w:p w14:paraId="00BBABE4">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6000</w:t>
                  </w:r>
                </w:p>
              </w:tc>
              <w:tc>
                <w:tcPr>
                  <w:tcW w:w="870" w:type="dxa"/>
                  <w:tcBorders>
                    <w:left w:val="single" w:color="auto" w:sz="4" w:space="0"/>
                    <w:tl2br w:val="nil"/>
                    <w:tr2bl w:val="nil"/>
                  </w:tcBorders>
                  <w:shd w:val="clear" w:color="auto" w:fill="auto"/>
                  <w:vAlign w:val="center"/>
                </w:tcPr>
                <w:p w14:paraId="190DB09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袋式除尘器</w:t>
                  </w:r>
                </w:p>
              </w:tc>
              <w:tc>
                <w:tcPr>
                  <w:tcW w:w="629" w:type="dxa"/>
                  <w:tcBorders>
                    <w:tl2br w:val="nil"/>
                    <w:tr2bl w:val="nil"/>
                  </w:tcBorders>
                  <w:shd w:val="clear" w:color="auto" w:fill="auto"/>
                  <w:vAlign w:val="center"/>
                </w:tcPr>
                <w:p w14:paraId="351315E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DA010</w:t>
                  </w:r>
                </w:p>
              </w:tc>
            </w:tr>
            <w:tr w14:paraId="51B197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39A8BC5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造粒、挤出废气</w:t>
                  </w:r>
                </w:p>
              </w:tc>
              <w:tc>
                <w:tcPr>
                  <w:tcW w:w="813" w:type="dxa"/>
                  <w:tcBorders>
                    <w:left w:val="single" w:color="auto" w:sz="4" w:space="0"/>
                    <w:right w:val="single" w:color="auto" w:sz="4" w:space="0"/>
                    <w:tl2br w:val="nil"/>
                    <w:tr2bl w:val="nil"/>
                  </w:tcBorders>
                  <w:shd w:val="clear" w:color="auto" w:fill="auto"/>
                  <w:vAlign w:val="center"/>
                </w:tcPr>
                <w:p w14:paraId="742EC28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集气罩收集</w:t>
                  </w:r>
                </w:p>
              </w:tc>
              <w:tc>
                <w:tcPr>
                  <w:tcW w:w="3574" w:type="dxa"/>
                  <w:tcBorders>
                    <w:left w:val="single" w:color="auto" w:sz="4" w:space="0"/>
                    <w:tl2br w:val="nil"/>
                    <w:tr2bl w:val="nil"/>
                  </w:tcBorders>
                  <w:shd w:val="clear" w:color="auto" w:fill="auto"/>
                  <w:vAlign w:val="center"/>
                </w:tcPr>
                <w:p w14:paraId="2F885943">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L=3600V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w:t>
                  </w:r>
                </w:p>
                <w:p w14:paraId="4DC65C3C">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—罩口平均风速（m/s），项目取</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m/s；</w:t>
                  </w:r>
                </w:p>
                <w:p w14:paraId="5F73E5E2">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F—罩口面积（m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p w14:paraId="483257D7">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消防软管造粒机2台，</w:t>
                  </w:r>
                  <w:r>
                    <w:rPr>
                      <w:rFonts w:hint="default" w:ascii="Times New Roman" w:hAnsi="Times New Roman" w:cs="Times New Roman"/>
                      <w:color w:val="auto"/>
                      <w:sz w:val="18"/>
                      <w:szCs w:val="18"/>
                      <w:lang w:val="en-US" w:eastAsia="zh-CN"/>
                    </w:rPr>
                    <w:t>废气</w:t>
                  </w:r>
                  <w:r>
                    <w:rPr>
                      <w:rFonts w:hint="default" w:ascii="Times New Roman" w:hAnsi="Times New Roman" w:cs="Times New Roman"/>
                      <w:color w:val="auto"/>
                      <w:sz w:val="18"/>
                      <w:szCs w:val="18"/>
                    </w:rPr>
                    <w:t>采用</w:t>
                  </w:r>
                  <w:r>
                    <w:rPr>
                      <w:rFonts w:hint="default" w:ascii="Times New Roman" w:hAnsi="Times New Roman" w:cs="Times New Roman"/>
                      <w:color w:val="auto"/>
                      <w:sz w:val="18"/>
                      <w:szCs w:val="18"/>
                      <w:lang w:val="en-US" w:eastAsia="zh-CN"/>
                    </w:rPr>
                    <w:t>矩形</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集气罩口长</w:t>
                  </w:r>
                  <w:r>
                    <w:rPr>
                      <w:rFonts w:hint="eastAsia" w:cs="Times New Roman"/>
                      <w:color w:val="auto"/>
                      <w:sz w:val="18"/>
                      <w:szCs w:val="18"/>
                      <w:lang w:val="en-US" w:eastAsia="zh-CN"/>
                    </w:rPr>
                    <w:t>宽</w:t>
                  </w:r>
                  <w:r>
                    <w:rPr>
                      <w:rFonts w:hint="default" w:ascii="Times New Roman" w:hAnsi="Times New Roman" w:cs="Times New Roman"/>
                      <w:color w:val="auto"/>
                      <w:sz w:val="18"/>
                      <w:szCs w:val="18"/>
                      <w:lang w:val="en-US" w:eastAsia="zh-CN"/>
                    </w:rPr>
                    <w:t>为</w:t>
                  </w:r>
                  <w:r>
                    <w:rPr>
                      <w:rFonts w:hint="eastAsia" w:cs="Times New Roman"/>
                      <w:color w:val="auto"/>
                      <w:sz w:val="18"/>
                      <w:szCs w:val="18"/>
                      <w:lang w:val="en-US" w:eastAsia="zh-CN"/>
                    </w:rPr>
                    <w:t>0.4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4</w:t>
                  </w:r>
                  <w:r>
                    <w:rPr>
                      <w:rFonts w:hint="default" w:ascii="Times New Roman" w:hAnsi="Times New Roman" w:cs="Times New Roman"/>
                      <w:color w:val="auto"/>
                      <w:sz w:val="18"/>
                      <w:szCs w:val="18"/>
                    </w:rPr>
                    <w:t>m</w:t>
                  </w:r>
                  <w:r>
                    <w:rPr>
                      <w:rFonts w:hint="eastAsia" w:cs="Times New Roman"/>
                      <w:color w:val="auto"/>
                      <w:sz w:val="18"/>
                      <w:szCs w:val="18"/>
                      <w:lang w:eastAsia="zh-CN"/>
                    </w:rPr>
                    <w:t>，</w:t>
                  </w:r>
                  <w:r>
                    <w:rPr>
                      <w:rFonts w:hint="eastAsia" w:cs="Times New Roman"/>
                      <w:color w:val="auto"/>
                      <w:sz w:val="18"/>
                      <w:szCs w:val="18"/>
                      <w:lang w:val="en-US" w:eastAsia="zh-CN"/>
                    </w:rPr>
                    <w:t>消防水带和消防软管挤管机各</w:t>
                  </w:r>
                  <w:r>
                    <w:rPr>
                      <w:rFonts w:hint="default" w:ascii="Times New Roman" w:hAnsi="Times New Roman" w:cs="Times New Roman"/>
                      <w:color w:val="auto"/>
                      <w:sz w:val="18"/>
                      <w:szCs w:val="18"/>
                      <w:lang w:val="en-US" w:eastAsia="zh-CN"/>
                    </w:rPr>
                    <w:t>设备</w:t>
                  </w:r>
                  <w:r>
                    <w:rPr>
                      <w:rFonts w:hint="eastAsia" w:cs="Times New Roman"/>
                      <w:color w:val="auto"/>
                      <w:sz w:val="18"/>
                      <w:szCs w:val="18"/>
                      <w:lang w:val="en-US" w:eastAsia="zh-CN"/>
                    </w:rPr>
                    <w:t>4台</w:t>
                  </w:r>
                  <w:r>
                    <w:rPr>
                      <w:rFonts w:hint="default" w:ascii="Times New Roman" w:hAnsi="Times New Roman" w:cs="Times New Roman"/>
                      <w:color w:val="auto"/>
                      <w:sz w:val="18"/>
                      <w:szCs w:val="18"/>
                      <w:lang w:val="en-US" w:eastAsia="zh-CN"/>
                    </w:rPr>
                    <w:t>，集气罩口长</w:t>
                  </w:r>
                  <w:r>
                    <w:rPr>
                      <w:rFonts w:hint="eastAsia" w:cs="Times New Roman"/>
                      <w:color w:val="auto"/>
                      <w:sz w:val="18"/>
                      <w:szCs w:val="18"/>
                      <w:lang w:val="en-US" w:eastAsia="zh-CN"/>
                    </w:rPr>
                    <w:t>宽</w:t>
                  </w:r>
                  <w:r>
                    <w:rPr>
                      <w:rFonts w:hint="default" w:ascii="Times New Roman" w:hAnsi="Times New Roman" w:cs="Times New Roman"/>
                      <w:color w:val="auto"/>
                      <w:sz w:val="18"/>
                      <w:szCs w:val="18"/>
                      <w:lang w:val="en-US" w:eastAsia="zh-CN"/>
                    </w:rPr>
                    <w:t>为</w:t>
                  </w:r>
                  <w:r>
                    <w:rPr>
                      <w:rFonts w:hint="eastAsia" w:cs="Times New Roman"/>
                      <w:color w:val="auto"/>
                      <w:sz w:val="18"/>
                      <w:szCs w:val="18"/>
                      <w:lang w:val="en-US" w:eastAsia="zh-CN"/>
                    </w:rPr>
                    <w:t>0.4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4</w:t>
                  </w:r>
                  <w:r>
                    <w:rPr>
                      <w:rFonts w:hint="default" w:ascii="Times New Roman" w:hAnsi="Times New Roman" w:cs="Times New Roman"/>
                      <w:color w:val="auto"/>
                      <w:sz w:val="18"/>
                      <w:szCs w:val="18"/>
                    </w:rPr>
                    <w:t>m，计算得：L=V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×F×3600=</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4+8</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4</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4</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×3600=</w:t>
                  </w:r>
                  <w:r>
                    <w:rPr>
                      <w:rFonts w:hint="eastAsia" w:cs="Times New Roman"/>
                      <w:color w:val="auto"/>
                      <w:sz w:val="18"/>
                      <w:szCs w:val="18"/>
                      <w:lang w:val="en-US" w:eastAsia="zh-CN"/>
                    </w:rPr>
                    <w:t>6912</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69" w:type="dxa"/>
                  <w:tcBorders>
                    <w:tl2br w:val="nil"/>
                    <w:tr2bl w:val="nil"/>
                  </w:tcBorders>
                  <w:shd w:val="clear" w:color="auto" w:fill="auto"/>
                  <w:vAlign w:val="center"/>
                </w:tcPr>
                <w:p w14:paraId="6B6CA379">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6912</w:t>
                  </w:r>
                </w:p>
              </w:tc>
              <w:tc>
                <w:tcPr>
                  <w:tcW w:w="807" w:type="dxa"/>
                  <w:tcBorders>
                    <w:right w:val="single" w:color="auto" w:sz="4" w:space="0"/>
                    <w:tl2br w:val="nil"/>
                    <w:tr2bl w:val="nil"/>
                  </w:tcBorders>
                  <w:shd w:val="clear" w:color="auto" w:fill="auto"/>
                  <w:vAlign w:val="center"/>
                </w:tcPr>
                <w:p w14:paraId="6631B5C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8000</w:t>
                  </w:r>
                </w:p>
              </w:tc>
              <w:tc>
                <w:tcPr>
                  <w:tcW w:w="870" w:type="dxa"/>
                  <w:tcBorders>
                    <w:left w:val="single" w:color="auto" w:sz="4" w:space="0"/>
                    <w:tl2br w:val="nil"/>
                    <w:tr2bl w:val="nil"/>
                  </w:tcBorders>
                  <w:shd w:val="clear" w:color="auto" w:fill="auto"/>
                  <w:vAlign w:val="center"/>
                </w:tcPr>
                <w:p w14:paraId="6D65A10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活性炭吸附</w:t>
                  </w:r>
                </w:p>
              </w:tc>
              <w:tc>
                <w:tcPr>
                  <w:tcW w:w="629" w:type="dxa"/>
                  <w:tcBorders>
                    <w:tl2br w:val="nil"/>
                    <w:tr2bl w:val="nil"/>
                  </w:tcBorders>
                  <w:vAlign w:val="center"/>
                </w:tcPr>
                <w:p w14:paraId="74777C39">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DA011</w:t>
                  </w:r>
                </w:p>
              </w:tc>
            </w:tr>
            <w:tr w14:paraId="2EC2B7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526D0940">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锅炉燃料废气</w:t>
                  </w:r>
                </w:p>
              </w:tc>
              <w:tc>
                <w:tcPr>
                  <w:tcW w:w="813" w:type="dxa"/>
                  <w:tcBorders>
                    <w:left w:val="single" w:color="auto" w:sz="4" w:space="0"/>
                    <w:right w:val="single" w:color="auto" w:sz="4" w:space="0"/>
                    <w:tl2br w:val="nil"/>
                    <w:tr2bl w:val="nil"/>
                  </w:tcBorders>
                  <w:shd w:val="clear" w:color="auto" w:fill="auto"/>
                  <w:vAlign w:val="center"/>
                </w:tcPr>
                <w:p w14:paraId="382CEC8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密闭收集</w:t>
                  </w:r>
                </w:p>
              </w:tc>
              <w:tc>
                <w:tcPr>
                  <w:tcW w:w="3574" w:type="dxa"/>
                  <w:tcBorders>
                    <w:left w:val="single" w:color="auto" w:sz="4" w:space="0"/>
                    <w:tl2br w:val="nil"/>
                    <w:tr2bl w:val="nil"/>
                  </w:tcBorders>
                  <w:shd w:val="clear" w:color="auto" w:fill="auto"/>
                  <w:vAlign w:val="center"/>
                </w:tcPr>
                <w:p w14:paraId="37CF1D22">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0"/>
                      <w:sz w:val="18"/>
                      <w:szCs w:val="18"/>
                      <w:lang w:val="en-US" w:eastAsia="zh-CN"/>
                    </w:rPr>
                    <w:t>锅炉天然气用量为36</w:t>
                  </w:r>
                  <w:r>
                    <w:rPr>
                      <w:rFonts w:hint="default" w:ascii="Times New Roman" w:hAnsi="Times New Roman" w:cs="Times New Roman"/>
                      <w:color w:val="auto"/>
                      <w:spacing w:val="0"/>
                      <w:sz w:val="18"/>
                      <w:szCs w:val="18"/>
                      <w:lang w:val="en-US" w:eastAsia="zh-CN"/>
                    </w:rPr>
                    <w:t>万m³/a</w:t>
                  </w:r>
                  <w:r>
                    <w:rPr>
                      <w:rFonts w:hint="eastAsia" w:cs="Times New Roman"/>
                      <w:color w:val="auto"/>
                      <w:spacing w:val="0"/>
                      <w:sz w:val="18"/>
                      <w:szCs w:val="18"/>
                      <w:lang w:val="en-US" w:eastAsia="zh-CN"/>
                    </w:rPr>
                    <w:t>，根据产排污系数手册，锅炉废气量以</w:t>
                  </w:r>
                  <w:r>
                    <w:rPr>
                      <w:rFonts w:hint="eastAsia" w:cs="Times New Roman"/>
                      <w:b w:val="0"/>
                      <w:bCs w:val="0"/>
                      <w:color w:val="auto"/>
                      <w:spacing w:val="-1"/>
                      <w:sz w:val="18"/>
                      <w:szCs w:val="18"/>
                      <w:lang w:val="en-US" w:eastAsia="zh-CN"/>
                    </w:rPr>
                    <w:t>107753标立方米/万立方米-原料计天然气年运行4800h，则</w:t>
                  </w:r>
                  <w:r>
                    <w:rPr>
                      <w:rFonts w:hint="eastAsia" w:cs="Times New Roman"/>
                      <w:color w:val="auto"/>
                      <w:spacing w:val="0"/>
                      <w:sz w:val="18"/>
                      <w:szCs w:val="18"/>
                      <w:lang w:val="en-US" w:eastAsia="zh-CN"/>
                    </w:rPr>
                    <w:t>锅炉</w:t>
                  </w:r>
                  <w:r>
                    <w:rPr>
                      <w:rFonts w:hint="eastAsia" w:cs="Times New Roman"/>
                      <w:b w:val="0"/>
                      <w:bCs w:val="0"/>
                      <w:color w:val="auto"/>
                      <w:spacing w:val="-1"/>
                      <w:sz w:val="18"/>
                      <w:szCs w:val="18"/>
                      <w:lang w:val="en-US" w:eastAsia="zh-CN"/>
                    </w:rPr>
                    <w:t>小时废气量为36</w:t>
                  </w:r>
                  <w:r>
                    <w:rPr>
                      <w:rFonts w:hint="eastAsia"/>
                      <w:color w:val="auto"/>
                      <w:sz w:val="18"/>
                      <w:szCs w:val="18"/>
                    </w:rPr>
                    <w:t>×</w:t>
                  </w:r>
                  <w:r>
                    <w:rPr>
                      <w:rFonts w:hint="eastAsia"/>
                      <w:color w:val="auto"/>
                      <w:sz w:val="18"/>
                      <w:szCs w:val="18"/>
                      <w:lang w:val="en-US" w:eastAsia="zh-CN"/>
                    </w:rPr>
                    <w:t>107753</w:t>
                  </w:r>
                  <w:r>
                    <w:rPr>
                      <w:rFonts w:hint="default" w:ascii="Arial" w:hAnsi="Arial" w:cs="Arial"/>
                      <w:color w:val="auto"/>
                      <w:sz w:val="18"/>
                      <w:szCs w:val="18"/>
                      <w:lang w:val="en-US" w:eastAsia="zh-CN"/>
                    </w:rPr>
                    <w:t>÷</w:t>
                  </w:r>
                  <w:r>
                    <w:rPr>
                      <w:rFonts w:hint="eastAsia"/>
                      <w:color w:val="auto"/>
                      <w:sz w:val="18"/>
                      <w:szCs w:val="18"/>
                      <w:lang w:val="en-US" w:eastAsia="zh-CN"/>
                    </w:rPr>
                    <w:t>4800=808.1m³/h</w:t>
                  </w:r>
                </w:p>
              </w:tc>
              <w:tc>
                <w:tcPr>
                  <w:tcW w:w="869" w:type="dxa"/>
                  <w:tcBorders>
                    <w:tl2br w:val="nil"/>
                    <w:tr2bl w:val="nil"/>
                  </w:tcBorders>
                  <w:shd w:val="clear" w:color="auto" w:fill="auto"/>
                  <w:vAlign w:val="center"/>
                </w:tcPr>
                <w:p w14:paraId="7ED8C30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808.1</w:t>
                  </w:r>
                </w:p>
              </w:tc>
              <w:tc>
                <w:tcPr>
                  <w:tcW w:w="807" w:type="dxa"/>
                  <w:tcBorders>
                    <w:right w:val="single" w:color="auto" w:sz="4" w:space="0"/>
                    <w:tl2br w:val="nil"/>
                    <w:tr2bl w:val="nil"/>
                  </w:tcBorders>
                  <w:shd w:val="clear" w:color="auto" w:fill="auto"/>
                  <w:vAlign w:val="center"/>
                </w:tcPr>
                <w:p w14:paraId="3C2F414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808.1</w:t>
                  </w:r>
                </w:p>
              </w:tc>
              <w:tc>
                <w:tcPr>
                  <w:tcW w:w="870" w:type="dxa"/>
                  <w:tcBorders>
                    <w:left w:val="single" w:color="auto" w:sz="4" w:space="0"/>
                    <w:tl2br w:val="nil"/>
                    <w:tr2bl w:val="nil"/>
                  </w:tcBorders>
                  <w:shd w:val="clear" w:color="auto" w:fill="auto"/>
                  <w:vAlign w:val="center"/>
                </w:tcPr>
                <w:p w14:paraId="3A7693C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9" w:type="dxa"/>
                  <w:tcBorders>
                    <w:tl2br w:val="nil"/>
                    <w:tr2bl w:val="nil"/>
                  </w:tcBorders>
                  <w:vAlign w:val="center"/>
                </w:tcPr>
                <w:p w14:paraId="06787D0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DA012</w:t>
                  </w:r>
                </w:p>
              </w:tc>
            </w:tr>
            <w:tr w14:paraId="54AACD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0A9BD8F2">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Times New Roman" w:cs="Times New Roman"/>
                      <w:color w:val="auto"/>
                      <w:kern w:val="2"/>
                      <w:sz w:val="18"/>
                      <w:szCs w:val="18"/>
                      <w:lang w:val="en-US" w:eastAsia="zh-CN" w:bidi="ar-SA"/>
                    </w:rPr>
                  </w:pPr>
                  <w:r>
                    <w:rPr>
                      <w:rFonts w:hint="default" w:ascii="Times New Roman" w:hAnsi="Times New Roman" w:cs="Times New Roman"/>
                      <w:color w:val="auto"/>
                      <w:sz w:val="18"/>
                      <w:szCs w:val="18"/>
                    </w:rPr>
                    <w:t>加热炉燃料</w:t>
                  </w:r>
                  <w:r>
                    <w:rPr>
                      <w:rFonts w:hint="default" w:ascii="Times New Roman" w:hAnsi="Times New Roman" w:cs="Times New Roman"/>
                      <w:color w:val="auto"/>
                      <w:spacing w:val="-1"/>
                      <w:sz w:val="18"/>
                      <w:szCs w:val="18"/>
                    </w:rPr>
                    <w:t>废气</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红冲间</w:t>
                  </w:r>
                  <w:r>
                    <w:rPr>
                      <w:rFonts w:hint="default" w:ascii="Times New Roman" w:hAnsi="Times New Roman" w:eastAsia="Times New Roman" w:cs="Times New Roman"/>
                      <w:color w:val="auto"/>
                      <w:sz w:val="18"/>
                      <w:szCs w:val="18"/>
                    </w:rPr>
                    <w:t>)</w:t>
                  </w:r>
                </w:p>
              </w:tc>
              <w:tc>
                <w:tcPr>
                  <w:tcW w:w="813" w:type="dxa"/>
                  <w:tcBorders>
                    <w:left w:val="single" w:color="auto" w:sz="4" w:space="0"/>
                    <w:right w:val="single" w:color="auto" w:sz="4" w:space="0"/>
                    <w:tl2br w:val="nil"/>
                    <w:tr2bl w:val="nil"/>
                  </w:tcBorders>
                  <w:shd w:val="clear" w:color="auto" w:fill="auto"/>
                  <w:vAlign w:val="center"/>
                </w:tcPr>
                <w:p w14:paraId="4302C4CE">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密闭收集</w:t>
                  </w:r>
                </w:p>
              </w:tc>
              <w:tc>
                <w:tcPr>
                  <w:tcW w:w="3574" w:type="dxa"/>
                  <w:tcBorders>
                    <w:left w:val="single" w:color="auto" w:sz="4" w:space="0"/>
                    <w:tl2br w:val="nil"/>
                    <w:tr2bl w:val="nil"/>
                  </w:tcBorders>
                  <w:shd w:val="clear" w:color="auto" w:fill="auto"/>
                  <w:vAlign w:val="center"/>
                </w:tcPr>
                <w:p w14:paraId="0D72E7D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pacing w:val="0"/>
                      <w:sz w:val="18"/>
                      <w:szCs w:val="18"/>
                      <w:lang w:val="en-US" w:eastAsia="zh-CN"/>
                    </w:rPr>
                    <w:t>红冲加热炉天然气用量为1</w:t>
                  </w:r>
                  <w:r>
                    <w:rPr>
                      <w:rFonts w:hint="default" w:ascii="Times New Roman" w:hAnsi="Times New Roman" w:cs="Times New Roman"/>
                      <w:color w:val="auto"/>
                      <w:spacing w:val="0"/>
                      <w:sz w:val="18"/>
                      <w:szCs w:val="18"/>
                      <w:lang w:val="en-US" w:eastAsia="zh-CN"/>
                    </w:rPr>
                    <w:t>0万m³/a</w:t>
                  </w:r>
                  <w:r>
                    <w:rPr>
                      <w:rFonts w:hint="eastAsia" w:cs="Times New Roman"/>
                      <w:color w:val="auto"/>
                      <w:spacing w:val="0"/>
                      <w:sz w:val="18"/>
                      <w:szCs w:val="18"/>
                      <w:lang w:val="en-US" w:eastAsia="zh-CN"/>
                    </w:rPr>
                    <w:t>，根据产排污系数手册，红冲加热炉废气量以1</w:t>
                  </w:r>
                  <w:r>
                    <w:rPr>
                      <w:rFonts w:hint="eastAsia" w:cs="Times New Roman"/>
                      <w:b w:val="0"/>
                      <w:bCs w:val="0"/>
                      <w:color w:val="auto"/>
                      <w:spacing w:val="-1"/>
                      <w:sz w:val="18"/>
                      <w:szCs w:val="18"/>
                      <w:lang w:val="en-US" w:eastAsia="zh-CN"/>
                    </w:rPr>
                    <w:t>3.6标立方米/立方米-原料计，</w:t>
                  </w:r>
                  <w:r>
                    <w:rPr>
                      <w:rFonts w:hint="eastAsia" w:cs="Times New Roman"/>
                      <w:color w:val="auto"/>
                      <w:spacing w:val="0"/>
                      <w:sz w:val="18"/>
                      <w:szCs w:val="18"/>
                      <w:lang w:val="en-US" w:eastAsia="zh-CN"/>
                    </w:rPr>
                    <w:t>红冲加热炉</w:t>
                  </w:r>
                  <w:r>
                    <w:rPr>
                      <w:rFonts w:hint="eastAsia" w:cs="Times New Roman"/>
                      <w:b w:val="0"/>
                      <w:bCs w:val="0"/>
                      <w:color w:val="auto"/>
                      <w:spacing w:val="-1"/>
                      <w:sz w:val="18"/>
                      <w:szCs w:val="18"/>
                      <w:lang w:val="en-US" w:eastAsia="zh-CN"/>
                    </w:rPr>
                    <w:t>年运行2400h，则小时废气量为10万</w:t>
                  </w:r>
                  <w:r>
                    <w:rPr>
                      <w:rFonts w:hint="eastAsia"/>
                      <w:color w:val="auto"/>
                      <w:sz w:val="18"/>
                      <w:szCs w:val="18"/>
                    </w:rPr>
                    <w:t>×</w:t>
                  </w:r>
                  <w:r>
                    <w:rPr>
                      <w:rFonts w:hint="eastAsia"/>
                      <w:color w:val="auto"/>
                      <w:sz w:val="18"/>
                      <w:szCs w:val="18"/>
                      <w:lang w:val="en-US" w:eastAsia="zh-CN"/>
                    </w:rPr>
                    <w:t>13.6</w:t>
                  </w:r>
                  <w:r>
                    <w:rPr>
                      <w:rFonts w:hint="default" w:ascii="Arial" w:hAnsi="Arial" w:cs="Arial"/>
                      <w:color w:val="auto"/>
                      <w:sz w:val="18"/>
                      <w:szCs w:val="18"/>
                      <w:lang w:val="en-US" w:eastAsia="zh-CN"/>
                    </w:rPr>
                    <w:t>÷</w:t>
                  </w:r>
                  <w:r>
                    <w:rPr>
                      <w:rFonts w:hint="eastAsia"/>
                      <w:color w:val="auto"/>
                      <w:sz w:val="18"/>
                      <w:szCs w:val="18"/>
                      <w:lang w:val="en-US" w:eastAsia="zh-CN"/>
                    </w:rPr>
                    <w:t>2400=556.7m³/h</w:t>
                  </w:r>
                </w:p>
              </w:tc>
              <w:tc>
                <w:tcPr>
                  <w:tcW w:w="869" w:type="dxa"/>
                  <w:tcBorders>
                    <w:tl2br w:val="nil"/>
                    <w:tr2bl w:val="nil"/>
                  </w:tcBorders>
                  <w:shd w:val="clear" w:color="auto" w:fill="auto"/>
                  <w:vAlign w:val="center"/>
                </w:tcPr>
                <w:p w14:paraId="40CA8B84">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556.7</w:t>
                  </w:r>
                </w:p>
              </w:tc>
              <w:tc>
                <w:tcPr>
                  <w:tcW w:w="807" w:type="dxa"/>
                  <w:tcBorders>
                    <w:right w:val="single" w:color="auto" w:sz="4" w:space="0"/>
                    <w:tl2br w:val="nil"/>
                    <w:tr2bl w:val="nil"/>
                  </w:tcBorders>
                  <w:shd w:val="clear" w:color="auto" w:fill="auto"/>
                  <w:vAlign w:val="center"/>
                </w:tcPr>
                <w:p w14:paraId="2FAD453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55.6.7</w:t>
                  </w:r>
                </w:p>
              </w:tc>
              <w:tc>
                <w:tcPr>
                  <w:tcW w:w="870" w:type="dxa"/>
                  <w:tcBorders>
                    <w:left w:val="single" w:color="auto" w:sz="4" w:space="0"/>
                    <w:tl2br w:val="nil"/>
                    <w:tr2bl w:val="nil"/>
                  </w:tcBorders>
                  <w:shd w:val="clear" w:color="auto" w:fill="auto"/>
                  <w:vAlign w:val="center"/>
                </w:tcPr>
                <w:p w14:paraId="5785EB4E">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9" w:type="dxa"/>
                  <w:tcBorders>
                    <w:tl2br w:val="nil"/>
                    <w:tr2bl w:val="nil"/>
                  </w:tcBorders>
                  <w:shd w:val="clear" w:color="auto" w:fill="auto"/>
                  <w:vAlign w:val="center"/>
                </w:tcPr>
                <w:p w14:paraId="617C84D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DA013</w:t>
                  </w:r>
                </w:p>
              </w:tc>
            </w:tr>
            <w:tr w14:paraId="06C7FB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3F723886">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Times New Roman" w:cs="Times New Roman"/>
                      <w:color w:val="auto"/>
                      <w:kern w:val="2"/>
                      <w:sz w:val="18"/>
                      <w:szCs w:val="18"/>
                      <w:lang w:val="en-US" w:eastAsia="zh-CN" w:bidi="ar-SA"/>
                    </w:rPr>
                  </w:pPr>
                  <w:r>
                    <w:rPr>
                      <w:rFonts w:hint="eastAsia" w:eastAsia="Times New Roman" w:cs="Times New Roman"/>
                      <w:color w:val="auto"/>
                      <w:kern w:val="2"/>
                      <w:sz w:val="18"/>
                      <w:szCs w:val="18"/>
                      <w:lang w:val="en-US" w:eastAsia="zh-CN" w:bidi="ar-SA"/>
                    </w:rPr>
                    <w:t>冲压</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红冲</w:t>
                  </w:r>
                  <w:r>
                    <w:rPr>
                      <w:rFonts w:hint="default" w:ascii="Times New Roman" w:hAnsi="Times New Roman" w:cs="Times New Roman"/>
                      <w:color w:val="auto"/>
                      <w:sz w:val="18"/>
                      <w:szCs w:val="18"/>
                      <w:lang w:val="en-US" w:eastAsia="zh-CN"/>
                    </w:rPr>
                    <w:t>工件</w:t>
                  </w:r>
                  <w:r>
                    <w:rPr>
                      <w:rFonts w:hint="default" w:ascii="Times New Roman" w:hAnsi="Times New Roman" w:eastAsia="Times New Roman" w:cs="Times New Roman"/>
                      <w:color w:val="auto"/>
                      <w:sz w:val="18"/>
                      <w:szCs w:val="18"/>
                    </w:rPr>
                    <w:t>)</w:t>
                  </w:r>
                </w:p>
              </w:tc>
              <w:tc>
                <w:tcPr>
                  <w:tcW w:w="813" w:type="dxa"/>
                  <w:tcBorders>
                    <w:left w:val="single" w:color="auto" w:sz="4" w:space="0"/>
                    <w:right w:val="single" w:color="auto" w:sz="4" w:space="0"/>
                    <w:tl2br w:val="nil"/>
                    <w:tr2bl w:val="nil"/>
                  </w:tcBorders>
                  <w:shd w:val="clear" w:color="auto" w:fill="auto"/>
                  <w:vAlign w:val="center"/>
                </w:tcPr>
                <w:p w14:paraId="43C48D6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集气罩收集</w:t>
                  </w:r>
                </w:p>
              </w:tc>
              <w:tc>
                <w:tcPr>
                  <w:tcW w:w="3574" w:type="dxa"/>
                  <w:tcBorders>
                    <w:left w:val="single" w:color="auto" w:sz="4" w:space="0"/>
                    <w:tl2br w:val="nil"/>
                    <w:tr2bl w:val="nil"/>
                  </w:tcBorders>
                  <w:shd w:val="clear" w:color="auto" w:fill="auto"/>
                  <w:vAlign w:val="center"/>
                </w:tcPr>
                <w:p w14:paraId="28522879">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L=3600V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w:t>
                  </w:r>
                </w:p>
                <w:p w14:paraId="0D523E79">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—罩口平均风速（m/s），项目取</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m/s；</w:t>
                  </w:r>
                </w:p>
                <w:p w14:paraId="18E5A71B">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F—罩口面积（m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p w14:paraId="016DA6F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冲压机6台，</w:t>
                  </w:r>
                  <w:r>
                    <w:rPr>
                      <w:rFonts w:hint="default" w:ascii="Times New Roman" w:hAnsi="Times New Roman" w:cs="Times New Roman"/>
                      <w:color w:val="auto"/>
                      <w:sz w:val="18"/>
                      <w:szCs w:val="18"/>
                      <w:lang w:val="en-US" w:eastAsia="zh-CN"/>
                    </w:rPr>
                    <w:t>废气</w:t>
                  </w:r>
                  <w:r>
                    <w:rPr>
                      <w:rFonts w:hint="default" w:ascii="Times New Roman" w:hAnsi="Times New Roman" w:cs="Times New Roman"/>
                      <w:color w:val="auto"/>
                      <w:sz w:val="18"/>
                      <w:szCs w:val="18"/>
                    </w:rPr>
                    <w:t>采用</w:t>
                  </w:r>
                  <w:r>
                    <w:rPr>
                      <w:rFonts w:hint="eastAsia" w:cs="Times New Roman"/>
                      <w:color w:val="auto"/>
                      <w:sz w:val="18"/>
                      <w:szCs w:val="18"/>
                      <w:lang w:val="en-US" w:eastAsia="zh-CN"/>
                    </w:rPr>
                    <w:t>圆形</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集气罩</w:t>
                  </w:r>
                  <w:r>
                    <w:rPr>
                      <w:rFonts w:hint="eastAsia" w:cs="Times New Roman"/>
                      <w:color w:val="auto"/>
                      <w:sz w:val="18"/>
                      <w:szCs w:val="18"/>
                      <w:lang w:val="en-US" w:eastAsia="zh-CN"/>
                    </w:rPr>
                    <w:t>直径</w:t>
                  </w:r>
                  <w:r>
                    <w:rPr>
                      <w:rFonts w:hint="default" w:ascii="Times New Roman" w:hAnsi="Times New Roman" w:cs="Times New Roman"/>
                      <w:color w:val="auto"/>
                      <w:sz w:val="18"/>
                      <w:szCs w:val="18"/>
                      <w:lang w:val="en-US" w:eastAsia="zh-CN"/>
                    </w:rPr>
                    <w:t>为</w:t>
                  </w:r>
                  <w:r>
                    <w:rPr>
                      <w:rFonts w:hint="eastAsia" w:cs="Times New Roman"/>
                      <w:color w:val="auto"/>
                      <w:sz w:val="18"/>
                      <w:szCs w:val="18"/>
                      <w:lang w:val="en-US" w:eastAsia="zh-CN"/>
                    </w:rPr>
                    <w:t>0.3</w:t>
                  </w:r>
                  <w:r>
                    <w:rPr>
                      <w:rFonts w:hint="eastAsia" w:cs="Times New Roman"/>
                      <w:color w:val="auto"/>
                      <w:sz w:val="18"/>
                      <w:szCs w:val="18"/>
                      <w:lang w:eastAsia="zh-CN"/>
                    </w:rPr>
                    <w:t>，</w:t>
                  </w:r>
                  <w:r>
                    <w:rPr>
                      <w:rFonts w:hint="default" w:ascii="Times New Roman" w:hAnsi="Times New Roman" w:cs="Times New Roman"/>
                      <w:color w:val="auto"/>
                      <w:sz w:val="18"/>
                      <w:szCs w:val="18"/>
                    </w:rPr>
                    <w:t>计算得：L=V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×F×3600=</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0.15</w:t>
                  </w:r>
                  <w:r>
                    <w:rPr>
                      <w:rFonts w:hint="eastAsia" w:cs="Times New Roman"/>
                      <w:color w:val="auto"/>
                      <w:sz w:val="18"/>
                      <w:szCs w:val="18"/>
                      <w:vertAlign w:val="superscript"/>
                      <w:lang w:val="en-US" w:eastAsia="zh-CN"/>
                    </w:rPr>
                    <w:t>2</w:t>
                  </w:r>
                  <w:r>
                    <w:rPr>
                      <w:rFonts w:hint="default" w:ascii="Times New Roman" w:hAnsi="Times New Roman" w:cs="Times New Roman"/>
                      <w:color w:val="auto"/>
                      <w:sz w:val="18"/>
                      <w:szCs w:val="18"/>
                    </w:rPr>
                    <w:t>×</w:t>
                  </w:r>
                  <w:r>
                    <w:rPr>
                      <w:rFonts w:hint="eastAsia" w:cs="Times New Roman"/>
                      <w:color w:val="auto"/>
                      <w:sz w:val="18"/>
                      <w:szCs w:val="18"/>
                      <w:lang w:val="en-US" w:eastAsia="zh-CN"/>
                    </w:rPr>
                    <w:t>3.14</w:t>
                  </w:r>
                  <w:r>
                    <w:rPr>
                      <w:rFonts w:hint="default" w:ascii="Times New Roman" w:hAnsi="Times New Roman" w:cs="Times New Roman"/>
                      <w:color w:val="auto"/>
                      <w:sz w:val="18"/>
                      <w:szCs w:val="18"/>
                    </w:rPr>
                    <w:t>×</w:t>
                  </w:r>
                  <w:r>
                    <w:rPr>
                      <w:rFonts w:hint="eastAsia" w:cs="Times New Roman"/>
                      <w:color w:val="auto"/>
                      <w:sz w:val="18"/>
                      <w:szCs w:val="18"/>
                      <w:lang w:val="en-US" w:eastAsia="zh-CN"/>
                    </w:rPr>
                    <w:t>6</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×3600=</w:t>
                  </w:r>
                  <w:r>
                    <w:rPr>
                      <w:rFonts w:hint="eastAsia" w:cs="Times New Roman"/>
                      <w:color w:val="auto"/>
                      <w:sz w:val="18"/>
                      <w:szCs w:val="18"/>
                      <w:lang w:val="en-US" w:eastAsia="zh-CN"/>
                    </w:rPr>
                    <w:t>1831.25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69" w:type="dxa"/>
                  <w:tcBorders>
                    <w:tl2br w:val="nil"/>
                    <w:tr2bl w:val="nil"/>
                  </w:tcBorders>
                  <w:shd w:val="clear" w:color="auto" w:fill="auto"/>
                  <w:vAlign w:val="center"/>
                </w:tcPr>
                <w:p w14:paraId="60C70FC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1831.25</w:t>
                  </w:r>
                </w:p>
              </w:tc>
              <w:tc>
                <w:tcPr>
                  <w:tcW w:w="807" w:type="dxa"/>
                  <w:vMerge w:val="restart"/>
                  <w:tcBorders>
                    <w:right w:val="single" w:color="auto" w:sz="4" w:space="0"/>
                    <w:tl2br w:val="nil"/>
                    <w:tr2bl w:val="nil"/>
                  </w:tcBorders>
                  <w:shd w:val="clear" w:color="auto" w:fill="auto"/>
                  <w:vAlign w:val="center"/>
                </w:tcPr>
                <w:p w14:paraId="15AEBD6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16000</w:t>
                  </w:r>
                </w:p>
              </w:tc>
              <w:tc>
                <w:tcPr>
                  <w:tcW w:w="870" w:type="dxa"/>
                  <w:vMerge w:val="restart"/>
                  <w:tcBorders>
                    <w:left w:val="single" w:color="auto" w:sz="4" w:space="0"/>
                    <w:tl2br w:val="nil"/>
                    <w:tr2bl w:val="nil"/>
                  </w:tcBorders>
                  <w:shd w:val="clear" w:color="auto" w:fill="auto"/>
                  <w:vAlign w:val="center"/>
                </w:tcPr>
                <w:p w14:paraId="3CAEFE12">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袋式除尘器</w:t>
                  </w:r>
                </w:p>
              </w:tc>
              <w:tc>
                <w:tcPr>
                  <w:tcW w:w="629" w:type="dxa"/>
                  <w:vMerge w:val="restart"/>
                  <w:tcBorders>
                    <w:tl2br w:val="nil"/>
                    <w:tr2bl w:val="nil"/>
                  </w:tcBorders>
                  <w:vAlign w:val="center"/>
                </w:tcPr>
                <w:p w14:paraId="213D0A1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DA014</w:t>
                  </w:r>
                </w:p>
              </w:tc>
            </w:tr>
            <w:tr w14:paraId="3EC819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3064436B">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cs="Times New Roman"/>
                      <w:color w:val="auto"/>
                      <w:spacing w:val="-1"/>
                      <w:sz w:val="18"/>
                      <w:szCs w:val="18"/>
                    </w:rPr>
                    <w:t>抛丸废气</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红冲</w:t>
                  </w:r>
                  <w:r>
                    <w:rPr>
                      <w:rFonts w:hint="default" w:ascii="Times New Roman" w:hAnsi="Times New Roman" w:cs="Times New Roman"/>
                      <w:color w:val="auto"/>
                      <w:sz w:val="18"/>
                      <w:szCs w:val="18"/>
                      <w:lang w:val="en-US" w:eastAsia="zh-CN"/>
                    </w:rPr>
                    <w:t>工件</w:t>
                  </w:r>
                  <w:r>
                    <w:rPr>
                      <w:rFonts w:hint="default" w:ascii="Times New Roman" w:hAnsi="Times New Roman" w:eastAsia="Times New Roman" w:cs="Times New Roman"/>
                      <w:color w:val="auto"/>
                      <w:sz w:val="18"/>
                      <w:szCs w:val="18"/>
                    </w:rPr>
                    <w:t>)</w:t>
                  </w:r>
                </w:p>
              </w:tc>
              <w:tc>
                <w:tcPr>
                  <w:tcW w:w="813" w:type="dxa"/>
                  <w:tcBorders>
                    <w:left w:val="single" w:color="auto" w:sz="4" w:space="0"/>
                    <w:right w:val="single" w:color="auto" w:sz="4" w:space="0"/>
                    <w:tl2br w:val="nil"/>
                    <w:tr2bl w:val="nil"/>
                  </w:tcBorders>
                  <w:shd w:val="clear" w:color="auto" w:fill="auto"/>
                  <w:vAlign w:val="center"/>
                </w:tcPr>
                <w:p w14:paraId="15904AE9">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密闭收集</w:t>
                  </w:r>
                </w:p>
              </w:tc>
              <w:tc>
                <w:tcPr>
                  <w:tcW w:w="3574" w:type="dxa"/>
                  <w:tcBorders>
                    <w:left w:val="single" w:color="auto" w:sz="4" w:space="0"/>
                    <w:tl2br w:val="nil"/>
                    <w:tr2bl w:val="nil"/>
                  </w:tcBorders>
                  <w:shd w:val="clear" w:color="auto" w:fill="auto"/>
                  <w:vAlign w:val="center"/>
                </w:tcPr>
                <w:p w14:paraId="25DDDE9D">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lang w:val="en-US" w:eastAsia="zh-CN"/>
                    </w:rPr>
                    <w:t>按照密闭罩的计算方法粗略核算</w:t>
                  </w:r>
                  <w:r>
                    <w:rPr>
                      <w:rFonts w:hint="eastAsia"/>
                      <w:color w:val="auto"/>
                      <w:sz w:val="18"/>
                      <w:szCs w:val="18"/>
                    </w:rPr>
                    <w:t>废气收集情况</w:t>
                  </w:r>
                  <w:r>
                    <w:rPr>
                      <w:rFonts w:hint="eastAsia"/>
                      <w:color w:val="auto"/>
                      <w:sz w:val="18"/>
                      <w:szCs w:val="18"/>
                      <w:lang w:eastAsia="zh-CN"/>
                    </w:rPr>
                    <w:t>，</w:t>
                  </w:r>
                  <w:r>
                    <w:rPr>
                      <w:rFonts w:hint="eastAsia"/>
                      <w:color w:val="auto"/>
                      <w:sz w:val="18"/>
                      <w:szCs w:val="18"/>
                    </w:rPr>
                    <w:t>按截面风速计算：L=3600Fv。</w:t>
                  </w:r>
                </w:p>
                <w:p w14:paraId="5AF39D73">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F—密闭罩横截面积，m</w:t>
                  </w:r>
                  <w:r>
                    <w:rPr>
                      <w:rFonts w:hint="eastAsia"/>
                      <w:color w:val="auto"/>
                      <w:sz w:val="18"/>
                      <w:szCs w:val="18"/>
                      <w:vertAlign w:val="superscript"/>
                    </w:rPr>
                    <w:t>2</w:t>
                  </w:r>
                  <w:r>
                    <w:rPr>
                      <w:rFonts w:hint="eastAsia"/>
                      <w:color w:val="auto"/>
                      <w:sz w:val="18"/>
                      <w:szCs w:val="18"/>
                    </w:rPr>
                    <w:t>。本项目</w:t>
                  </w:r>
                  <w:r>
                    <w:rPr>
                      <w:rFonts w:hint="eastAsia"/>
                      <w:color w:val="auto"/>
                      <w:sz w:val="18"/>
                      <w:szCs w:val="18"/>
                      <w:lang w:val="en-US" w:eastAsia="zh-CN"/>
                    </w:rPr>
                    <w:t>红冲工件设2台抛丸机，截面积均为1.5</w:t>
                  </w:r>
                  <w:r>
                    <w:rPr>
                      <w:rFonts w:hint="eastAsia"/>
                      <w:color w:val="auto"/>
                      <w:sz w:val="18"/>
                      <w:szCs w:val="18"/>
                    </w:rPr>
                    <w:t>m</w:t>
                  </w:r>
                  <w:r>
                    <w:rPr>
                      <w:rFonts w:hint="eastAsia"/>
                      <w:color w:val="auto"/>
                      <w:sz w:val="18"/>
                      <w:szCs w:val="18"/>
                      <w:vertAlign w:val="superscript"/>
                    </w:rPr>
                    <w:t>2</w:t>
                  </w:r>
                  <w:r>
                    <w:rPr>
                      <w:rFonts w:hint="eastAsia"/>
                      <w:color w:val="auto"/>
                      <w:sz w:val="18"/>
                      <w:szCs w:val="18"/>
                    </w:rPr>
                    <w:t>。</w:t>
                  </w:r>
                </w:p>
                <w:p w14:paraId="1F423161">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eastAsia"/>
                      <w:color w:val="auto"/>
                      <w:sz w:val="18"/>
                      <w:szCs w:val="18"/>
                    </w:rPr>
                  </w:pPr>
                  <w:r>
                    <w:rPr>
                      <w:rFonts w:hint="eastAsia"/>
                      <w:color w:val="auto"/>
                      <w:sz w:val="18"/>
                      <w:szCs w:val="18"/>
                    </w:rPr>
                    <w:t>v—密闭罩横截面积平均风速，一般取0.4m/s。</w:t>
                  </w:r>
                </w:p>
                <w:p w14:paraId="56EE2DE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计</w:t>
                  </w:r>
                  <w:r>
                    <w:rPr>
                      <w:rFonts w:hint="eastAsia"/>
                      <w:color w:val="auto"/>
                      <w:sz w:val="18"/>
                      <w:szCs w:val="18"/>
                      <w:lang w:val="en-US" w:eastAsia="zh-CN"/>
                    </w:rPr>
                    <w:t>抛丸废气</w:t>
                  </w:r>
                  <w:r>
                    <w:rPr>
                      <w:rFonts w:hint="eastAsia"/>
                      <w:color w:val="auto"/>
                      <w:sz w:val="18"/>
                      <w:szCs w:val="18"/>
                    </w:rPr>
                    <w:t>收集风量为L=V×F×3600=</w:t>
                  </w:r>
                  <w:r>
                    <w:rPr>
                      <w:rFonts w:hint="eastAsia"/>
                      <w:color w:val="auto"/>
                      <w:sz w:val="18"/>
                      <w:szCs w:val="18"/>
                      <w:lang w:val="en-US" w:eastAsia="zh-CN"/>
                    </w:rPr>
                    <w:t>（1.5</w:t>
                  </w:r>
                  <w:r>
                    <w:rPr>
                      <w:rFonts w:hint="eastAsia"/>
                      <w:color w:val="auto"/>
                      <w:sz w:val="18"/>
                      <w:szCs w:val="18"/>
                    </w:rPr>
                    <w:t>×</w:t>
                  </w:r>
                  <w:r>
                    <w:rPr>
                      <w:rFonts w:hint="eastAsia"/>
                      <w:color w:val="auto"/>
                      <w:sz w:val="18"/>
                      <w:szCs w:val="18"/>
                      <w:lang w:val="en-US" w:eastAsia="zh-CN"/>
                    </w:rPr>
                    <w:t>2）</w:t>
                  </w:r>
                  <w:r>
                    <w:rPr>
                      <w:rFonts w:hint="eastAsia"/>
                      <w:color w:val="auto"/>
                      <w:sz w:val="18"/>
                      <w:szCs w:val="18"/>
                    </w:rPr>
                    <w:t>×</w:t>
                  </w:r>
                  <w:r>
                    <w:rPr>
                      <w:rFonts w:hint="eastAsia"/>
                      <w:color w:val="auto"/>
                      <w:sz w:val="18"/>
                      <w:szCs w:val="18"/>
                      <w:lang w:val="en-US" w:eastAsia="zh-CN"/>
                    </w:rPr>
                    <w:t>0.4</w:t>
                  </w:r>
                  <w:r>
                    <w:rPr>
                      <w:rFonts w:hint="eastAsia"/>
                      <w:color w:val="auto"/>
                      <w:sz w:val="18"/>
                      <w:szCs w:val="18"/>
                    </w:rPr>
                    <w:t>×3600=</w:t>
                  </w:r>
                  <w:r>
                    <w:rPr>
                      <w:rFonts w:hint="eastAsia"/>
                      <w:color w:val="auto"/>
                      <w:sz w:val="18"/>
                      <w:szCs w:val="18"/>
                      <w:lang w:val="en-US" w:eastAsia="zh-CN"/>
                    </w:rPr>
                    <w:t>8640</w:t>
                  </w:r>
                  <w:r>
                    <w:rPr>
                      <w:rFonts w:hint="eastAsia"/>
                      <w:color w:val="auto"/>
                      <w:sz w:val="18"/>
                      <w:szCs w:val="18"/>
                    </w:rPr>
                    <w:t>m</w:t>
                  </w:r>
                  <w:r>
                    <w:rPr>
                      <w:rFonts w:hint="eastAsia"/>
                      <w:color w:val="auto"/>
                      <w:sz w:val="18"/>
                      <w:szCs w:val="18"/>
                      <w:vertAlign w:val="superscript"/>
                    </w:rPr>
                    <w:t>3</w:t>
                  </w:r>
                  <w:r>
                    <w:rPr>
                      <w:rFonts w:hint="eastAsia"/>
                      <w:color w:val="auto"/>
                      <w:sz w:val="18"/>
                      <w:szCs w:val="18"/>
                    </w:rPr>
                    <w:t>/h。</w:t>
                  </w:r>
                </w:p>
              </w:tc>
              <w:tc>
                <w:tcPr>
                  <w:tcW w:w="869" w:type="dxa"/>
                  <w:tcBorders>
                    <w:tl2br w:val="nil"/>
                    <w:tr2bl w:val="nil"/>
                  </w:tcBorders>
                  <w:shd w:val="clear" w:color="auto" w:fill="auto"/>
                  <w:vAlign w:val="center"/>
                </w:tcPr>
                <w:p w14:paraId="0EA96FA9">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4320</w:t>
                  </w:r>
                </w:p>
              </w:tc>
              <w:tc>
                <w:tcPr>
                  <w:tcW w:w="807" w:type="dxa"/>
                  <w:vMerge w:val="continue"/>
                  <w:tcBorders>
                    <w:right w:val="single" w:color="auto" w:sz="4" w:space="0"/>
                    <w:tl2br w:val="nil"/>
                    <w:tr2bl w:val="nil"/>
                  </w:tcBorders>
                  <w:shd w:val="clear" w:color="auto" w:fill="auto"/>
                  <w:vAlign w:val="center"/>
                </w:tcPr>
                <w:p w14:paraId="150BFF0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33F635B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0622139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611328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77CFD50F">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Times New Roman" w:cs="Times New Roman"/>
                      <w:color w:val="auto"/>
                      <w:kern w:val="2"/>
                      <w:sz w:val="18"/>
                      <w:szCs w:val="18"/>
                      <w:lang w:val="en-US" w:eastAsia="zh-CN" w:bidi="ar-SA"/>
                    </w:rPr>
                  </w:pPr>
                  <w:r>
                    <w:rPr>
                      <w:rFonts w:hint="default" w:ascii="Times New Roman" w:hAnsi="Times New Roman" w:cs="Times New Roman"/>
                      <w:color w:val="auto"/>
                      <w:sz w:val="18"/>
                      <w:szCs w:val="18"/>
                    </w:rPr>
                    <w:t>打磨废气</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压铸</w:t>
                  </w:r>
                  <w:r>
                    <w:rPr>
                      <w:rFonts w:hint="default" w:ascii="Times New Roman" w:hAnsi="Times New Roman" w:cs="Times New Roman"/>
                      <w:color w:val="auto"/>
                      <w:sz w:val="18"/>
                      <w:szCs w:val="18"/>
                      <w:lang w:val="en-US" w:eastAsia="zh-CN"/>
                    </w:rPr>
                    <w:t>工件</w:t>
                  </w:r>
                  <w:r>
                    <w:rPr>
                      <w:rFonts w:hint="default" w:ascii="Times New Roman" w:hAnsi="Times New Roman" w:eastAsia="Times New Roman" w:cs="Times New Roman"/>
                      <w:color w:val="auto"/>
                      <w:sz w:val="18"/>
                      <w:szCs w:val="18"/>
                    </w:rPr>
                    <w:t>)</w:t>
                  </w:r>
                </w:p>
              </w:tc>
              <w:tc>
                <w:tcPr>
                  <w:tcW w:w="813" w:type="dxa"/>
                  <w:tcBorders>
                    <w:left w:val="single" w:color="auto" w:sz="4" w:space="0"/>
                    <w:right w:val="single" w:color="auto" w:sz="4" w:space="0"/>
                    <w:tl2br w:val="nil"/>
                    <w:tr2bl w:val="nil"/>
                  </w:tcBorders>
                  <w:shd w:val="clear" w:color="auto" w:fill="auto"/>
                  <w:vAlign w:val="center"/>
                </w:tcPr>
                <w:p w14:paraId="047DC05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集气罩收集</w:t>
                  </w:r>
                </w:p>
              </w:tc>
              <w:tc>
                <w:tcPr>
                  <w:tcW w:w="3574" w:type="dxa"/>
                  <w:tcBorders>
                    <w:left w:val="single" w:color="auto" w:sz="4" w:space="0"/>
                    <w:tl2br w:val="nil"/>
                    <w:tr2bl w:val="nil"/>
                  </w:tcBorders>
                  <w:shd w:val="clear" w:color="auto" w:fill="auto"/>
                  <w:vAlign w:val="center"/>
                </w:tcPr>
                <w:p w14:paraId="518FF0D8">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L=3600V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w:t>
                  </w:r>
                </w:p>
                <w:p w14:paraId="6F39B085">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—罩口平均风速（m/s），项目取</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m/s；</w:t>
                  </w:r>
                </w:p>
                <w:p w14:paraId="3A8BDA7C">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F—罩口面积（m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p w14:paraId="6FE989F1">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压铸设有抛光机4台，</w:t>
                  </w:r>
                  <w:r>
                    <w:rPr>
                      <w:rFonts w:hint="default" w:ascii="Times New Roman" w:hAnsi="Times New Roman" w:cs="Times New Roman"/>
                      <w:color w:val="auto"/>
                      <w:sz w:val="18"/>
                      <w:szCs w:val="18"/>
                      <w:lang w:val="en-US" w:eastAsia="zh-CN"/>
                    </w:rPr>
                    <w:t>废气</w:t>
                  </w:r>
                  <w:r>
                    <w:rPr>
                      <w:rFonts w:hint="default" w:ascii="Times New Roman" w:hAnsi="Times New Roman" w:cs="Times New Roman"/>
                      <w:color w:val="auto"/>
                      <w:sz w:val="18"/>
                      <w:szCs w:val="18"/>
                    </w:rPr>
                    <w:t>采用</w:t>
                  </w:r>
                  <w:r>
                    <w:rPr>
                      <w:rFonts w:hint="eastAsia" w:cs="Times New Roman"/>
                      <w:color w:val="auto"/>
                      <w:sz w:val="18"/>
                      <w:szCs w:val="18"/>
                      <w:lang w:val="en-US" w:eastAsia="zh-CN"/>
                    </w:rPr>
                    <w:t>矩形</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集气罩</w:t>
                  </w:r>
                  <w:r>
                    <w:rPr>
                      <w:rFonts w:hint="eastAsia" w:cs="Times New Roman"/>
                      <w:color w:val="auto"/>
                      <w:sz w:val="18"/>
                      <w:szCs w:val="18"/>
                      <w:lang w:val="en-US" w:eastAsia="zh-CN"/>
                    </w:rPr>
                    <w:t>长宽为0.5m</w:t>
                  </w:r>
                  <w:r>
                    <w:rPr>
                      <w:rFonts w:hint="default" w:ascii="Times New Roman" w:hAnsi="Times New Roman" w:cs="Times New Roman"/>
                      <w:color w:val="auto"/>
                      <w:sz w:val="18"/>
                      <w:szCs w:val="18"/>
                    </w:rPr>
                    <w:t>×</w:t>
                  </w:r>
                  <w:r>
                    <w:rPr>
                      <w:rFonts w:hint="eastAsia" w:cs="Times New Roman"/>
                      <w:color w:val="auto"/>
                      <w:sz w:val="18"/>
                      <w:szCs w:val="18"/>
                      <w:lang w:val="en-US" w:eastAsia="zh-CN"/>
                    </w:rPr>
                    <w:t>0.4m</w:t>
                  </w:r>
                  <w:r>
                    <w:rPr>
                      <w:rFonts w:hint="eastAsia" w:cs="Times New Roman"/>
                      <w:color w:val="auto"/>
                      <w:sz w:val="18"/>
                      <w:szCs w:val="18"/>
                      <w:lang w:eastAsia="zh-CN"/>
                    </w:rPr>
                    <w:t>，</w:t>
                  </w:r>
                  <w:r>
                    <w:rPr>
                      <w:rFonts w:hint="default" w:ascii="Times New Roman" w:hAnsi="Times New Roman" w:cs="Times New Roman"/>
                      <w:color w:val="auto"/>
                      <w:sz w:val="18"/>
                      <w:szCs w:val="18"/>
                    </w:rPr>
                    <w:t>计算得：L=V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×F×3600=</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0.4</w:t>
                  </w:r>
                  <w:r>
                    <w:rPr>
                      <w:rFonts w:hint="default" w:ascii="Times New Roman" w:hAnsi="Times New Roman" w:cs="Times New Roman"/>
                      <w:color w:val="auto"/>
                      <w:sz w:val="18"/>
                      <w:szCs w:val="18"/>
                    </w:rPr>
                    <w:t>×</w:t>
                  </w:r>
                  <w:r>
                    <w:rPr>
                      <w:rFonts w:hint="eastAsia" w:cs="Times New Roman"/>
                      <w:color w:val="auto"/>
                      <w:sz w:val="18"/>
                      <w:szCs w:val="18"/>
                      <w:lang w:val="en-US" w:eastAsia="zh-CN"/>
                    </w:rPr>
                    <w:t>0.5</w:t>
                  </w:r>
                  <w:r>
                    <w:rPr>
                      <w:rFonts w:hint="default" w:ascii="Times New Roman" w:hAnsi="Times New Roman" w:cs="Times New Roman"/>
                      <w:color w:val="auto"/>
                      <w:sz w:val="18"/>
                      <w:szCs w:val="18"/>
                    </w:rPr>
                    <w:t>×</w:t>
                  </w:r>
                  <w:r>
                    <w:rPr>
                      <w:rFonts w:hint="eastAsia" w:cs="Times New Roman"/>
                      <w:color w:val="auto"/>
                      <w:sz w:val="18"/>
                      <w:szCs w:val="18"/>
                      <w:lang w:val="en-US" w:eastAsia="zh-CN"/>
                    </w:rPr>
                    <w:t>4</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×3600=</w:t>
                  </w:r>
                  <w:r>
                    <w:rPr>
                      <w:rFonts w:hint="eastAsia" w:cs="Times New Roman"/>
                      <w:color w:val="auto"/>
                      <w:sz w:val="18"/>
                      <w:szCs w:val="18"/>
                      <w:lang w:val="en-US" w:eastAsia="zh-CN"/>
                    </w:rPr>
                    <w:t>3456</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69" w:type="dxa"/>
                  <w:tcBorders>
                    <w:tl2br w:val="nil"/>
                    <w:tr2bl w:val="nil"/>
                  </w:tcBorders>
                  <w:shd w:val="clear" w:color="auto" w:fill="auto"/>
                  <w:vAlign w:val="center"/>
                </w:tcPr>
                <w:p w14:paraId="58D14FF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1382.4</w:t>
                  </w:r>
                </w:p>
              </w:tc>
              <w:tc>
                <w:tcPr>
                  <w:tcW w:w="807" w:type="dxa"/>
                  <w:vMerge w:val="continue"/>
                  <w:tcBorders>
                    <w:right w:val="single" w:color="auto" w:sz="4" w:space="0"/>
                    <w:tl2br w:val="nil"/>
                    <w:tr2bl w:val="nil"/>
                  </w:tcBorders>
                  <w:shd w:val="clear" w:color="auto" w:fill="auto"/>
                  <w:vAlign w:val="center"/>
                </w:tcPr>
                <w:p w14:paraId="0B89004A">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7127CB7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6460CEF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p>
              </w:tc>
            </w:tr>
            <w:tr w14:paraId="798EFC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47199685">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压铸熔化废</w:t>
                  </w:r>
                  <w:r>
                    <w:rPr>
                      <w:rFonts w:hint="default" w:ascii="Times New Roman" w:hAnsi="Times New Roman" w:cs="Times New Roman"/>
                      <w:color w:val="auto"/>
                      <w:w w:val="100"/>
                      <w:sz w:val="18"/>
                      <w:szCs w:val="18"/>
                    </w:rPr>
                    <w:t>气</w:t>
                  </w:r>
                </w:p>
              </w:tc>
              <w:tc>
                <w:tcPr>
                  <w:tcW w:w="813" w:type="dxa"/>
                  <w:tcBorders>
                    <w:left w:val="single" w:color="auto" w:sz="4" w:space="0"/>
                    <w:right w:val="single" w:color="auto" w:sz="4" w:space="0"/>
                    <w:tl2br w:val="nil"/>
                    <w:tr2bl w:val="nil"/>
                  </w:tcBorders>
                  <w:shd w:val="clear" w:color="auto" w:fill="auto"/>
                  <w:vAlign w:val="center"/>
                </w:tcPr>
                <w:p w14:paraId="557AE897">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集气罩收集</w:t>
                  </w:r>
                </w:p>
              </w:tc>
              <w:tc>
                <w:tcPr>
                  <w:tcW w:w="3574" w:type="dxa"/>
                  <w:tcBorders>
                    <w:left w:val="single" w:color="auto" w:sz="4" w:space="0"/>
                    <w:tl2br w:val="nil"/>
                    <w:tr2bl w:val="nil"/>
                  </w:tcBorders>
                  <w:shd w:val="clear" w:color="auto" w:fill="auto"/>
                  <w:vAlign w:val="center"/>
                </w:tcPr>
                <w:p w14:paraId="5C244006">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L=3600V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w:t>
                  </w:r>
                </w:p>
                <w:p w14:paraId="2941479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—罩口平均风速（m/s），项目取</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m/s；</w:t>
                  </w:r>
                </w:p>
                <w:p w14:paraId="7B4AA4B4">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F—罩口面积（m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p w14:paraId="300EF89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压铸机配3台熔化炉，</w:t>
                  </w:r>
                  <w:r>
                    <w:rPr>
                      <w:rFonts w:hint="default" w:ascii="Times New Roman" w:hAnsi="Times New Roman" w:cs="Times New Roman"/>
                      <w:color w:val="auto"/>
                      <w:sz w:val="18"/>
                      <w:szCs w:val="18"/>
                      <w:lang w:val="en-US" w:eastAsia="zh-CN"/>
                    </w:rPr>
                    <w:t>废气</w:t>
                  </w:r>
                  <w:r>
                    <w:rPr>
                      <w:rFonts w:hint="default" w:ascii="Times New Roman" w:hAnsi="Times New Roman" w:cs="Times New Roman"/>
                      <w:color w:val="auto"/>
                      <w:sz w:val="18"/>
                      <w:szCs w:val="18"/>
                    </w:rPr>
                    <w:t>采用</w:t>
                  </w:r>
                  <w:r>
                    <w:rPr>
                      <w:rFonts w:hint="eastAsia" w:cs="Times New Roman"/>
                      <w:color w:val="auto"/>
                      <w:sz w:val="18"/>
                      <w:szCs w:val="18"/>
                      <w:lang w:val="en-US" w:eastAsia="zh-CN"/>
                    </w:rPr>
                    <w:t>矩形</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集气罩</w:t>
                  </w:r>
                  <w:r>
                    <w:rPr>
                      <w:rFonts w:hint="eastAsia" w:cs="Times New Roman"/>
                      <w:color w:val="auto"/>
                      <w:sz w:val="18"/>
                      <w:szCs w:val="18"/>
                      <w:lang w:val="en-US" w:eastAsia="zh-CN"/>
                    </w:rPr>
                    <w:t>长宽为0.4m</w:t>
                  </w:r>
                  <w:r>
                    <w:rPr>
                      <w:rFonts w:hint="default" w:ascii="Times New Roman" w:hAnsi="Times New Roman" w:cs="Times New Roman"/>
                      <w:color w:val="auto"/>
                      <w:sz w:val="18"/>
                      <w:szCs w:val="18"/>
                    </w:rPr>
                    <w:t>×</w:t>
                  </w:r>
                  <w:r>
                    <w:rPr>
                      <w:rFonts w:hint="eastAsia" w:cs="Times New Roman"/>
                      <w:color w:val="auto"/>
                      <w:sz w:val="18"/>
                      <w:szCs w:val="18"/>
                      <w:lang w:val="en-US" w:eastAsia="zh-CN"/>
                    </w:rPr>
                    <w:t>0.4m</w:t>
                  </w:r>
                  <w:r>
                    <w:rPr>
                      <w:rFonts w:hint="eastAsia" w:cs="Times New Roman"/>
                      <w:color w:val="auto"/>
                      <w:sz w:val="18"/>
                      <w:szCs w:val="18"/>
                      <w:lang w:eastAsia="zh-CN"/>
                    </w:rPr>
                    <w:t>，</w:t>
                  </w:r>
                  <w:r>
                    <w:rPr>
                      <w:rFonts w:hint="default" w:ascii="Times New Roman" w:hAnsi="Times New Roman" w:cs="Times New Roman"/>
                      <w:color w:val="auto"/>
                      <w:sz w:val="18"/>
                      <w:szCs w:val="18"/>
                    </w:rPr>
                    <w:t>计算得：L=V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×F×3600=</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0.4</w:t>
                  </w:r>
                  <w:r>
                    <w:rPr>
                      <w:rFonts w:hint="default" w:ascii="Times New Roman" w:hAnsi="Times New Roman" w:cs="Times New Roman"/>
                      <w:color w:val="auto"/>
                      <w:sz w:val="18"/>
                      <w:szCs w:val="18"/>
                    </w:rPr>
                    <w:t>×</w:t>
                  </w:r>
                  <w:r>
                    <w:rPr>
                      <w:rFonts w:hint="eastAsia" w:cs="Times New Roman"/>
                      <w:color w:val="auto"/>
                      <w:sz w:val="18"/>
                      <w:szCs w:val="18"/>
                      <w:lang w:val="en-US" w:eastAsia="zh-CN"/>
                    </w:rPr>
                    <w:t>0.4</w:t>
                  </w:r>
                  <w:r>
                    <w:rPr>
                      <w:rFonts w:hint="default" w:ascii="Times New Roman" w:hAnsi="Times New Roman" w:cs="Times New Roman"/>
                      <w:color w:val="auto"/>
                      <w:sz w:val="18"/>
                      <w:szCs w:val="18"/>
                    </w:rPr>
                    <w:t>×</w:t>
                  </w:r>
                  <w:r>
                    <w:rPr>
                      <w:rFonts w:hint="eastAsia" w:cs="Times New Roman"/>
                      <w:color w:val="auto"/>
                      <w:sz w:val="18"/>
                      <w:szCs w:val="18"/>
                      <w:lang w:val="en-US" w:eastAsia="zh-CN"/>
                    </w:rPr>
                    <w:t>3</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×3600=</w:t>
                  </w:r>
                  <w:r>
                    <w:rPr>
                      <w:rFonts w:hint="eastAsia" w:cs="Times New Roman"/>
                      <w:color w:val="auto"/>
                      <w:sz w:val="18"/>
                      <w:szCs w:val="18"/>
                      <w:lang w:val="en-US" w:eastAsia="zh-CN"/>
                    </w:rPr>
                    <w:t>2073.6</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69" w:type="dxa"/>
                  <w:tcBorders>
                    <w:tl2br w:val="nil"/>
                    <w:tr2bl w:val="nil"/>
                  </w:tcBorders>
                  <w:shd w:val="clear" w:color="auto" w:fill="auto"/>
                  <w:vAlign w:val="center"/>
                </w:tcPr>
                <w:p w14:paraId="5B6D9D3A">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2073.6</w:t>
                  </w:r>
                </w:p>
              </w:tc>
              <w:tc>
                <w:tcPr>
                  <w:tcW w:w="807" w:type="dxa"/>
                  <w:vMerge w:val="continue"/>
                  <w:tcBorders>
                    <w:right w:val="single" w:color="auto" w:sz="4" w:space="0"/>
                    <w:tl2br w:val="nil"/>
                    <w:tr2bl w:val="nil"/>
                  </w:tcBorders>
                  <w:shd w:val="clear" w:color="auto" w:fill="auto"/>
                  <w:vAlign w:val="center"/>
                </w:tcPr>
                <w:p w14:paraId="6C5F4FC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5C64EED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1F0BC78A">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r w14:paraId="435EE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820" w:type="dxa"/>
                  <w:gridSpan w:val="2"/>
                  <w:tcBorders>
                    <w:right w:val="single" w:color="auto" w:sz="4" w:space="0"/>
                    <w:tl2br w:val="nil"/>
                    <w:tr2bl w:val="nil"/>
                  </w:tcBorders>
                  <w:shd w:val="clear" w:color="auto" w:fill="auto"/>
                  <w:vAlign w:val="center"/>
                </w:tcPr>
                <w:p w14:paraId="11FDA92C">
                  <w:pPr>
                    <w:pStyle w:val="57"/>
                    <w:keepNext w:val="0"/>
                    <w:keepLines w:val="0"/>
                    <w:pageBreakBefore w:val="0"/>
                    <w:widowControl w:val="0"/>
                    <w:kinsoku/>
                    <w:wordWrap/>
                    <w:overflowPunct/>
                    <w:topLinePunct w:val="0"/>
                    <w:autoSpaceDE w:val="0"/>
                    <w:autoSpaceDN w:val="0"/>
                    <w:bidi w:val="0"/>
                    <w:adjustRightInd/>
                    <w:snapToGrid/>
                    <w:spacing w:before="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pacing w:val="-1"/>
                      <w:sz w:val="18"/>
                      <w:szCs w:val="18"/>
                    </w:rPr>
                    <w:t>压铸废气</w:t>
                  </w:r>
                </w:p>
              </w:tc>
              <w:tc>
                <w:tcPr>
                  <w:tcW w:w="813" w:type="dxa"/>
                  <w:tcBorders>
                    <w:left w:val="single" w:color="auto" w:sz="4" w:space="0"/>
                    <w:right w:val="single" w:color="auto" w:sz="4" w:space="0"/>
                    <w:tl2br w:val="nil"/>
                    <w:tr2bl w:val="nil"/>
                  </w:tcBorders>
                  <w:shd w:val="clear" w:color="auto" w:fill="auto"/>
                  <w:vAlign w:val="center"/>
                </w:tcPr>
                <w:p w14:paraId="1939B2E2">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集气罩收集</w:t>
                  </w:r>
                </w:p>
              </w:tc>
              <w:tc>
                <w:tcPr>
                  <w:tcW w:w="3574" w:type="dxa"/>
                  <w:tcBorders>
                    <w:left w:val="single" w:color="auto" w:sz="4" w:space="0"/>
                    <w:tl2br w:val="nil"/>
                    <w:tr2bl w:val="nil"/>
                  </w:tcBorders>
                  <w:shd w:val="clear" w:color="auto" w:fill="auto"/>
                  <w:vAlign w:val="center"/>
                </w:tcPr>
                <w:p w14:paraId="4BDAEF47">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L=3600V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w:t>
                  </w:r>
                </w:p>
                <w:p w14:paraId="210E480F">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—罩口平均风速（m/s），项目取</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m/s；</w:t>
                  </w:r>
                </w:p>
                <w:p w14:paraId="56203678">
                  <w:pPr>
                    <w:pStyle w:val="57"/>
                    <w:keepNext w:val="0"/>
                    <w:keepLines w:val="0"/>
                    <w:pageBreakBefore w:val="0"/>
                    <w:widowControl w:val="0"/>
                    <w:kinsoku/>
                    <w:wordWrap/>
                    <w:overflowPunct/>
                    <w:topLinePunct w:val="0"/>
                    <w:autoSpaceDE w:val="0"/>
                    <w:autoSpaceDN w:val="0"/>
                    <w:bidi w:val="0"/>
                    <w:adjustRightInd/>
                    <w:snapToGrid/>
                    <w:spacing w:before="0"/>
                    <w:ind w:left="0" w:right="0"/>
                    <w:jc w:val="left"/>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F—罩口面积（m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w:t>
                  </w:r>
                </w:p>
                <w:p w14:paraId="3C5B7678">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压铸机3台，</w:t>
                  </w:r>
                  <w:r>
                    <w:rPr>
                      <w:rFonts w:hint="default" w:ascii="Times New Roman" w:hAnsi="Times New Roman" w:cs="Times New Roman"/>
                      <w:color w:val="auto"/>
                      <w:sz w:val="18"/>
                      <w:szCs w:val="18"/>
                      <w:lang w:val="en-US" w:eastAsia="zh-CN"/>
                    </w:rPr>
                    <w:t>废气</w:t>
                  </w:r>
                  <w:r>
                    <w:rPr>
                      <w:rFonts w:hint="default" w:ascii="Times New Roman" w:hAnsi="Times New Roman" w:cs="Times New Roman"/>
                      <w:color w:val="auto"/>
                      <w:sz w:val="18"/>
                      <w:szCs w:val="18"/>
                    </w:rPr>
                    <w:t>采用</w:t>
                  </w:r>
                  <w:r>
                    <w:rPr>
                      <w:rFonts w:hint="eastAsia" w:cs="Times New Roman"/>
                      <w:color w:val="auto"/>
                      <w:sz w:val="18"/>
                      <w:szCs w:val="18"/>
                      <w:lang w:val="en-US" w:eastAsia="zh-CN"/>
                    </w:rPr>
                    <w:t>矩形</w:t>
                  </w:r>
                  <w:r>
                    <w:rPr>
                      <w:rFonts w:hint="default" w:ascii="Times New Roman" w:hAnsi="Times New Roman" w:cs="Times New Roman"/>
                      <w:color w:val="auto"/>
                      <w:sz w:val="18"/>
                      <w:szCs w:val="18"/>
                    </w:rPr>
                    <w:t>集气罩，</w:t>
                  </w:r>
                  <w:r>
                    <w:rPr>
                      <w:rFonts w:hint="default" w:ascii="Times New Roman" w:hAnsi="Times New Roman" w:cs="Times New Roman"/>
                      <w:color w:val="auto"/>
                      <w:sz w:val="18"/>
                      <w:szCs w:val="18"/>
                      <w:lang w:val="en-US" w:eastAsia="zh-CN"/>
                    </w:rPr>
                    <w:t>集气罩</w:t>
                  </w:r>
                  <w:r>
                    <w:rPr>
                      <w:rFonts w:hint="eastAsia" w:cs="Times New Roman"/>
                      <w:color w:val="auto"/>
                      <w:sz w:val="18"/>
                      <w:szCs w:val="18"/>
                      <w:lang w:val="en-US" w:eastAsia="zh-CN"/>
                    </w:rPr>
                    <w:t>长宽为0.5m</w:t>
                  </w:r>
                  <w:r>
                    <w:rPr>
                      <w:rFonts w:hint="default" w:ascii="Times New Roman" w:hAnsi="Times New Roman" w:cs="Times New Roman"/>
                      <w:color w:val="auto"/>
                      <w:sz w:val="18"/>
                      <w:szCs w:val="18"/>
                    </w:rPr>
                    <w:t>×</w:t>
                  </w:r>
                  <w:r>
                    <w:rPr>
                      <w:rFonts w:hint="eastAsia" w:cs="Times New Roman"/>
                      <w:color w:val="auto"/>
                      <w:sz w:val="18"/>
                      <w:szCs w:val="18"/>
                      <w:lang w:val="en-US" w:eastAsia="zh-CN"/>
                    </w:rPr>
                    <w:t>0.5m</w:t>
                  </w:r>
                  <w:r>
                    <w:rPr>
                      <w:rFonts w:hint="eastAsia" w:cs="Times New Roman"/>
                      <w:color w:val="auto"/>
                      <w:sz w:val="18"/>
                      <w:szCs w:val="18"/>
                      <w:lang w:eastAsia="zh-CN"/>
                    </w:rPr>
                    <w:t>，</w:t>
                  </w:r>
                  <w:r>
                    <w:rPr>
                      <w:rFonts w:hint="default" w:ascii="Times New Roman" w:hAnsi="Times New Roman" w:cs="Times New Roman"/>
                      <w:color w:val="auto"/>
                      <w:sz w:val="18"/>
                      <w:szCs w:val="18"/>
                    </w:rPr>
                    <w:t>计算得：L=V</w:t>
                  </w:r>
                  <w:r>
                    <w:rPr>
                      <w:rFonts w:hint="default" w:ascii="Times New Roman" w:hAnsi="Times New Roman" w:cs="Times New Roman"/>
                      <w:color w:val="auto"/>
                      <w:sz w:val="18"/>
                      <w:szCs w:val="18"/>
                      <w:vertAlign w:val="subscript"/>
                    </w:rPr>
                    <w:t>0</w:t>
                  </w:r>
                  <w:r>
                    <w:rPr>
                      <w:rFonts w:hint="default" w:ascii="Times New Roman" w:hAnsi="Times New Roman" w:cs="Times New Roman"/>
                      <w:color w:val="auto"/>
                      <w:sz w:val="18"/>
                      <w:szCs w:val="18"/>
                    </w:rPr>
                    <w:t>×F×3600=</w:t>
                  </w:r>
                  <w:r>
                    <w:rPr>
                      <w:rFonts w:hint="default" w:ascii="Times New Roman" w:hAnsi="Times New Roman" w:cs="Times New Roman"/>
                      <w:color w:val="auto"/>
                      <w:sz w:val="18"/>
                      <w:szCs w:val="18"/>
                      <w:lang w:val="en-US" w:eastAsia="zh-CN"/>
                    </w:rPr>
                    <w:t>1.2</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0.5</w:t>
                  </w:r>
                  <w:r>
                    <w:rPr>
                      <w:rFonts w:hint="default" w:ascii="Times New Roman" w:hAnsi="Times New Roman" w:cs="Times New Roman"/>
                      <w:color w:val="auto"/>
                      <w:sz w:val="18"/>
                      <w:szCs w:val="18"/>
                    </w:rPr>
                    <w:t>×</w:t>
                  </w:r>
                  <w:r>
                    <w:rPr>
                      <w:rFonts w:hint="eastAsia" w:cs="Times New Roman"/>
                      <w:color w:val="auto"/>
                      <w:sz w:val="18"/>
                      <w:szCs w:val="18"/>
                      <w:lang w:val="en-US" w:eastAsia="zh-CN"/>
                    </w:rPr>
                    <w:t>0.5</w:t>
                  </w:r>
                  <w:r>
                    <w:rPr>
                      <w:rFonts w:hint="default" w:ascii="Times New Roman" w:hAnsi="Times New Roman" w:cs="Times New Roman"/>
                      <w:color w:val="auto"/>
                      <w:sz w:val="18"/>
                      <w:szCs w:val="18"/>
                    </w:rPr>
                    <w:t>×</w:t>
                  </w:r>
                  <w:r>
                    <w:rPr>
                      <w:rFonts w:hint="eastAsia" w:cs="Times New Roman"/>
                      <w:color w:val="auto"/>
                      <w:sz w:val="18"/>
                      <w:szCs w:val="18"/>
                      <w:lang w:val="en-US" w:eastAsia="zh-CN"/>
                    </w:rPr>
                    <w:t>3</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×3600=</w:t>
                  </w:r>
                  <w:r>
                    <w:rPr>
                      <w:rFonts w:hint="eastAsia" w:cs="Times New Roman"/>
                      <w:color w:val="auto"/>
                      <w:sz w:val="18"/>
                      <w:szCs w:val="18"/>
                      <w:lang w:val="en-US" w:eastAsia="zh-CN"/>
                    </w:rPr>
                    <w:t>3240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869" w:type="dxa"/>
                  <w:tcBorders>
                    <w:tl2br w:val="nil"/>
                    <w:tr2bl w:val="nil"/>
                  </w:tcBorders>
                  <w:shd w:val="clear" w:color="auto" w:fill="auto"/>
                  <w:vAlign w:val="center"/>
                </w:tcPr>
                <w:p w14:paraId="60B88E2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3240</w:t>
                  </w:r>
                </w:p>
              </w:tc>
              <w:tc>
                <w:tcPr>
                  <w:tcW w:w="807" w:type="dxa"/>
                  <w:vMerge w:val="continue"/>
                  <w:tcBorders>
                    <w:right w:val="single" w:color="auto" w:sz="4" w:space="0"/>
                    <w:tl2br w:val="nil"/>
                    <w:tr2bl w:val="nil"/>
                  </w:tcBorders>
                  <w:shd w:val="clear" w:color="auto" w:fill="auto"/>
                  <w:vAlign w:val="center"/>
                </w:tcPr>
                <w:p w14:paraId="0D97AD8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870" w:type="dxa"/>
                  <w:vMerge w:val="continue"/>
                  <w:tcBorders>
                    <w:left w:val="single" w:color="auto" w:sz="4" w:space="0"/>
                    <w:tl2br w:val="nil"/>
                    <w:tr2bl w:val="nil"/>
                  </w:tcBorders>
                  <w:shd w:val="clear" w:color="auto" w:fill="auto"/>
                  <w:vAlign w:val="center"/>
                </w:tcPr>
                <w:p w14:paraId="7CCEB473">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p>
              </w:tc>
              <w:tc>
                <w:tcPr>
                  <w:tcW w:w="629" w:type="dxa"/>
                  <w:vMerge w:val="continue"/>
                  <w:tcBorders>
                    <w:tl2br w:val="nil"/>
                    <w:tr2bl w:val="nil"/>
                  </w:tcBorders>
                  <w:vAlign w:val="center"/>
                </w:tcPr>
                <w:p w14:paraId="288D497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p>
              </w:tc>
            </w:tr>
          </w:tbl>
          <w:p w14:paraId="0AE84579">
            <w:pPr>
              <w:keepNext w:val="0"/>
              <w:keepLines w:val="0"/>
              <w:pageBreakBefore w:val="0"/>
              <w:widowControl/>
              <w:kinsoku/>
              <w:wordWrap/>
              <w:overflowPunct/>
              <w:topLinePunct w:val="0"/>
              <w:autoSpaceDE/>
              <w:autoSpaceDN/>
              <w:bidi w:val="0"/>
              <w:adjustRightInd/>
              <w:snapToGrid/>
              <w:spacing w:before="157" w:beforeLines="50" w:line="360" w:lineRule="auto"/>
              <w:jc w:val="left"/>
              <w:textAlignment w:val="auto"/>
              <w:rPr>
                <w:b/>
                <w:bCs/>
                <w:color w:val="auto"/>
                <w:sz w:val="24"/>
                <w:szCs w:val="24"/>
              </w:rPr>
            </w:pPr>
            <w:r>
              <w:rPr>
                <w:rFonts w:hint="eastAsia"/>
                <w:b/>
                <w:bCs/>
                <w:color w:val="auto"/>
                <w:sz w:val="24"/>
                <w:szCs w:val="24"/>
              </w:rPr>
              <w:t>1.</w:t>
            </w:r>
            <w:r>
              <w:rPr>
                <w:rFonts w:hint="eastAsia"/>
                <w:b/>
                <w:bCs/>
                <w:color w:val="auto"/>
                <w:sz w:val="24"/>
                <w:szCs w:val="24"/>
                <w:lang w:val="en-US" w:eastAsia="zh-CN"/>
              </w:rPr>
              <w:t>3</w:t>
            </w:r>
            <w:r>
              <w:rPr>
                <w:rFonts w:hint="eastAsia"/>
                <w:b/>
                <w:bCs/>
                <w:color w:val="auto"/>
                <w:sz w:val="24"/>
                <w:szCs w:val="24"/>
              </w:rPr>
              <w:t>.2废气处理技术可行性分析</w:t>
            </w:r>
          </w:p>
          <w:p w14:paraId="062DE1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）工艺原理</w:t>
            </w:r>
          </w:p>
          <w:p w14:paraId="28EDE0A1">
            <w:pPr>
              <w:adjustRightInd w:val="0"/>
              <w:snapToGrid w:val="0"/>
              <w:spacing w:line="360" w:lineRule="auto"/>
              <w:ind w:firstLine="482" w:firstLineChars="200"/>
              <w:rPr>
                <w:b/>
                <w:bCs/>
                <w:color w:val="auto"/>
                <w:sz w:val="24"/>
                <w:szCs w:val="24"/>
              </w:rPr>
            </w:pPr>
            <w:r>
              <w:rPr>
                <w:rFonts w:hint="eastAsia"/>
                <w:b/>
                <w:bCs/>
                <w:color w:val="auto"/>
                <w:sz w:val="24"/>
                <w:szCs w:val="24"/>
                <w:highlight w:val="none"/>
                <w:lang w:val="en-US" w:eastAsia="zh-CN"/>
              </w:rPr>
              <w:t>①袋式</w:t>
            </w:r>
            <w:r>
              <w:rPr>
                <w:rFonts w:hint="eastAsia"/>
                <w:b/>
                <w:bCs/>
                <w:color w:val="auto"/>
                <w:sz w:val="24"/>
                <w:szCs w:val="24"/>
                <w:highlight w:val="none"/>
                <w:lang w:eastAsia="zh-CN"/>
              </w:rPr>
              <w:t>除尘器：</w:t>
            </w:r>
          </w:p>
          <w:p w14:paraId="11B6E776">
            <w:pPr>
              <w:adjustRightInd w:val="0"/>
              <w:snapToGrid w:val="0"/>
              <w:spacing w:line="360" w:lineRule="auto"/>
              <w:ind w:firstLine="480" w:firstLineChars="200"/>
              <w:rPr>
                <w:rFonts w:hint="eastAsia" w:eastAsia="宋体"/>
                <w:color w:val="auto"/>
                <w:sz w:val="24"/>
                <w:szCs w:val="24"/>
                <w:lang w:val="en-US" w:eastAsia="zh-CN"/>
              </w:rPr>
            </w:pPr>
            <w:r>
              <w:rPr>
                <w:color w:val="auto"/>
                <w:sz w:val="24"/>
                <w:szCs w:val="24"/>
              </w:rPr>
              <w:t>袋式除尘器由灰斗、上箱体、中箱体、下箱体等部分组成，上、中、下箱体为分室结构。其工作原理为：在风机动力的牵引下，除尘器内部、除尘管道及除尘罩口处形成负压环境，使扬尘点的粉尘在压差作用下进入除尘器，气流通过除尘滤袋过滤，粉尘被截留在布袋表</w:t>
            </w:r>
            <w:r>
              <w:rPr>
                <w:rFonts w:hint="eastAsia"/>
                <w:color w:val="auto"/>
                <w:sz w:val="24"/>
                <w:szCs w:val="24"/>
                <w:lang w:val="en-US" w:eastAsia="zh-CN"/>
              </w:rPr>
              <w:t>面</w:t>
            </w:r>
            <w:r>
              <w:rPr>
                <w:color w:val="auto"/>
                <w:sz w:val="24"/>
                <w:szCs w:val="24"/>
              </w:rPr>
              <w:t>，通过PLC控制仪有规律地向脉冲阀输入脉冲信号，压缩气体的高压风将粘附在滤袋表</w:t>
            </w:r>
            <w:r>
              <w:rPr>
                <w:rFonts w:hint="eastAsia"/>
                <w:color w:val="auto"/>
                <w:sz w:val="24"/>
                <w:szCs w:val="24"/>
                <w:lang w:val="en-US" w:eastAsia="zh-CN"/>
              </w:rPr>
              <w:t>面</w:t>
            </w:r>
            <w:r>
              <w:rPr>
                <w:color w:val="auto"/>
                <w:sz w:val="24"/>
                <w:szCs w:val="24"/>
              </w:rPr>
              <w:t>的粉尘喷吹下来收集到积灰斗内，从而达到</w:t>
            </w:r>
            <w:r>
              <w:rPr>
                <w:rFonts w:hint="eastAsia"/>
                <w:color w:val="auto"/>
                <w:sz w:val="24"/>
                <w:szCs w:val="24"/>
                <w:lang w:val="en-US" w:eastAsia="zh-CN"/>
              </w:rPr>
              <w:t>回</w:t>
            </w:r>
            <w:r>
              <w:rPr>
                <w:color w:val="auto"/>
                <w:sz w:val="24"/>
                <w:szCs w:val="24"/>
              </w:rPr>
              <w:t>收粉尘的目的，处理后的干净气体经除尘风机从排气筒排出。工作时，含尘气体由进风道进入灰斗，粗尘粒直接落入灰斗底部，细尘粒随气流转折向上进入中、下箱体，粉尘积附在滤袋外表面，过滤后的气体进入上箱体至净气集合管排风道，经排风机排出除尘器。清灰过程是先切断该室的净气出口风道，使该室的布袋处于无气流通过的状态。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w:t>
            </w:r>
            <w:r>
              <w:rPr>
                <w:rFonts w:hint="eastAsia" w:ascii="Times New Roman" w:eastAsia="宋体"/>
                <w:color w:val="auto"/>
                <w:sz w:val="24"/>
                <w:szCs w:val="24"/>
                <w:highlight w:val="none"/>
                <w:lang w:eastAsia="zh-CN"/>
              </w:rPr>
              <w:t>参照《排放源统计调查产排污核算方法和系数手册》中的“机械行业系数手册”可知，</w:t>
            </w:r>
            <w:r>
              <w:rPr>
                <w:rFonts w:hint="eastAsia"/>
                <w:color w:val="auto"/>
                <w:sz w:val="24"/>
                <w:szCs w:val="24"/>
                <w:lang w:eastAsia="zh-CN"/>
              </w:rPr>
              <w:t>袋式除尘器</w:t>
            </w:r>
            <w:r>
              <w:rPr>
                <w:color w:val="auto"/>
                <w:sz w:val="24"/>
                <w:szCs w:val="24"/>
              </w:rPr>
              <w:t>对于粉尘的处理效率</w:t>
            </w:r>
            <w:r>
              <w:rPr>
                <w:rFonts w:hint="eastAsia"/>
                <w:color w:val="auto"/>
                <w:sz w:val="24"/>
                <w:szCs w:val="24"/>
                <w:lang w:val="en-US" w:eastAsia="zh-CN"/>
              </w:rPr>
              <w:t>可达80%~99.9%</w:t>
            </w:r>
            <w:r>
              <w:rPr>
                <w:rFonts w:hint="eastAsia"/>
                <w:color w:val="auto"/>
                <w:sz w:val="24"/>
                <w:szCs w:val="24"/>
                <w:lang w:eastAsia="zh-CN"/>
              </w:rPr>
              <w:t>，</w:t>
            </w:r>
            <w:r>
              <w:rPr>
                <w:rFonts w:hint="eastAsia"/>
                <w:color w:val="auto"/>
                <w:sz w:val="24"/>
                <w:szCs w:val="24"/>
                <w:lang w:val="en-US" w:eastAsia="zh-CN"/>
              </w:rPr>
              <w:t>除</w:t>
            </w:r>
            <w:r>
              <w:rPr>
                <w:rFonts w:hint="eastAsia" w:ascii="宋体" w:hAnsi="宋体" w:cs="宋体"/>
                <w:color w:val="auto"/>
                <w:kern w:val="0"/>
                <w:sz w:val="24"/>
                <w:szCs w:val="24"/>
                <w:lang w:val="en-US" w:eastAsia="zh-CN" w:bidi="ar"/>
              </w:rPr>
              <w:t>落砂、砂再生废气，喷粉废气外，</w:t>
            </w:r>
            <w:r>
              <w:rPr>
                <w:rFonts w:hint="eastAsia"/>
                <w:color w:val="auto"/>
                <w:sz w:val="24"/>
                <w:szCs w:val="24"/>
                <w:lang w:val="en-US" w:eastAsia="zh-CN"/>
              </w:rPr>
              <w:t>本评价袋式除尘器除尘</w:t>
            </w:r>
            <w:r>
              <w:rPr>
                <w:rFonts w:hint="default" w:ascii="Times New Roman" w:hAnsi="Times New Roman" w:cs="Times New Roman"/>
                <w:color w:val="auto"/>
                <w:sz w:val="24"/>
                <w:szCs w:val="24"/>
                <w:lang w:val="en-US" w:eastAsia="zh-CN"/>
              </w:rPr>
              <w:t>效率保守取95</w:t>
            </w:r>
            <w:r>
              <w:rPr>
                <w:rFonts w:hint="default" w:ascii="Times New Roman" w:hAnsi="Times New Roman" w:cs="Times New Roman"/>
                <w:color w:val="auto"/>
                <w:sz w:val="24"/>
                <w:szCs w:val="24"/>
              </w:rPr>
              <w:t>%。</w:t>
            </w:r>
            <w:r>
              <w:rPr>
                <w:rFonts w:hint="default" w:ascii="Times New Roman" w:hAnsi="Times New Roman" w:cs="Times New Roman"/>
                <w:color w:val="auto"/>
                <w:kern w:val="0"/>
                <w:sz w:val="24"/>
                <w:szCs w:val="24"/>
                <w:lang w:val="en-US" w:eastAsia="zh-CN" w:bidi="ar"/>
              </w:rPr>
              <w:t>落砂、砂再生废气、喷粉废气等污染源废气浓度较高（大于1000mg/m³），</w:t>
            </w:r>
            <w:r>
              <w:rPr>
                <w:rFonts w:hint="eastAsia"/>
                <w:color w:val="auto"/>
                <w:sz w:val="24"/>
                <w:szCs w:val="24"/>
                <w:lang w:val="en-US" w:eastAsia="zh-CN"/>
              </w:rPr>
              <w:t>除尘效率保守取99</w:t>
            </w:r>
            <w:r>
              <w:rPr>
                <w:color w:val="auto"/>
                <w:sz w:val="24"/>
                <w:szCs w:val="24"/>
              </w:rPr>
              <w:t>%</w:t>
            </w:r>
            <w:r>
              <w:rPr>
                <w:rFonts w:hint="eastAsia"/>
                <w:color w:val="auto"/>
                <w:sz w:val="24"/>
                <w:szCs w:val="24"/>
                <w:lang w:eastAsia="zh-CN"/>
              </w:rPr>
              <w:t>。</w:t>
            </w:r>
          </w:p>
          <w:p w14:paraId="7137D3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4"/>
                <w:szCs w:val="24"/>
              </w:rPr>
            </w:pPr>
            <w:r>
              <w:rPr>
                <w:b/>
                <w:bCs/>
                <w:color w:val="auto"/>
                <w:sz w:val="24"/>
                <w:szCs w:val="24"/>
              </w:rPr>
              <w:drawing>
                <wp:inline distT="0" distB="0" distL="114300" distR="114300">
                  <wp:extent cx="2659380" cy="2599690"/>
                  <wp:effectExtent l="0" t="0" r="7620" b="1016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8"/>
                          <a:stretch>
                            <a:fillRect/>
                          </a:stretch>
                        </pic:blipFill>
                        <pic:spPr>
                          <a:xfrm>
                            <a:off x="0" y="0"/>
                            <a:ext cx="2659380" cy="2599690"/>
                          </a:xfrm>
                          <a:prstGeom prst="rect">
                            <a:avLst/>
                          </a:prstGeom>
                          <a:noFill/>
                          <a:ln>
                            <a:noFill/>
                          </a:ln>
                        </pic:spPr>
                      </pic:pic>
                    </a:graphicData>
                  </a:graphic>
                </wp:inline>
              </w:drawing>
            </w:r>
          </w:p>
          <w:p w14:paraId="5A7E97C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z w:val="24"/>
                <w:szCs w:val="24"/>
              </w:rPr>
            </w:pPr>
            <w:r>
              <w:rPr>
                <w:b/>
                <w:bCs/>
                <w:color w:val="auto"/>
                <w:sz w:val="24"/>
                <w:szCs w:val="24"/>
              </w:rPr>
              <w:t>图4-</w:t>
            </w:r>
            <w:r>
              <w:rPr>
                <w:rFonts w:hint="eastAsia"/>
                <w:b/>
                <w:bCs/>
                <w:color w:val="auto"/>
                <w:sz w:val="24"/>
                <w:szCs w:val="24"/>
                <w:lang w:val="en-US" w:eastAsia="zh-CN"/>
              </w:rPr>
              <w:t>1</w:t>
            </w:r>
            <w:r>
              <w:rPr>
                <w:b/>
                <w:bCs/>
                <w:color w:val="auto"/>
                <w:sz w:val="24"/>
                <w:szCs w:val="24"/>
              </w:rPr>
              <w:t xml:space="preserve"> </w:t>
            </w:r>
            <w:r>
              <w:rPr>
                <w:rFonts w:hint="eastAsia"/>
                <w:b/>
                <w:bCs/>
                <w:color w:val="auto"/>
                <w:sz w:val="24"/>
                <w:szCs w:val="24"/>
                <w:lang w:val="en-US" w:eastAsia="zh-CN"/>
              </w:rPr>
              <w:t xml:space="preserve"> </w:t>
            </w:r>
            <w:r>
              <w:rPr>
                <w:rFonts w:hint="eastAsia"/>
                <w:b/>
                <w:bCs/>
                <w:color w:val="auto"/>
                <w:sz w:val="24"/>
                <w:szCs w:val="24"/>
                <w:lang w:eastAsia="zh-CN"/>
              </w:rPr>
              <w:t>袋式除尘器</w:t>
            </w:r>
            <w:r>
              <w:rPr>
                <w:b/>
                <w:bCs/>
                <w:color w:val="auto"/>
                <w:sz w:val="24"/>
                <w:szCs w:val="24"/>
              </w:rPr>
              <w:t>示意图</w:t>
            </w:r>
          </w:p>
          <w:p w14:paraId="30B4EFAC">
            <w:pPr>
              <w:adjustRightInd w:val="0"/>
              <w:snapToGrid w:val="0"/>
              <w:spacing w:line="360" w:lineRule="auto"/>
              <w:ind w:firstLine="480" w:firstLineChars="200"/>
              <w:rPr>
                <w:color w:val="auto"/>
                <w:sz w:val="24"/>
                <w:szCs w:val="24"/>
              </w:rPr>
            </w:pPr>
            <w:r>
              <w:rPr>
                <w:color w:val="auto"/>
                <w:sz w:val="24"/>
                <w:szCs w:val="24"/>
              </w:rPr>
              <w:t>本项目进入</w:t>
            </w:r>
            <w:r>
              <w:rPr>
                <w:rFonts w:hint="eastAsia"/>
                <w:color w:val="auto"/>
                <w:sz w:val="24"/>
                <w:szCs w:val="24"/>
                <w:lang w:eastAsia="zh-CN"/>
              </w:rPr>
              <w:t>袋式除尘器</w:t>
            </w:r>
            <w:r>
              <w:rPr>
                <w:color w:val="auto"/>
                <w:sz w:val="24"/>
                <w:szCs w:val="24"/>
              </w:rPr>
              <w:t>粉尘均为</w:t>
            </w:r>
            <w:r>
              <w:rPr>
                <w:rFonts w:hint="eastAsia"/>
                <w:color w:val="auto"/>
                <w:sz w:val="24"/>
                <w:szCs w:val="24"/>
                <w:lang w:val="en-US" w:eastAsia="zh-CN"/>
              </w:rPr>
              <w:t>温度不大于250℃</w:t>
            </w:r>
            <w:r>
              <w:rPr>
                <w:color w:val="auto"/>
                <w:sz w:val="24"/>
                <w:szCs w:val="24"/>
              </w:rPr>
              <w:t>，可满足除尘器对进气温度的要求（250℃以下），符合《袋式除尘工程通用技术规范》（HJ 2020-2012）要求。</w:t>
            </w:r>
          </w:p>
          <w:p w14:paraId="355FC51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宋体"/>
                <w:b w:val="0"/>
                <w:bCs w:val="0"/>
                <w:color w:val="auto"/>
                <w:sz w:val="24"/>
                <w:szCs w:val="24"/>
                <w:highlight w:val="none"/>
                <w:lang w:val="en-US" w:eastAsia="zh-CN"/>
              </w:rPr>
            </w:pPr>
            <w:r>
              <w:rPr>
                <w:rFonts w:hint="eastAsia"/>
                <w:b/>
                <w:bCs/>
                <w:color w:val="auto"/>
                <w:sz w:val="24"/>
                <w:szCs w:val="24"/>
                <w:highlight w:val="none"/>
                <w:lang w:val="en-US" w:eastAsia="zh-CN"/>
              </w:rPr>
              <w:t>②活性炭吸附</w:t>
            </w:r>
            <w:r>
              <w:rPr>
                <w:rFonts w:hint="eastAsia"/>
                <w:b/>
                <w:bCs/>
                <w:color w:val="auto"/>
                <w:sz w:val="24"/>
                <w:szCs w:val="24"/>
                <w:highlight w:val="none"/>
                <w:lang w:eastAsia="zh-CN"/>
              </w:rPr>
              <w:t>：</w:t>
            </w:r>
            <w:r>
              <w:rPr>
                <w:color w:val="auto"/>
                <w:sz w:val="24"/>
                <w:szCs w:val="24"/>
              </w:rPr>
              <w:t>活性炭，是一种具有多孔结构</w:t>
            </w:r>
            <w:r>
              <w:rPr>
                <w:bCs/>
                <w:color w:val="auto"/>
                <w:sz w:val="24"/>
                <w:szCs w:val="24"/>
              </w:rPr>
              <w:t>和大的内部比表面积的材料。</w:t>
            </w:r>
            <w:r>
              <w:rPr>
                <w:rFonts w:hint="eastAsia"/>
                <w:bCs/>
                <w:color w:val="auto"/>
                <w:sz w:val="24"/>
                <w:szCs w:val="24"/>
                <w:lang w:val="en-US" w:eastAsia="zh-CN"/>
              </w:rPr>
              <w:t>本项目</w:t>
            </w:r>
            <w:r>
              <w:rPr>
                <w:bCs/>
                <w:color w:val="auto"/>
                <w:sz w:val="24"/>
                <w:szCs w:val="24"/>
              </w:rPr>
              <w:t>采用活性炭纤维作为吸附剂，其比表面积不低于1100m</w:t>
            </w:r>
            <w:r>
              <w:rPr>
                <w:bCs/>
                <w:color w:val="auto"/>
                <w:sz w:val="24"/>
                <w:szCs w:val="24"/>
                <w:vertAlign w:val="superscript"/>
              </w:rPr>
              <w:t>2</w:t>
            </w:r>
            <w:r>
              <w:rPr>
                <w:bCs/>
                <w:color w:val="auto"/>
                <w:sz w:val="24"/>
                <w:szCs w:val="24"/>
              </w:rPr>
              <w:t>/g</w:t>
            </w:r>
            <w:r>
              <w:rPr>
                <w:rFonts w:hint="eastAsia"/>
                <w:bCs/>
                <w:color w:val="auto"/>
                <w:sz w:val="24"/>
                <w:szCs w:val="24"/>
              </w:rPr>
              <w:t>(</w:t>
            </w:r>
            <w:r>
              <w:rPr>
                <w:bCs/>
                <w:color w:val="auto"/>
                <w:sz w:val="24"/>
                <w:szCs w:val="24"/>
              </w:rPr>
              <w:t>BET法</w:t>
            </w:r>
            <w:r>
              <w:rPr>
                <w:rFonts w:hint="eastAsia"/>
                <w:bCs/>
                <w:color w:val="auto"/>
                <w:sz w:val="24"/>
                <w:szCs w:val="24"/>
              </w:rPr>
              <w:t>)</w:t>
            </w:r>
            <w:r>
              <w:rPr>
                <w:bCs/>
                <w:color w:val="auto"/>
                <w:sz w:val="24"/>
                <w:szCs w:val="24"/>
              </w:rPr>
              <w:t>。一次性活性炭吸附工艺宜采用颗粒活性炭作为吸附剂。活性炭、活性炭纤维产品销售时应提供产品质量证明材料</w:t>
            </w:r>
            <w:r>
              <w:rPr>
                <w:rFonts w:hint="eastAsia"/>
                <w:bCs/>
                <w:color w:val="auto"/>
                <w:sz w:val="24"/>
                <w:szCs w:val="24"/>
              </w:rPr>
              <w:t>，项目活性炭吸附箱一次装填量约</w:t>
            </w:r>
            <w:r>
              <w:rPr>
                <w:rFonts w:hint="eastAsia"/>
                <w:bCs/>
                <w:color w:val="auto"/>
                <w:sz w:val="24"/>
                <w:szCs w:val="24"/>
                <w:highlight w:val="none"/>
              </w:rPr>
              <w:t>0.</w:t>
            </w:r>
            <w:r>
              <w:rPr>
                <w:rFonts w:hint="eastAsia"/>
                <w:bCs/>
                <w:color w:val="auto"/>
                <w:sz w:val="24"/>
                <w:szCs w:val="24"/>
                <w:highlight w:val="none"/>
                <w:lang w:val="en-US" w:eastAsia="zh-CN"/>
              </w:rPr>
              <w:t>1</w:t>
            </w:r>
            <w:r>
              <w:rPr>
                <w:rFonts w:hint="eastAsia"/>
                <w:bCs/>
                <w:color w:val="auto"/>
                <w:sz w:val="24"/>
                <w:szCs w:val="24"/>
                <w:highlight w:val="none"/>
              </w:rPr>
              <w:t>t，计划每个月更换一次活性炭</w:t>
            </w:r>
            <w:r>
              <w:rPr>
                <w:rFonts w:hint="eastAsia"/>
                <w:bCs/>
                <w:color w:val="auto"/>
                <w:sz w:val="24"/>
                <w:szCs w:val="24"/>
              </w:rPr>
              <w:t>。本项目拟采用</w:t>
            </w:r>
            <w:r>
              <w:rPr>
                <w:bCs/>
                <w:color w:val="auto"/>
                <w:sz w:val="24"/>
                <w:szCs w:val="24"/>
              </w:rPr>
              <w:t>颗粒活性炭作为吸附剂，</w:t>
            </w:r>
            <w:r>
              <w:rPr>
                <w:rFonts w:hint="eastAsia"/>
                <w:bCs/>
                <w:color w:val="auto"/>
                <w:sz w:val="24"/>
                <w:szCs w:val="24"/>
              </w:rPr>
              <w:t>要求</w:t>
            </w:r>
            <w:r>
              <w:rPr>
                <w:bCs/>
                <w:color w:val="auto"/>
                <w:sz w:val="24"/>
                <w:szCs w:val="24"/>
              </w:rPr>
              <w:t>其碘值≥800mg/g</w:t>
            </w:r>
            <w:r>
              <w:rPr>
                <w:rFonts w:hint="eastAsia"/>
                <w:bCs/>
                <w:color w:val="auto"/>
                <w:sz w:val="24"/>
                <w:szCs w:val="24"/>
              </w:rPr>
              <w:t>。</w:t>
            </w:r>
            <w:r>
              <w:rPr>
                <w:rFonts w:hint="eastAsia"/>
                <w:bCs/>
                <w:color w:val="auto"/>
                <w:sz w:val="24"/>
                <w:szCs w:val="24"/>
                <w:lang w:val="en-US" w:eastAsia="zh-CN"/>
              </w:rPr>
              <w:t>参照</w:t>
            </w:r>
            <w:r>
              <w:rPr>
                <w:rFonts w:hint="eastAsia"/>
                <w:bCs/>
                <w:color w:val="auto"/>
                <w:sz w:val="24"/>
                <w:szCs w:val="24"/>
                <w:lang w:eastAsia="zh-CN"/>
              </w:rPr>
              <w:t>《挥发性有机物无组织排放控制标准（征求意见稿）编制说明》</w:t>
            </w:r>
            <w:r>
              <w:rPr>
                <w:rFonts w:hint="eastAsia"/>
                <w:bCs/>
                <w:color w:val="auto"/>
                <w:sz w:val="24"/>
                <w:szCs w:val="24"/>
                <w:lang w:val="en-US" w:eastAsia="zh-CN"/>
              </w:rPr>
              <w:t>中的图6-1</w:t>
            </w:r>
            <w:r>
              <w:rPr>
                <w:rFonts w:hint="eastAsia"/>
                <w:bCs/>
                <w:color w:val="auto"/>
                <w:sz w:val="24"/>
                <w:szCs w:val="24"/>
                <w:lang w:eastAsia="zh-CN"/>
              </w:rPr>
              <w:t>，</w:t>
            </w:r>
            <w:r>
              <w:rPr>
                <w:rFonts w:hint="eastAsia" w:cs="Times New Roman"/>
                <w:b w:val="0"/>
                <w:bCs w:val="0"/>
                <w:color w:val="auto"/>
                <w:sz w:val="24"/>
                <w:szCs w:val="24"/>
                <w:highlight w:val="none"/>
                <w:lang w:val="en-US" w:eastAsia="zh-CN"/>
              </w:rPr>
              <w:t>该活性炭吸附对低浓度有机废气的去除效率为</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50%，本项目有机废气浓度较低，活性炭对有机废气去除效率取50%。</w:t>
            </w:r>
          </w:p>
          <w:p w14:paraId="6BB2966D">
            <w:pPr>
              <w:adjustRightInd w:val="0"/>
              <w:snapToGrid w:val="0"/>
              <w:spacing w:line="360" w:lineRule="auto"/>
              <w:ind w:firstLine="482" w:firstLineChars="200"/>
              <w:rPr>
                <w:rFonts w:hint="eastAsia"/>
                <w:b/>
                <w:bCs/>
                <w:color w:val="auto"/>
                <w:sz w:val="24"/>
                <w:szCs w:val="24"/>
                <w:lang w:val="en-US" w:eastAsia="zh-CN"/>
              </w:rPr>
            </w:pPr>
          </w:p>
          <w:p w14:paraId="7DA653A7">
            <w:pPr>
              <w:adjustRightInd w:val="0"/>
              <w:snapToGrid w:val="0"/>
              <w:spacing w:line="360" w:lineRule="auto"/>
              <w:ind w:firstLine="482" w:firstLineChars="200"/>
              <w:rPr>
                <w:rFonts w:hint="eastAsia"/>
                <w:b/>
                <w:bCs/>
                <w:color w:val="auto"/>
                <w:sz w:val="24"/>
                <w:szCs w:val="24"/>
                <w:lang w:val="en-US" w:eastAsia="zh-CN"/>
              </w:rPr>
            </w:pPr>
          </w:p>
          <w:p w14:paraId="55D3BD3C">
            <w:pPr>
              <w:adjustRightInd w:val="0"/>
              <w:snapToGrid w:val="0"/>
              <w:spacing w:line="360" w:lineRule="auto"/>
              <w:ind w:firstLine="482" w:firstLineChars="200"/>
              <w:rPr>
                <w:b/>
                <w:bCs/>
                <w:color w:val="auto"/>
                <w:sz w:val="24"/>
                <w:szCs w:val="24"/>
              </w:rPr>
            </w:pPr>
            <w:r>
              <w:rPr>
                <w:rFonts w:hint="eastAsia"/>
                <w:b/>
                <w:bCs/>
                <w:color w:val="auto"/>
                <w:sz w:val="24"/>
                <w:szCs w:val="24"/>
                <w:lang w:val="en-US" w:eastAsia="zh-CN"/>
              </w:rPr>
              <w:t>活性炭吸附箱</w:t>
            </w:r>
            <w:r>
              <w:rPr>
                <w:b/>
                <w:bCs/>
                <w:color w:val="auto"/>
                <w:sz w:val="24"/>
                <w:szCs w:val="24"/>
              </w:rPr>
              <w:t>结构图：</w:t>
            </w:r>
          </w:p>
          <w:p w14:paraId="00F2FE36">
            <w:pPr>
              <w:pStyle w:val="5"/>
              <w:jc w:val="center"/>
              <w:rPr>
                <w:b w:val="0"/>
                <w:bCs w:val="0"/>
                <w:color w:val="auto"/>
                <w:sz w:val="24"/>
                <w:szCs w:val="24"/>
              </w:rPr>
            </w:pPr>
            <w:r>
              <w:rPr>
                <w:color w:val="auto"/>
                <w:sz w:val="24"/>
                <w:szCs w:val="24"/>
              </w:rPr>
              <w:drawing>
                <wp:inline distT="0" distB="0" distL="114300" distR="114300">
                  <wp:extent cx="3423920" cy="1624330"/>
                  <wp:effectExtent l="0" t="0" r="5080" b="1397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9"/>
                          <a:srcRect t="10980"/>
                          <a:stretch>
                            <a:fillRect/>
                          </a:stretch>
                        </pic:blipFill>
                        <pic:spPr>
                          <a:xfrm>
                            <a:off x="0" y="0"/>
                            <a:ext cx="3423920" cy="1624330"/>
                          </a:xfrm>
                          <a:prstGeom prst="rect">
                            <a:avLst/>
                          </a:prstGeom>
                          <a:noFill/>
                          <a:ln>
                            <a:noFill/>
                          </a:ln>
                        </pic:spPr>
                      </pic:pic>
                    </a:graphicData>
                  </a:graphic>
                </wp:inline>
              </w:drawing>
            </w:r>
          </w:p>
          <w:p w14:paraId="5AC5F87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z w:val="24"/>
                <w:szCs w:val="24"/>
              </w:rPr>
            </w:pPr>
            <w:r>
              <w:rPr>
                <w:b/>
                <w:bCs/>
                <w:color w:val="auto"/>
                <w:sz w:val="24"/>
                <w:szCs w:val="24"/>
              </w:rPr>
              <w:t>图4-</w:t>
            </w:r>
            <w:r>
              <w:rPr>
                <w:rFonts w:hint="eastAsia"/>
                <w:b/>
                <w:bCs/>
                <w:color w:val="auto"/>
                <w:sz w:val="24"/>
                <w:szCs w:val="24"/>
                <w:lang w:val="en-US" w:eastAsia="zh-CN"/>
              </w:rPr>
              <w:t>2</w:t>
            </w:r>
            <w:r>
              <w:rPr>
                <w:b/>
                <w:bCs/>
                <w:color w:val="auto"/>
                <w:sz w:val="24"/>
                <w:szCs w:val="24"/>
              </w:rPr>
              <w:t xml:space="preserve"> </w:t>
            </w:r>
            <w:r>
              <w:rPr>
                <w:rFonts w:hint="eastAsia"/>
                <w:b/>
                <w:bCs/>
                <w:color w:val="auto"/>
                <w:sz w:val="24"/>
                <w:szCs w:val="24"/>
                <w:lang w:val="en-US" w:eastAsia="zh-CN"/>
              </w:rPr>
              <w:t xml:space="preserve"> 活性炭吸附箱</w:t>
            </w:r>
            <w:r>
              <w:rPr>
                <w:b/>
                <w:bCs/>
                <w:color w:val="auto"/>
                <w:sz w:val="24"/>
                <w:szCs w:val="24"/>
              </w:rPr>
              <w:t>示意图</w:t>
            </w:r>
          </w:p>
          <w:p w14:paraId="57EA4C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③喷淋塔：</w:t>
            </w:r>
          </w:p>
          <w:p w14:paraId="114920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熔模铸造生产线脱蜡、型壳焙烧工序废气和固化废气温度较高，需经过水喷淋冷却至40℃以下再进入活性炭吸附处理。高温从塔底进入向上流动，喷淋液（水）经顶部喷嘴向下喷洒，形成逆流接触；气体与液滴在喷淋段充分接触，水分蒸发吸收热量，降低废气温度。石蜡加热过程产生的有机废气不溶于水，因此不考虑水喷淋对有机废气的吸附效率。喷淋塔顶部设有除雾器，分离净化气体中残留液滴。喷淋液经塔底循环泵增压后重复使用，实现低成本运行。</w:t>
            </w:r>
          </w:p>
          <w:p w14:paraId="628A4660">
            <w:pPr>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干式过滤器：</w:t>
            </w:r>
          </w:p>
          <w:p w14:paraId="6AD944CC">
            <w:pPr>
              <w:spacing w:line="360" w:lineRule="auto"/>
              <w:ind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经过喷淋处理后的废气中带有一些水雾，如直接进入到活性炭吸附装置会对其运行造成损害，需设置一除雾器去除废气中携带的水雾。喷淋塔顶部设有1个干式过滤器，内设2层过滤填料，主要由PP材质的丝网、折板等结构组成，经填料拦截、碰撞将废气中的水雾拦截下来，干式过滤器可将废气湿度控制在60%以下。</w:t>
            </w:r>
          </w:p>
          <w:p w14:paraId="382F0709">
            <w:pPr>
              <w:spacing w:line="360" w:lineRule="auto"/>
              <w:ind w:firstLine="482" w:firstLineChars="200"/>
              <w:rPr>
                <w:rFonts w:hint="eastAsia" w:ascii="Times New Roman" w:hAnsi="Times New Roman" w:eastAsia="宋体" w:cs="Times New Roman"/>
                <w:b/>
                <w:bCs/>
                <w:color w:val="auto"/>
                <w:sz w:val="24"/>
                <w:szCs w:val="24"/>
                <w:lang w:eastAsia="zh-CN"/>
              </w:rPr>
            </w:pPr>
            <w:r>
              <w:rPr>
                <w:rFonts w:hint="eastAsia" w:cs="Times New Roman"/>
                <w:b/>
                <w:bCs/>
                <w:color w:val="auto"/>
                <w:sz w:val="24"/>
                <w:szCs w:val="24"/>
                <w:lang w:val="en-US" w:eastAsia="zh-CN"/>
              </w:rPr>
              <w:t>移动式</w:t>
            </w:r>
            <w:r>
              <w:rPr>
                <w:rFonts w:ascii="Times New Roman" w:hAnsi="Times New Roman" w:eastAsia="宋体" w:cs="Times New Roman"/>
                <w:b/>
                <w:bCs/>
                <w:color w:val="auto"/>
                <w:sz w:val="24"/>
                <w:szCs w:val="24"/>
              </w:rPr>
              <w:t>烟尘净化器</w:t>
            </w:r>
            <w:r>
              <w:rPr>
                <w:rFonts w:hint="eastAsia" w:cs="Times New Roman"/>
                <w:b/>
                <w:bCs/>
                <w:color w:val="auto"/>
                <w:sz w:val="24"/>
                <w:szCs w:val="24"/>
                <w:lang w:eastAsia="zh-CN"/>
              </w:rPr>
              <w:t>：</w:t>
            </w:r>
          </w:p>
          <w:p w14:paraId="685BC2BC">
            <w:pPr>
              <w:spacing w:line="360" w:lineRule="auto"/>
              <w:ind w:firstLine="480" w:firstLineChars="200"/>
              <w:rPr>
                <w:rFonts w:ascii="Times New Roman" w:hAnsi="Times New Roman" w:cs="Times New Roman"/>
                <w:color w:val="auto"/>
                <w:sz w:val="24"/>
                <w:szCs w:val="24"/>
              </w:rPr>
            </w:pPr>
            <w:r>
              <w:rPr>
                <w:rFonts w:hint="eastAsia" w:cs="Times New Roman"/>
                <w:color w:val="auto"/>
                <w:sz w:val="24"/>
                <w:szCs w:val="24"/>
                <w:lang w:val="en-US" w:eastAsia="zh-CN"/>
              </w:rPr>
              <w:t>移动式</w:t>
            </w:r>
            <w:r>
              <w:rPr>
                <w:rFonts w:ascii="Times New Roman" w:hAnsi="Times New Roman" w:cs="Times New Roman"/>
                <w:color w:val="auto"/>
                <w:sz w:val="24"/>
                <w:szCs w:val="24"/>
              </w:rPr>
              <w:t>烟尘净化器工作原理</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通过风机引力作用，</w:t>
            </w:r>
            <w:r>
              <w:rPr>
                <w:rFonts w:hint="eastAsia" w:cs="Times New Roman"/>
                <w:color w:val="auto"/>
                <w:sz w:val="24"/>
                <w:szCs w:val="24"/>
                <w:lang w:val="en-US" w:eastAsia="zh-CN"/>
              </w:rPr>
              <w:t>烟尘</w:t>
            </w:r>
            <w:r>
              <w:rPr>
                <w:rFonts w:ascii="Times New Roman" w:hAnsi="Times New Roman" w:cs="Times New Roman"/>
                <w:color w:val="auto"/>
                <w:sz w:val="24"/>
                <w:szCs w:val="24"/>
              </w:rPr>
              <w:t>废气经万向吸尘罩吸入设备进风口，设备进风口处设有阻火器，火花经阻火器被阻留，烟尘气体进入沉降室，利用重力与上行气流，首先将粗粒尘直接降至灰斗，微粒烟尘被滤芯捕集在外表面，洁净气体经滤芯过滤净化后，由滤芯中心流入洁净室，洁净空气又经</w:t>
            </w:r>
            <w:r>
              <w:rPr>
                <w:rFonts w:hint="eastAsia" w:cs="Times New Roman"/>
                <w:color w:val="auto"/>
                <w:sz w:val="24"/>
                <w:szCs w:val="24"/>
                <w:lang w:eastAsia="zh-CN"/>
              </w:rPr>
              <w:t>活性炭</w:t>
            </w:r>
            <w:r>
              <w:rPr>
                <w:rFonts w:ascii="Times New Roman" w:hAnsi="Times New Roman" w:cs="Times New Roman"/>
                <w:color w:val="auto"/>
                <w:sz w:val="24"/>
                <w:szCs w:val="24"/>
              </w:rPr>
              <w:t>过滤器吸附进一步净化后经出风口达标排出。</w:t>
            </w:r>
          </w:p>
          <w:p w14:paraId="3C91D3B4">
            <w:pPr>
              <w:spacing w:line="360" w:lineRule="auto"/>
              <w:ind w:firstLine="480" w:firstLineChars="200"/>
              <w:rPr>
                <w:rFonts w:ascii="Times New Roman" w:hAnsi="Times New Roman" w:cs="Times New Roman"/>
                <w:color w:val="auto"/>
                <w:sz w:val="24"/>
                <w:szCs w:val="24"/>
              </w:rPr>
            </w:pPr>
            <w:r>
              <w:rPr>
                <w:rFonts w:hint="eastAsia" w:cs="Times New Roman"/>
                <w:color w:val="auto"/>
                <w:sz w:val="24"/>
                <w:szCs w:val="24"/>
                <w:lang w:val="en-US" w:eastAsia="zh-CN"/>
              </w:rPr>
              <w:t>移动式</w:t>
            </w:r>
            <w:r>
              <w:rPr>
                <w:rFonts w:ascii="Times New Roman" w:hAnsi="Times New Roman" w:cs="Times New Roman"/>
                <w:color w:val="auto"/>
                <w:sz w:val="24"/>
                <w:szCs w:val="24"/>
              </w:rPr>
              <w:t>烟尘净化器</w:t>
            </w:r>
            <w:r>
              <w:rPr>
                <w:rFonts w:hint="eastAsia" w:cs="Times New Roman"/>
                <w:color w:val="auto"/>
                <w:sz w:val="24"/>
                <w:szCs w:val="24"/>
                <w:lang w:val="en-US" w:eastAsia="zh-CN"/>
              </w:rPr>
              <w:t>特</w:t>
            </w:r>
            <w:r>
              <w:rPr>
                <w:rFonts w:ascii="Times New Roman" w:hAnsi="Times New Roman" w:cs="Times New Roman"/>
                <w:color w:val="auto"/>
                <w:sz w:val="24"/>
                <w:szCs w:val="24"/>
              </w:rPr>
              <w:t>点分析</w:t>
            </w:r>
            <w:r>
              <w:rPr>
                <w:rFonts w:hint="eastAsia" w:ascii="Times New Roman" w:hAnsi="Times New Roman" w:cs="Times New Roman"/>
                <w:color w:val="auto"/>
                <w:sz w:val="24"/>
                <w:szCs w:val="24"/>
                <w:lang w:eastAsia="zh-CN"/>
              </w:rPr>
              <w:t>：</w:t>
            </w:r>
            <w:r>
              <w:rPr>
                <w:rFonts w:hint="eastAsia"/>
                <w:color w:val="auto"/>
                <w:sz w:val="24"/>
                <w:szCs w:val="24"/>
              </w:rPr>
              <w:t>①</w:t>
            </w:r>
            <w:r>
              <w:rPr>
                <w:rFonts w:hint="eastAsia" w:cs="Times New Roman"/>
                <w:color w:val="auto"/>
                <w:sz w:val="24"/>
                <w:szCs w:val="24"/>
                <w:lang w:val="en-US" w:eastAsia="zh-CN"/>
              </w:rPr>
              <w:t>移动式烟尘</w:t>
            </w:r>
            <w:r>
              <w:rPr>
                <w:rFonts w:ascii="Times New Roman" w:hAnsi="Times New Roman" w:cs="Times New Roman"/>
                <w:color w:val="auto"/>
                <w:sz w:val="24"/>
                <w:szCs w:val="24"/>
              </w:rPr>
              <w:t>净化器净化主机：采用无缝模具生产确保主机密封性和良好的噪音控制；</w:t>
            </w:r>
            <w:r>
              <w:rPr>
                <w:rFonts w:hint="eastAsia"/>
                <w:color w:val="auto"/>
                <w:sz w:val="24"/>
                <w:szCs w:val="24"/>
              </w:rPr>
              <w:t>②</w:t>
            </w:r>
            <w:r>
              <w:rPr>
                <w:rFonts w:ascii="Times New Roman" w:hAnsi="Times New Roman" w:cs="Times New Roman"/>
                <w:color w:val="auto"/>
                <w:sz w:val="24"/>
                <w:szCs w:val="24"/>
              </w:rPr>
              <w:t>滤芯：采用覆膜防静电式滤筒，具有尘埃粘连度低，清灰方便，拥有良好的通风效率，提高过滤面积；</w:t>
            </w:r>
            <w:r>
              <w:rPr>
                <w:rFonts w:hint="eastAsia"/>
                <w:color w:val="auto"/>
                <w:sz w:val="24"/>
                <w:szCs w:val="24"/>
              </w:rPr>
              <w:t>③</w:t>
            </w:r>
            <w:r>
              <w:rPr>
                <w:rFonts w:ascii="Times New Roman" w:hAnsi="Times New Roman" w:cs="Times New Roman"/>
                <w:color w:val="auto"/>
                <w:sz w:val="24"/>
                <w:szCs w:val="24"/>
              </w:rPr>
              <w:t>吸气臂：采用万向可悬停吸气臂，保证在各种工况下都能使烟尘顺畅进入集尘罩，提高净化效率，保证净化效果；</w:t>
            </w:r>
            <w:r>
              <w:rPr>
                <w:rFonts w:hint="eastAsia"/>
                <w:color w:val="auto"/>
                <w:sz w:val="24"/>
                <w:szCs w:val="24"/>
              </w:rPr>
              <w:t>④</w:t>
            </w:r>
            <w:r>
              <w:rPr>
                <w:rFonts w:ascii="Times New Roman" w:hAnsi="Times New Roman" w:cs="Times New Roman"/>
                <w:color w:val="auto"/>
                <w:sz w:val="24"/>
                <w:szCs w:val="24"/>
              </w:rPr>
              <w:t>移动性：采用万向轮并配备卡锁功能，方便任意移动确保电焊烟尘的点对点净化；</w:t>
            </w:r>
            <w:r>
              <w:rPr>
                <w:rFonts w:hint="eastAsia"/>
                <w:color w:val="auto"/>
                <w:sz w:val="24"/>
                <w:szCs w:val="24"/>
              </w:rPr>
              <w:t>⑤</w:t>
            </w:r>
            <w:r>
              <w:rPr>
                <w:rFonts w:ascii="Times New Roman" w:hAnsi="Times New Roman" w:cs="Times New Roman"/>
                <w:color w:val="auto"/>
                <w:sz w:val="24"/>
                <w:szCs w:val="24"/>
              </w:rPr>
              <w:t>清灰方式：设备内部具有反吹功能，定期使用气源对设备内高效净化舱进行清灰可提高设备使用寿命同时提高净化效率；</w:t>
            </w:r>
            <w:r>
              <w:rPr>
                <w:rFonts w:hint="eastAsia"/>
                <w:color w:val="auto"/>
                <w:sz w:val="24"/>
                <w:szCs w:val="24"/>
              </w:rPr>
              <w:t>⑥</w:t>
            </w:r>
            <w:r>
              <w:rPr>
                <w:rFonts w:ascii="Times New Roman" w:hAnsi="Times New Roman" w:cs="Times New Roman"/>
                <w:color w:val="auto"/>
                <w:sz w:val="24"/>
                <w:szCs w:val="24"/>
              </w:rPr>
              <w:t>操作性：</w:t>
            </w:r>
            <w:r>
              <w:rPr>
                <w:rFonts w:hint="eastAsia" w:cs="Times New Roman"/>
                <w:color w:val="auto"/>
                <w:sz w:val="24"/>
                <w:szCs w:val="24"/>
                <w:lang w:val="en-US" w:eastAsia="zh-CN"/>
              </w:rPr>
              <w:t>移动式</w:t>
            </w:r>
            <w:r>
              <w:rPr>
                <w:rFonts w:ascii="Times New Roman" w:hAnsi="Times New Roman" w:cs="Times New Roman"/>
                <w:color w:val="auto"/>
                <w:sz w:val="24"/>
                <w:szCs w:val="24"/>
              </w:rPr>
              <w:t>烟尘净化器采用PLC集成控制系统，可实现一键操作，工作</w:t>
            </w:r>
            <w:r>
              <w:rPr>
                <w:rFonts w:hint="eastAsia" w:cs="Times New Roman"/>
                <w:color w:val="auto"/>
                <w:sz w:val="24"/>
                <w:szCs w:val="24"/>
                <w:lang w:val="en-US" w:eastAsia="zh-CN"/>
              </w:rPr>
              <w:t>时</w:t>
            </w:r>
            <w:r>
              <w:rPr>
                <w:rFonts w:ascii="Times New Roman" w:hAnsi="Times New Roman" w:cs="Times New Roman"/>
                <w:color w:val="auto"/>
                <w:sz w:val="24"/>
                <w:szCs w:val="24"/>
              </w:rPr>
              <w:t>只需要打开设备主机电钮便可直接使用方便客户进行操作；</w:t>
            </w:r>
            <w:r>
              <w:rPr>
                <w:rFonts w:hint="eastAsia"/>
                <w:color w:val="auto"/>
                <w:sz w:val="24"/>
                <w:szCs w:val="24"/>
              </w:rPr>
              <w:t>⑦</w:t>
            </w:r>
            <w:r>
              <w:rPr>
                <w:rFonts w:ascii="Times New Roman" w:hAnsi="Times New Roman" w:cs="Times New Roman"/>
                <w:color w:val="auto"/>
                <w:sz w:val="24"/>
                <w:szCs w:val="24"/>
              </w:rPr>
              <w:t>配件维护：</w:t>
            </w:r>
            <w:r>
              <w:rPr>
                <w:rFonts w:hint="eastAsia" w:cs="Times New Roman"/>
                <w:color w:val="auto"/>
                <w:sz w:val="24"/>
                <w:szCs w:val="24"/>
                <w:lang w:val="en-US" w:eastAsia="zh-CN"/>
              </w:rPr>
              <w:t>移动式</w:t>
            </w:r>
            <w:r>
              <w:rPr>
                <w:rFonts w:ascii="Times New Roman" w:hAnsi="Times New Roman" w:cs="Times New Roman"/>
                <w:color w:val="auto"/>
                <w:sz w:val="24"/>
                <w:szCs w:val="24"/>
              </w:rPr>
              <w:t>烟尘净化器内无易损件，高效净化舱内滤芯定期进行清灰可正常使用1万小时；</w:t>
            </w:r>
            <w:r>
              <w:rPr>
                <w:rFonts w:hint="eastAsia"/>
                <w:color w:val="auto"/>
                <w:sz w:val="24"/>
                <w:szCs w:val="24"/>
              </w:rPr>
              <w:t>⑧</w:t>
            </w:r>
            <w:r>
              <w:rPr>
                <w:rFonts w:ascii="Times New Roman" w:hAnsi="Times New Roman" w:cs="Times New Roman"/>
                <w:color w:val="auto"/>
                <w:sz w:val="24"/>
                <w:szCs w:val="24"/>
              </w:rPr>
              <w:t>便捷性：</w:t>
            </w:r>
            <w:r>
              <w:rPr>
                <w:rFonts w:hint="eastAsia" w:cs="Times New Roman"/>
                <w:color w:val="auto"/>
                <w:sz w:val="24"/>
                <w:szCs w:val="24"/>
                <w:lang w:val="en-US" w:eastAsia="zh-CN"/>
              </w:rPr>
              <w:t>移动式</w:t>
            </w:r>
            <w:r>
              <w:rPr>
                <w:rFonts w:ascii="Times New Roman" w:hAnsi="Times New Roman" w:cs="Times New Roman"/>
                <w:color w:val="auto"/>
                <w:sz w:val="24"/>
                <w:szCs w:val="24"/>
              </w:rPr>
              <w:t>烟尘净化器为立式单机净化器占地空间小，移动方便可在任意地方固定使用，便于工人的操作。</w:t>
            </w:r>
          </w:p>
          <w:p w14:paraId="33ED0D30">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处理效率</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设备采用了多层过滤装置，包括初效过滤</w:t>
            </w:r>
            <w:r>
              <w:rPr>
                <w:rFonts w:hint="eastAsia" w:cs="Times New Roman"/>
                <w:color w:val="auto"/>
                <w:sz w:val="24"/>
                <w:szCs w:val="24"/>
                <w:lang w:val="en-US" w:eastAsia="zh-CN"/>
              </w:rPr>
              <w:t>棉</w:t>
            </w:r>
            <w:r>
              <w:rPr>
                <w:rFonts w:ascii="Times New Roman" w:hAnsi="Times New Roman" w:cs="Times New Roman"/>
                <w:color w:val="auto"/>
                <w:sz w:val="24"/>
                <w:szCs w:val="24"/>
              </w:rPr>
              <w:t>、中效、高效过滤芯（由HEPA高效过滤部分和气体过滤部分组成），可根据污染物产生量对风量作档位精准调节。有效地过滤拦截0.3μm上污染颗粒、吸附毒害气体，过滤净化率能达到99%，净化处理后的洁净空气可直接在室内排放。根据《焊接烟尘的污染与净化》（作者：鄂保良，朱恩平，胡泊；出版：《陕西环境》第9卷，2002年10月）可知，焊接烟尘净化器采用三级过滤净化，对烟尘净化效率可达99%，本项目净化效率以95%计可行。</w:t>
            </w:r>
          </w:p>
          <w:p w14:paraId="137104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）技术可行性分析</w:t>
            </w:r>
          </w:p>
          <w:p w14:paraId="7FE226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本项目有组织废气污染物主要为颗粒物、非甲烷总烃。颗粒物、非甲烷总烃主要来源于铸造工序和投料拌料、造粒、挤出、</w:t>
            </w:r>
            <w:r>
              <w:rPr>
                <w:rFonts w:hint="eastAsia"/>
                <w:color w:val="auto"/>
                <w:sz w:val="24"/>
                <w:szCs w:val="24"/>
                <w:highlight w:val="none"/>
                <w:lang w:val="en-US" w:eastAsia="zh-CN"/>
              </w:rPr>
              <w:t>挤管</w:t>
            </w:r>
            <w:r>
              <w:rPr>
                <w:rFonts w:hint="eastAsia"/>
                <w:color w:val="auto"/>
                <w:sz w:val="24"/>
                <w:szCs w:val="24"/>
                <w:highlight w:val="none"/>
                <w:lang w:eastAsia="zh-CN"/>
              </w:rPr>
              <w:t>等工序，</w:t>
            </w:r>
            <w:r>
              <w:rPr>
                <w:rFonts w:hint="eastAsia"/>
                <w:color w:val="auto"/>
                <w:sz w:val="24"/>
                <w:szCs w:val="24"/>
                <w:highlight w:val="none"/>
                <w:lang w:val="en-US" w:eastAsia="zh-CN"/>
              </w:rPr>
              <w:t>采用袋式除尘、活性炭吸附或组合工艺，</w:t>
            </w:r>
            <w:r>
              <w:rPr>
                <w:rFonts w:hint="eastAsia"/>
                <w:color w:val="auto"/>
                <w:sz w:val="24"/>
                <w:szCs w:val="24"/>
                <w:highlight w:val="none"/>
                <w:lang w:eastAsia="zh-CN"/>
              </w:rPr>
              <w:t>均属于《排污许可证申请与核发技术规范 金属铸造工业》（HJ1115-2020）、《铸造工业大气污染防治可行技术指南》（HJ1292-2023）、《排污许可证申请与核发技术规范 橡胶和塑料制品工业》（HJ1122-2020）中颗粒物和非甲烷总烃防治可行技术；</w:t>
            </w:r>
            <w:r>
              <w:rPr>
                <w:rFonts w:hint="eastAsia"/>
                <w:color w:val="auto"/>
                <w:sz w:val="24"/>
                <w:szCs w:val="24"/>
                <w:highlight w:val="none"/>
                <w:lang w:val="en-US" w:eastAsia="zh-CN"/>
              </w:rPr>
              <w:t>退火炉燃料废气、</w:t>
            </w:r>
            <w:r>
              <w:rPr>
                <w:rFonts w:hint="eastAsia"/>
                <w:color w:val="auto"/>
                <w:sz w:val="24"/>
                <w:szCs w:val="24"/>
                <w:highlight w:val="none"/>
                <w:lang w:eastAsia="zh-CN"/>
              </w:rPr>
              <w:t>锅炉燃料废气和加热炉燃料废气均采用天然气，属于清洁能源，从源头上控制了污染物的产生；</w:t>
            </w:r>
            <w:r>
              <w:rPr>
                <w:rFonts w:hint="eastAsia"/>
                <w:color w:val="auto"/>
                <w:sz w:val="24"/>
                <w:szCs w:val="24"/>
                <w:highlight w:val="none"/>
                <w:lang w:val="en-US" w:eastAsia="zh-CN"/>
              </w:rPr>
              <w:t>焊接、激光切割等工序烟尘采用移动式烟尘净化器，属于《排污许可证申请与核发技术规范 铁路、船舶、航空航天和其他运输设备制造业》（HJ1124-2020）中颗粒物防治可行技术</w:t>
            </w:r>
            <w:r>
              <w:rPr>
                <w:rFonts w:hint="eastAsia"/>
                <w:color w:val="auto"/>
                <w:sz w:val="24"/>
                <w:szCs w:val="24"/>
                <w:highlight w:val="none"/>
                <w:lang w:eastAsia="zh-CN"/>
              </w:rPr>
              <w:t>。根据工程分析污染源源强核算结果，各排气筒排放污染物均满足达标排放要求，因此本项目有组织废气治理设施技术可行。</w:t>
            </w:r>
          </w:p>
          <w:p w14:paraId="4DB961D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eastAsia="宋体"/>
                <w:b/>
                <w:bCs/>
                <w:color w:val="auto"/>
                <w:sz w:val="24"/>
                <w:szCs w:val="24"/>
                <w:highlight w:val="none"/>
                <w:lang w:val="en-US" w:eastAsia="zh-CN"/>
              </w:rPr>
            </w:pPr>
            <w:r>
              <w:rPr>
                <w:rFonts w:hint="eastAsia"/>
                <w:b/>
                <w:bCs/>
                <w:color w:val="auto"/>
                <w:sz w:val="24"/>
                <w:szCs w:val="24"/>
                <w:highlight w:val="none"/>
                <w:lang w:eastAsia="zh-CN"/>
              </w:rPr>
              <w:t>表</w:t>
            </w:r>
            <w:r>
              <w:rPr>
                <w:rFonts w:hint="eastAsia"/>
                <w:b/>
                <w:bCs/>
                <w:color w:val="auto"/>
                <w:sz w:val="24"/>
                <w:szCs w:val="24"/>
                <w:highlight w:val="none"/>
                <w:lang w:val="en-US" w:eastAsia="zh-CN"/>
              </w:rPr>
              <w:t>4-30  本项目废气治理措施与各技术规范推荐措施对照表</w:t>
            </w:r>
          </w:p>
          <w:tbl>
            <w:tblPr>
              <w:tblStyle w:val="30"/>
              <w:tblW w:w="83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987"/>
              <w:gridCol w:w="593"/>
              <w:gridCol w:w="810"/>
              <w:gridCol w:w="3154"/>
              <w:gridCol w:w="2268"/>
              <w:gridCol w:w="555"/>
            </w:tblGrid>
            <w:tr w14:paraId="4FEB0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580" w:type="dxa"/>
                  <w:gridSpan w:val="2"/>
                  <w:tcBorders>
                    <w:tl2br w:val="nil"/>
                    <w:tr2bl w:val="nil"/>
                  </w:tcBorders>
                  <w:noWrap w:val="0"/>
                  <w:vAlign w:val="center"/>
                </w:tcPr>
                <w:p w14:paraId="2E395C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
                      <w:sz w:val="18"/>
                      <w:szCs w:val="18"/>
                      <w:highlight w:val="none"/>
                      <w:vertAlign w:val="baseline"/>
                      <w:lang w:val="en-US" w:eastAsia="zh-CN" w:bidi="ar-SA"/>
                    </w:rPr>
                  </w:pPr>
                  <w:r>
                    <w:rPr>
                      <w:rFonts w:hint="eastAsia"/>
                      <w:b/>
                      <w:bCs/>
                      <w:color w:val="auto"/>
                      <w:sz w:val="18"/>
                      <w:szCs w:val="18"/>
                      <w:highlight w:val="none"/>
                      <w:vertAlign w:val="baseline"/>
                      <w:lang w:eastAsia="zh-CN"/>
                    </w:rPr>
                    <w:t>产生工序</w:t>
                  </w:r>
                </w:p>
              </w:tc>
              <w:tc>
                <w:tcPr>
                  <w:tcW w:w="810" w:type="dxa"/>
                  <w:tcBorders>
                    <w:tl2br w:val="nil"/>
                    <w:tr2bl w:val="nil"/>
                  </w:tcBorders>
                  <w:noWrap w:val="0"/>
                  <w:vAlign w:val="center"/>
                </w:tcPr>
                <w:p w14:paraId="795AAD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18"/>
                      <w:szCs w:val="18"/>
                      <w:highlight w:val="none"/>
                      <w:vertAlign w:val="baseline"/>
                      <w:lang w:eastAsia="zh-CN"/>
                    </w:rPr>
                  </w:pPr>
                  <w:r>
                    <w:rPr>
                      <w:rFonts w:hint="eastAsia"/>
                      <w:b/>
                      <w:bCs/>
                      <w:color w:val="auto"/>
                      <w:sz w:val="18"/>
                      <w:szCs w:val="18"/>
                      <w:highlight w:val="none"/>
                      <w:vertAlign w:val="baseline"/>
                      <w:lang w:eastAsia="zh-CN"/>
                    </w:rPr>
                    <w:t>主要污染物</w:t>
                  </w:r>
                </w:p>
              </w:tc>
              <w:tc>
                <w:tcPr>
                  <w:tcW w:w="3154" w:type="dxa"/>
                  <w:tcBorders>
                    <w:tl2br w:val="nil"/>
                    <w:tr2bl w:val="nil"/>
                  </w:tcBorders>
                  <w:noWrap w:val="0"/>
                  <w:vAlign w:val="center"/>
                </w:tcPr>
                <w:p w14:paraId="12FAA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18"/>
                      <w:szCs w:val="18"/>
                      <w:highlight w:val="none"/>
                      <w:vertAlign w:val="baseline"/>
                      <w:lang w:eastAsia="zh-CN"/>
                    </w:rPr>
                  </w:pPr>
                  <w:r>
                    <w:rPr>
                      <w:rFonts w:hint="eastAsia"/>
                      <w:b/>
                      <w:bCs/>
                      <w:color w:val="auto"/>
                      <w:sz w:val="18"/>
                      <w:szCs w:val="18"/>
                      <w:highlight w:val="none"/>
                      <w:vertAlign w:val="baseline"/>
                      <w:lang w:eastAsia="zh-CN"/>
                    </w:rPr>
                    <w:t>可行技术</w:t>
                  </w:r>
                </w:p>
              </w:tc>
              <w:tc>
                <w:tcPr>
                  <w:tcW w:w="2268" w:type="dxa"/>
                  <w:tcBorders>
                    <w:tl2br w:val="nil"/>
                    <w:tr2bl w:val="nil"/>
                  </w:tcBorders>
                  <w:noWrap w:val="0"/>
                  <w:vAlign w:val="center"/>
                </w:tcPr>
                <w:p w14:paraId="01A1C1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18"/>
                      <w:szCs w:val="18"/>
                      <w:highlight w:val="none"/>
                      <w:vertAlign w:val="baseline"/>
                      <w:lang w:eastAsia="zh-CN"/>
                    </w:rPr>
                  </w:pPr>
                  <w:r>
                    <w:rPr>
                      <w:rFonts w:hint="eastAsia"/>
                      <w:b/>
                      <w:bCs/>
                      <w:color w:val="auto"/>
                      <w:sz w:val="18"/>
                      <w:szCs w:val="18"/>
                      <w:highlight w:val="none"/>
                      <w:vertAlign w:val="baseline"/>
                      <w:lang w:eastAsia="zh-CN"/>
                    </w:rPr>
                    <w:t>本项目采取的措施</w:t>
                  </w:r>
                </w:p>
              </w:tc>
              <w:tc>
                <w:tcPr>
                  <w:tcW w:w="555" w:type="dxa"/>
                  <w:tcBorders>
                    <w:tl2br w:val="nil"/>
                    <w:tr2bl w:val="nil"/>
                  </w:tcBorders>
                  <w:noWrap w:val="0"/>
                  <w:vAlign w:val="center"/>
                </w:tcPr>
                <w:p w14:paraId="22A2E9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18"/>
                      <w:szCs w:val="18"/>
                      <w:highlight w:val="none"/>
                      <w:vertAlign w:val="baseline"/>
                      <w:lang w:eastAsia="zh-CN"/>
                    </w:rPr>
                  </w:pPr>
                  <w:r>
                    <w:rPr>
                      <w:rFonts w:hint="eastAsia"/>
                      <w:b/>
                      <w:bCs/>
                      <w:color w:val="auto"/>
                      <w:sz w:val="18"/>
                      <w:szCs w:val="18"/>
                      <w:highlight w:val="none"/>
                      <w:vertAlign w:val="baseline"/>
                      <w:lang w:eastAsia="zh-CN"/>
                    </w:rPr>
                    <w:t>是否可行</w:t>
                  </w:r>
                </w:p>
              </w:tc>
            </w:tr>
            <w:tr w14:paraId="44D6C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restart"/>
                  <w:tcBorders>
                    <w:tl2br w:val="nil"/>
                    <w:tr2bl w:val="nil"/>
                  </w:tcBorders>
                  <w:noWrap w:val="0"/>
                  <w:textDirection w:val="tbLrV"/>
                  <w:vAlign w:val="center"/>
                </w:tcPr>
                <w:p w14:paraId="27FB6DCB">
                  <w:pPr>
                    <w:keepNext w:val="0"/>
                    <w:keepLines w:val="0"/>
                    <w:pageBreakBefore w:val="0"/>
                    <w:widowControl w:val="0"/>
                    <w:kinsoku/>
                    <w:wordWrap/>
                    <w:overflowPunct/>
                    <w:topLinePunct w:val="0"/>
                    <w:autoSpaceDE/>
                    <w:autoSpaceDN/>
                    <w:bidi w:val="0"/>
                    <w:adjustRightInd w:val="0"/>
                    <w:snapToGrid w:val="0"/>
                    <w:spacing w:line="240" w:lineRule="auto"/>
                    <w:ind w:left="113" w:right="113"/>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（HJ1115-2020、HJ1292-2023）</w:t>
                  </w:r>
                </w:p>
                <w:p w14:paraId="2CCC9E42">
                  <w:pPr>
                    <w:keepNext w:val="0"/>
                    <w:keepLines w:val="0"/>
                    <w:pageBreakBefore w:val="0"/>
                    <w:widowControl w:val="0"/>
                    <w:kinsoku/>
                    <w:wordWrap/>
                    <w:overflowPunct/>
                    <w:topLinePunct w:val="0"/>
                    <w:autoSpaceDE/>
                    <w:autoSpaceDN/>
                    <w:bidi w:val="0"/>
                    <w:adjustRightInd w:val="0"/>
                    <w:snapToGrid w:val="0"/>
                    <w:spacing w:line="240" w:lineRule="auto"/>
                    <w:ind w:left="113" w:right="113"/>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铸造、红冲、压铸、灭火器等生产线</w:t>
                  </w:r>
                </w:p>
              </w:tc>
              <w:tc>
                <w:tcPr>
                  <w:tcW w:w="593" w:type="dxa"/>
                  <w:tcBorders>
                    <w:tl2br w:val="nil"/>
                    <w:tr2bl w:val="nil"/>
                  </w:tcBorders>
                  <w:shd w:val="clear" w:color="auto" w:fill="auto"/>
                  <w:noWrap w:val="0"/>
                  <w:vAlign w:val="center"/>
                </w:tcPr>
                <w:p w14:paraId="752082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val="en-US" w:eastAsia="zh-CN"/>
                    </w:rPr>
                    <w:t>熔化</w:t>
                  </w:r>
                </w:p>
              </w:tc>
              <w:tc>
                <w:tcPr>
                  <w:tcW w:w="810" w:type="dxa"/>
                  <w:tcBorders>
                    <w:tl2br w:val="nil"/>
                    <w:tr2bl w:val="nil"/>
                  </w:tcBorders>
                  <w:noWrap w:val="0"/>
                  <w:vAlign w:val="center"/>
                </w:tcPr>
                <w:p w14:paraId="276EE6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18"/>
                      <w:szCs w:val="18"/>
                      <w:highlight w:val="none"/>
                      <w:vertAlign w:val="baseline"/>
                      <w:lang w:eastAsia="zh-CN"/>
                    </w:rPr>
                  </w:pPr>
                  <w:r>
                    <w:rPr>
                      <w:rFonts w:hint="eastAsia"/>
                      <w:color w:val="auto"/>
                      <w:sz w:val="18"/>
                      <w:szCs w:val="18"/>
                      <w:highlight w:val="none"/>
                      <w:vertAlign w:val="baseline"/>
                      <w:lang w:eastAsia="zh-CN"/>
                    </w:rPr>
                    <w:t>颗粒物</w:t>
                  </w:r>
                </w:p>
              </w:tc>
              <w:tc>
                <w:tcPr>
                  <w:tcW w:w="3154" w:type="dxa"/>
                  <w:tcBorders>
                    <w:tl2br w:val="nil"/>
                    <w:tr2bl w:val="nil"/>
                  </w:tcBorders>
                  <w:noWrap w:val="0"/>
                  <w:vAlign w:val="center"/>
                </w:tcPr>
                <w:p w14:paraId="0CD7A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eastAsia="zh-CN"/>
                    </w:rPr>
                    <w:t>①旋风除尘技术（可选）+②袋式除尘技术/滤筒除尘技术（适用于金属熔炼（化）工序的中频感应电炉）</w:t>
                  </w:r>
                </w:p>
              </w:tc>
              <w:tc>
                <w:tcPr>
                  <w:tcW w:w="2268" w:type="dxa"/>
                  <w:vMerge w:val="restart"/>
                  <w:tcBorders>
                    <w:tl2br w:val="nil"/>
                    <w:tr2bl w:val="nil"/>
                  </w:tcBorders>
                  <w:noWrap w:val="0"/>
                  <w:vAlign w:val="center"/>
                </w:tcPr>
                <w:p w14:paraId="573CDB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①精密铸件熔化、熔模浇注、粘土砂浇注废气（颗粒物）经集气罩收集后采用袋式除尘器处理后排放；</w:t>
                  </w:r>
                </w:p>
                <w:p w14:paraId="64869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压铸件熔化、浇注、打磨废气（颗粒物）经集气罩收集后采用袋式除尘器处理后排放；</w:t>
                  </w:r>
                </w:p>
                <w:p w14:paraId="58FBDF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18"/>
                      <w:szCs w:val="18"/>
                      <w:lang w:val="en-US" w:eastAsia="zh-CN"/>
                    </w:rPr>
                  </w:pPr>
                  <w:r>
                    <w:rPr>
                      <w:rFonts w:hint="eastAsia"/>
                      <w:color w:val="auto"/>
                      <w:sz w:val="18"/>
                      <w:szCs w:val="18"/>
                      <w:highlight w:val="none"/>
                      <w:vertAlign w:val="baseline"/>
                      <w:lang w:val="en-US" w:eastAsia="zh-CN"/>
                    </w:rPr>
                    <w:t>②</w:t>
                  </w:r>
                  <w:r>
                    <w:rPr>
                      <w:rFonts w:hint="eastAsia" w:ascii="宋体" w:hAnsi="宋体" w:cs="宋体"/>
                      <w:color w:val="auto"/>
                      <w:sz w:val="18"/>
                      <w:szCs w:val="18"/>
                      <w:lang w:val="en-US" w:eastAsia="zh-CN"/>
                    </w:rPr>
                    <w:t>制芯、树脂砂造型及浇注过程产生的废气（颗粒物、非甲烷总烃）经集气罩收集后采用</w:t>
                  </w:r>
                  <w:r>
                    <w:rPr>
                      <w:rFonts w:hint="eastAsia" w:ascii="宋体" w:hAnsi="宋体" w:cs="宋体"/>
                      <w:color w:val="auto"/>
                      <w:sz w:val="18"/>
                      <w:szCs w:val="18"/>
                    </w:rPr>
                    <w:t>袋式除尘器</w:t>
                  </w:r>
                  <w:r>
                    <w:rPr>
                      <w:rFonts w:hint="eastAsia" w:ascii="宋体" w:hAnsi="宋体" w:cs="宋体"/>
                      <w:color w:val="auto"/>
                      <w:sz w:val="18"/>
                      <w:szCs w:val="18"/>
                      <w:lang w:val="en-US" w:eastAsia="zh-CN"/>
                    </w:rPr>
                    <w:t>+活性炭吸附处理后排放；</w:t>
                  </w:r>
                </w:p>
                <w:p w14:paraId="29951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③蜡模组树过程产生的废气（非甲烷总烃）经集气罩收集后采用活性炭吸附处理后排放；</w:t>
                  </w:r>
                </w:p>
                <w:p w14:paraId="7E56E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④脱蜡、型壳焙烧废气（非甲烷总烃）采用水喷淋+干式过滤器+活性炭吸附处理后排放；</w:t>
                  </w:r>
                </w:p>
                <w:p w14:paraId="044942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⑤落砂、砂处理，粘土砂造型废气（颗粒物）设备密闭，废气负压收集后采样袋式除尘器处理后排放；</w:t>
                  </w:r>
                </w:p>
                <w:p w14:paraId="609D0F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⑥铸件抛丸清理废气（颗粒物）采用袋式除尘器处理后排放；红冲件冲压、抛丸废气（颗粒物）采用袋式除尘器处理后排放，压铸件打磨废气（颗粒物）采用袋式除尘器处理后排放；</w:t>
                  </w:r>
                </w:p>
                <w:p w14:paraId="350708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⑦喷粉废气（颗粒物）采用袋式除尘器处理后排放。</w:t>
                  </w:r>
                </w:p>
                <w:p w14:paraId="6A7F41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⑧喷粉固化废气（非甲烷总烃）采用水喷淋+干式过滤器+活性炭吸附处理后排放。</w:t>
                  </w:r>
                </w:p>
              </w:tc>
              <w:tc>
                <w:tcPr>
                  <w:tcW w:w="555" w:type="dxa"/>
                  <w:vMerge w:val="restart"/>
                  <w:tcBorders>
                    <w:tl2br w:val="nil"/>
                    <w:tr2bl w:val="nil"/>
                  </w:tcBorders>
                  <w:noWrap w:val="0"/>
                  <w:vAlign w:val="center"/>
                </w:tcPr>
                <w:p w14:paraId="271EFB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val="en-US" w:eastAsia="zh-CN"/>
                    </w:rPr>
                    <w:t>可行</w:t>
                  </w:r>
                </w:p>
              </w:tc>
            </w:tr>
            <w:tr w14:paraId="2A813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shd w:val="clear" w:color="auto" w:fill="auto"/>
                  <w:noWrap w:val="0"/>
                  <w:vAlign w:val="center"/>
                </w:tcPr>
                <w:p w14:paraId="32660A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p>
              </w:tc>
              <w:tc>
                <w:tcPr>
                  <w:tcW w:w="593" w:type="dxa"/>
                  <w:tcBorders>
                    <w:tl2br w:val="nil"/>
                    <w:tr2bl w:val="nil"/>
                  </w:tcBorders>
                  <w:shd w:val="clear" w:color="auto" w:fill="auto"/>
                  <w:noWrap w:val="0"/>
                  <w:vAlign w:val="center"/>
                </w:tcPr>
                <w:p w14:paraId="33E20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highlight w:val="none"/>
                      <w:vertAlign w:val="baseline"/>
                      <w:lang w:val="en-US" w:eastAsia="zh-CN"/>
                    </w:rPr>
                  </w:pPr>
                  <w:r>
                    <w:rPr>
                      <w:rFonts w:hint="default" w:eastAsia="宋体"/>
                      <w:color w:val="auto"/>
                      <w:sz w:val="18"/>
                      <w:szCs w:val="18"/>
                      <w:highlight w:val="none"/>
                      <w:vertAlign w:val="baseline"/>
                      <w:lang w:val="en-US" w:eastAsia="zh-CN"/>
                    </w:rPr>
                    <w:t>浇注</w:t>
                  </w:r>
                </w:p>
              </w:tc>
              <w:tc>
                <w:tcPr>
                  <w:tcW w:w="810" w:type="dxa"/>
                  <w:tcBorders>
                    <w:tl2br w:val="nil"/>
                    <w:tr2bl w:val="nil"/>
                  </w:tcBorders>
                  <w:shd w:val="clear" w:color="auto" w:fill="auto"/>
                  <w:noWrap w:val="0"/>
                  <w:vAlign w:val="center"/>
                </w:tcPr>
                <w:p w14:paraId="28297E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eastAsia="zh-CN"/>
                    </w:rPr>
                    <w:t>颗粒物、</w:t>
                  </w:r>
                  <w:r>
                    <w:rPr>
                      <w:rFonts w:hint="eastAsia"/>
                      <w:color w:val="auto"/>
                      <w:sz w:val="18"/>
                      <w:szCs w:val="18"/>
                      <w:highlight w:val="none"/>
                      <w:vertAlign w:val="baseline"/>
                      <w:lang w:val="en-US" w:eastAsia="zh-CN"/>
                    </w:rPr>
                    <w:t>非甲烷总烃</w:t>
                  </w:r>
                </w:p>
              </w:tc>
              <w:tc>
                <w:tcPr>
                  <w:tcW w:w="3154" w:type="dxa"/>
                  <w:tcBorders>
                    <w:tl2br w:val="nil"/>
                    <w:tr2bl w:val="nil"/>
                  </w:tcBorders>
                  <w:shd w:val="clear" w:color="auto" w:fill="auto"/>
                  <w:noWrap w:val="0"/>
                  <w:vAlign w:val="center"/>
                </w:tcPr>
                <w:p w14:paraId="4D7DAE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eastAsia="zh-CN"/>
                    </w:rPr>
                    <w:t>①旋风除尘技术（可选）+②袋式除尘技术/滤筒除尘技术+③固定床吸附技术+④燃烧技术（可选）（适用于含有机质的粘土砂、树脂砂、消失模、有机粘结剂壳型等含有有机原辅材料铸造工艺的浇注工序。）</w:t>
                  </w:r>
                </w:p>
              </w:tc>
              <w:tc>
                <w:tcPr>
                  <w:tcW w:w="2268" w:type="dxa"/>
                  <w:vMerge w:val="continue"/>
                  <w:tcBorders>
                    <w:tl2br w:val="nil"/>
                    <w:tr2bl w:val="nil"/>
                  </w:tcBorders>
                  <w:noWrap w:val="0"/>
                  <w:vAlign w:val="center"/>
                </w:tcPr>
                <w:p w14:paraId="3F64AF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c>
                <w:tcPr>
                  <w:tcW w:w="555" w:type="dxa"/>
                  <w:vMerge w:val="continue"/>
                  <w:tcBorders>
                    <w:tl2br w:val="nil"/>
                    <w:tr2bl w:val="nil"/>
                  </w:tcBorders>
                  <w:noWrap w:val="0"/>
                  <w:vAlign w:val="center"/>
                </w:tcPr>
                <w:p w14:paraId="30A0CB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18"/>
                      <w:szCs w:val="18"/>
                      <w:highlight w:val="none"/>
                      <w:vertAlign w:val="baseline"/>
                      <w:lang w:eastAsia="zh-CN"/>
                    </w:rPr>
                  </w:pPr>
                </w:p>
              </w:tc>
            </w:tr>
            <w:tr w14:paraId="11B12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shd w:val="clear" w:color="auto" w:fill="auto"/>
                  <w:noWrap w:val="0"/>
                  <w:vAlign w:val="center"/>
                </w:tcPr>
                <w:p w14:paraId="175825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p>
              </w:tc>
              <w:tc>
                <w:tcPr>
                  <w:tcW w:w="593" w:type="dxa"/>
                  <w:vMerge w:val="restart"/>
                  <w:tcBorders>
                    <w:tl2br w:val="nil"/>
                    <w:tr2bl w:val="nil"/>
                  </w:tcBorders>
                  <w:shd w:val="clear" w:color="auto" w:fill="auto"/>
                  <w:noWrap w:val="0"/>
                  <w:vAlign w:val="center"/>
                </w:tcPr>
                <w:p w14:paraId="12AA97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eastAsia="zh-CN"/>
                    </w:rPr>
                    <w:t>造型、</w:t>
                  </w:r>
                  <w:r>
                    <w:rPr>
                      <w:rFonts w:hint="eastAsia"/>
                      <w:color w:val="auto"/>
                      <w:sz w:val="18"/>
                      <w:szCs w:val="18"/>
                      <w:highlight w:val="none"/>
                      <w:vertAlign w:val="baseline"/>
                      <w:lang w:val="en-US" w:eastAsia="zh-CN"/>
                    </w:rPr>
                    <w:t>制芯</w:t>
                  </w:r>
                </w:p>
              </w:tc>
              <w:tc>
                <w:tcPr>
                  <w:tcW w:w="810" w:type="dxa"/>
                  <w:tcBorders>
                    <w:tl2br w:val="nil"/>
                    <w:tr2bl w:val="nil"/>
                  </w:tcBorders>
                  <w:shd w:val="clear" w:color="auto" w:fill="auto"/>
                  <w:noWrap w:val="0"/>
                  <w:vAlign w:val="center"/>
                </w:tcPr>
                <w:p w14:paraId="3845B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eastAsia="zh-CN"/>
                    </w:rPr>
                    <w:t>颗粒物</w:t>
                  </w:r>
                </w:p>
              </w:tc>
              <w:tc>
                <w:tcPr>
                  <w:tcW w:w="3154" w:type="dxa"/>
                  <w:tcBorders>
                    <w:tl2br w:val="nil"/>
                    <w:tr2bl w:val="nil"/>
                  </w:tcBorders>
                  <w:shd w:val="clear" w:color="auto" w:fill="auto"/>
                  <w:noWrap w:val="0"/>
                  <w:vAlign w:val="center"/>
                </w:tcPr>
                <w:p w14:paraId="6FAE39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eastAsia="zh-CN"/>
                    </w:rPr>
                    <w:t>①旋风除尘技术（可选）+②袋式除尘技术/滤筒除尘技术（</w:t>
                  </w:r>
                  <w:r>
                    <w:rPr>
                      <w:rFonts w:hint="eastAsia"/>
                      <w:color w:val="auto"/>
                      <w:sz w:val="18"/>
                      <w:szCs w:val="18"/>
                      <w:highlight w:val="none"/>
                      <w:vertAlign w:val="baseline"/>
                      <w:lang w:val="en-US" w:eastAsia="zh-CN"/>
                    </w:rPr>
                    <w:t>适用于</w:t>
                  </w:r>
                  <w:r>
                    <w:rPr>
                      <w:rFonts w:hint="eastAsia"/>
                      <w:color w:val="auto"/>
                      <w:sz w:val="18"/>
                      <w:szCs w:val="18"/>
                      <w:highlight w:val="none"/>
                      <w:vertAlign w:val="baseline"/>
                      <w:lang w:eastAsia="zh-CN"/>
                    </w:rPr>
                    <w:t>无有机质粘土砂、无机粘结剂砂型工艺等铸造工艺）</w:t>
                  </w:r>
                </w:p>
              </w:tc>
              <w:tc>
                <w:tcPr>
                  <w:tcW w:w="2268" w:type="dxa"/>
                  <w:vMerge w:val="continue"/>
                  <w:tcBorders>
                    <w:tl2br w:val="nil"/>
                    <w:tr2bl w:val="nil"/>
                  </w:tcBorders>
                  <w:noWrap w:val="0"/>
                  <w:vAlign w:val="center"/>
                </w:tcPr>
                <w:p w14:paraId="3DD546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c>
                <w:tcPr>
                  <w:tcW w:w="555" w:type="dxa"/>
                  <w:vMerge w:val="continue"/>
                  <w:tcBorders>
                    <w:tl2br w:val="nil"/>
                    <w:tr2bl w:val="nil"/>
                  </w:tcBorders>
                  <w:noWrap w:val="0"/>
                  <w:vAlign w:val="center"/>
                </w:tcPr>
                <w:p w14:paraId="6BF988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r>
            <w:tr w14:paraId="32D1B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shd w:val="clear" w:color="auto" w:fill="auto"/>
                  <w:noWrap w:val="0"/>
                  <w:vAlign w:val="center"/>
                </w:tcPr>
                <w:p w14:paraId="3549B9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p>
              </w:tc>
              <w:tc>
                <w:tcPr>
                  <w:tcW w:w="593" w:type="dxa"/>
                  <w:vMerge w:val="continue"/>
                  <w:tcBorders>
                    <w:tl2br w:val="nil"/>
                    <w:tr2bl w:val="nil"/>
                  </w:tcBorders>
                  <w:shd w:val="clear" w:color="auto" w:fill="auto"/>
                  <w:noWrap w:val="0"/>
                  <w:vAlign w:val="center"/>
                </w:tcPr>
                <w:p w14:paraId="59A9B3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p>
              </w:tc>
              <w:tc>
                <w:tcPr>
                  <w:tcW w:w="810" w:type="dxa"/>
                  <w:tcBorders>
                    <w:tl2br w:val="nil"/>
                    <w:tr2bl w:val="nil"/>
                  </w:tcBorders>
                  <w:shd w:val="clear" w:color="auto" w:fill="auto"/>
                  <w:noWrap w:val="0"/>
                  <w:vAlign w:val="center"/>
                </w:tcPr>
                <w:p w14:paraId="7F7CC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颗粒物、非甲烷总烃</w:t>
                  </w:r>
                </w:p>
              </w:tc>
              <w:tc>
                <w:tcPr>
                  <w:tcW w:w="3154" w:type="dxa"/>
                  <w:tcBorders>
                    <w:tl2br w:val="nil"/>
                    <w:tr2bl w:val="nil"/>
                  </w:tcBorders>
                  <w:shd w:val="clear" w:color="auto" w:fill="auto"/>
                  <w:noWrap w:val="0"/>
                  <w:vAlign w:val="center"/>
                </w:tcPr>
                <w:p w14:paraId="4B69D9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eastAsia="zh-CN"/>
                    </w:rPr>
                    <w:t>①旋风除尘技术（可选）+②袋式除尘技术/滤筒除尘技术+③固定床吸附技术（适用于树脂砂、热芯盒等使用有机粘结剂的铸造工艺造型产生的废气治理。）</w:t>
                  </w:r>
                </w:p>
              </w:tc>
              <w:tc>
                <w:tcPr>
                  <w:tcW w:w="2268" w:type="dxa"/>
                  <w:vMerge w:val="continue"/>
                  <w:tcBorders>
                    <w:tl2br w:val="nil"/>
                    <w:tr2bl w:val="nil"/>
                  </w:tcBorders>
                  <w:noWrap w:val="0"/>
                  <w:vAlign w:val="center"/>
                </w:tcPr>
                <w:p w14:paraId="5AC6EC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c>
                <w:tcPr>
                  <w:tcW w:w="555" w:type="dxa"/>
                  <w:vMerge w:val="continue"/>
                  <w:tcBorders>
                    <w:tl2br w:val="nil"/>
                    <w:tr2bl w:val="nil"/>
                  </w:tcBorders>
                  <w:noWrap w:val="0"/>
                  <w:vAlign w:val="center"/>
                </w:tcPr>
                <w:p w14:paraId="124176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r>
            <w:tr w14:paraId="6BF17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shd w:val="clear" w:color="auto" w:fill="auto"/>
                  <w:noWrap w:val="0"/>
                  <w:vAlign w:val="center"/>
                </w:tcPr>
                <w:p w14:paraId="34391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p>
              </w:tc>
              <w:tc>
                <w:tcPr>
                  <w:tcW w:w="593" w:type="dxa"/>
                  <w:tcBorders>
                    <w:tl2br w:val="nil"/>
                    <w:tr2bl w:val="nil"/>
                  </w:tcBorders>
                  <w:shd w:val="clear" w:color="auto" w:fill="auto"/>
                  <w:noWrap w:val="0"/>
                  <w:vAlign w:val="center"/>
                </w:tcPr>
                <w:p w14:paraId="3E43D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eastAsia="宋体" w:cs="Times New Roman"/>
                      <w:color w:val="auto"/>
                      <w:kern w:val="2"/>
                      <w:sz w:val="18"/>
                      <w:szCs w:val="18"/>
                      <w:highlight w:val="none"/>
                      <w:vertAlign w:val="baseline"/>
                      <w:lang w:val="en-US" w:eastAsia="zh-CN" w:bidi="ar-SA"/>
                    </w:rPr>
                    <w:t>落砂、</w:t>
                  </w:r>
                  <w:r>
                    <w:rPr>
                      <w:rFonts w:hint="eastAsia"/>
                      <w:color w:val="auto"/>
                      <w:sz w:val="18"/>
                      <w:szCs w:val="18"/>
                      <w:highlight w:val="none"/>
                      <w:vertAlign w:val="baseline"/>
                      <w:lang w:eastAsia="zh-CN"/>
                    </w:rPr>
                    <w:t>砂处理、</w:t>
                  </w:r>
                  <w:r>
                    <w:rPr>
                      <w:rFonts w:hint="eastAsia"/>
                      <w:color w:val="auto"/>
                      <w:sz w:val="18"/>
                      <w:szCs w:val="18"/>
                      <w:highlight w:val="none"/>
                      <w:vertAlign w:val="baseline"/>
                      <w:lang w:val="en-US" w:eastAsia="zh-CN"/>
                    </w:rPr>
                    <w:t>抛丸清理等</w:t>
                  </w:r>
                </w:p>
              </w:tc>
              <w:tc>
                <w:tcPr>
                  <w:tcW w:w="810" w:type="dxa"/>
                  <w:tcBorders>
                    <w:tl2br w:val="nil"/>
                    <w:tr2bl w:val="nil"/>
                  </w:tcBorders>
                  <w:shd w:val="clear" w:color="auto" w:fill="auto"/>
                  <w:noWrap w:val="0"/>
                  <w:vAlign w:val="center"/>
                </w:tcPr>
                <w:p w14:paraId="084DE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eastAsia="zh-CN"/>
                    </w:rPr>
                    <w:t>颗粒物</w:t>
                  </w:r>
                </w:p>
              </w:tc>
              <w:tc>
                <w:tcPr>
                  <w:tcW w:w="3154" w:type="dxa"/>
                  <w:tcBorders>
                    <w:tl2br w:val="nil"/>
                    <w:tr2bl w:val="nil"/>
                  </w:tcBorders>
                  <w:shd w:val="clear" w:color="auto" w:fill="auto"/>
                  <w:noWrap w:val="0"/>
                  <w:vAlign w:val="center"/>
                </w:tcPr>
                <w:p w14:paraId="3282E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①旋风除尘技术（可选）+②袋式除尘技术/滤筒除尘技术</w:t>
                  </w:r>
                  <w:r>
                    <w:rPr>
                      <w:rFonts w:hint="eastAsia" w:eastAsia="宋体" w:cs="Times New Roman"/>
                      <w:color w:val="auto"/>
                      <w:kern w:val="2"/>
                      <w:sz w:val="18"/>
                      <w:szCs w:val="18"/>
                      <w:highlight w:val="none"/>
                      <w:vertAlign w:val="baseline"/>
                      <w:lang w:val="en-US" w:eastAsia="zh-CN" w:bidi="ar-SA"/>
                    </w:rPr>
                    <w:t>（适用于各种砂型铸造工艺（含特种砂型铸造工艺）的落砂、清理、砂处理和废砂再生等工序。）</w:t>
                  </w:r>
                </w:p>
              </w:tc>
              <w:tc>
                <w:tcPr>
                  <w:tcW w:w="2268" w:type="dxa"/>
                  <w:vMerge w:val="continue"/>
                  <w:tcBorders>
                    <w:tl2br w:val="nil"/>
                    <w:tr2bl w:val="nil"/>
                  </w:tcBorders>
                  <w:shd w:val="clear" w:color="auto" w:fill="auto"/>
                  <w:noWrap w:val="0"/>
                  <w:vAlign w:val="center"/>
                </w:tcPr>
                <w:p w14:paraId="186ADB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18"/>
                      <w:szCs w:val="18"/>
                      <w:highlight w:val="none"/>
                      <w:vertAlign w:val="baseline"/>
                      <w:lang w:val="en-US" w:eastAsia="zh-CN" w:bidi="ar-SA"/>
                    </w:rPr>
                  </w:pPr>
                </w:p>
              </w:tc>
              <w:tc>
                <w:tcPr>
                  <w:tcW w:w="555" w:type="dxa"/>
                  <w:vMerge w:val="continue"/>
                  <w:tcBorders>
                    <w:tl2br w:val="nil"/>
                    <w:tr2bl w:val="nil"/>
                  </w:tcBorders>
                  <w:shd w:val="clear" w:color="auto" w:fill="auto"/>
                  <w:noWrap w:val="0"/>
                  <w:vAlign w:val="center"/>
                </w:tcPr>
                <w:p w14:paraId="12D667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p>
              </w:tc>
            </w:tr>
            <w:tr w14:paraId="7E57C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noWrap w:val="0"/>
                  <w:vAlign w:val="center"/>
                </w:tcPr>
                <w:p w14:paraId="1E5A82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p>
              </w:tc>
              <w:tc>
                <w:tcPr>
                  <w:tcW w:w="593" w:type="dxa"/>
                  <w:tcBorders>
                    <w:tl2br w:val="nil"/>
                    <w:tr2bl w:val="nil"/>
                  </w:tcBorders>
                  <w:noWrap w:val="0"/>
                  <w:vAlign w:val="center"/>
                </w:tcPr>
                <w:p w14:paraId="43C853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喷粉</w:t>
                  </w:r>
                </w:p>
              </w:tc>
              <w:tc>
                <w:tcPr>
                  <w:tcW w:w="810" w:type="dxa"/>
                  <w:tcBorders>
                    <w:tl2br w:val="nil"/>
                    <w:tr2bl w:val="nil"/>
                  </w:tcBorders>
                  <w:noWrap w:val="0"/>
                  <w:vAlign w:val="center"/>
                </w:tcPr>
                <w:p w14:paraId="17B4B3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颗粒物</w:t>
                  </w:r>
                </w:p>
              </w:tc>
              <w:tc>
                <w:tcPr>
                  <w:tcW w:w="3154" w:type="dxa"/>
                  <w:tcBorders>
                    <w:tl2br w:val="nil"/>
                    <w:tr2bl w:val="nil"/>
                  </w:tcBorders>
                  <w:noWrap w:val="0"/>
                  <w:vAlign w:val="center"/>
                </w:tcPr>
                <w:p w14:paraId="15525A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eastAsia="zh-CN"/>
                    </w:rPr>
                    <w:t>袋式除尘技术/滤筒除尘技术（适用于表面涂装工序。静电喷涂技术通常需配合自动喷涂技术使用。）</w:t>
                  </w:r>
                </w:p>
              </w:tc>
              <w:tc>
                <w:tcPr>
                  <w:tcW w:w="2268" w:type="dxa"/>
                  <w:vMerge w:val="continue"/>
                  <w:tcBorders>
                    <w:tl2br w:val="nil"/>
                    <w:tr2bl w:val="nil"/>
                  </w:tcBorders>
                  <w:noWrap w:val="0"/>
                  <w:vAlign w:val="center"/>
                </w:tcPr>
                <w:p w14:paraId="453CF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c>
                <w:tcPr>
                  <w:tcW w:w="555" w:type="dxa"/>
                  <w:vMerge w:val="continue"/>
                  <w:tcBorders>
                    <w:tl2br w:val="nil"/>
                    <w:tr2bl w:val="nil"/>
                  </w:tcBorders>
                  <w:noWrap w:val="0"/>
                  <w:vAlign w:val="center"/>
                </w:tcPr>
                <w:p w14:paraId="6B526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r>
            <w:tr w14:paraId="4BA72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noWrap w:val="0"/>
                  <w:vAlign w:val="center"/>
                </w:tcPr>
                <w:p w14:paraId="096AE9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p>
              </w:tc>
              <w:tc>
                <w:tcPr>
                  <w:tcW w:w="593" w:type="dxa"/>
                  <w:tcBorders>
                    <w:tl2br w:val="nil"/>
                    <w:tr2bl w:val="nil"/>
                  </w:tcBorders>
                  <w:noWrap w:val="0"/>
                  <w:vAlign w:val="center"/>
                </w:tcPr>
                <w:p w14:paraId="5CA35A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固化</w:t>
                  </w:r>
                </w:p>
              </w:tc>
              <w:tc>
                <w:tcPr>
                  <w:tcW w:w="810" w:type="dxa"/>
                  <w:tcBorders>
                    <w:tl2br w:val="nil"/>
                    <w:tr2bl w:val="nil"/>
                  </w:tcBorders>
                  <w:noWrap w:val="0"/>
                  <w:vAlign w:val="center"/>
                </w:tcPr>
                <w:p w14:paraId="5AB9B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颗粒物、非甲烷总烃</w:t>
                  </w:r>
                </w:p>
              </w:tc>
              <w:tc>
                <w:tcPr>
                  <w:tcW w:w="3154" w:type="dxa"/>
                  <w:tcBorders>
                    <w:tl2br w:val="nil"/>
                    <w:tr2bl w:val="nil"/>
                  </w:tcBorders>
                  <w:noWrap w:val="0"/>
                  <w:vAlign w:val="center"/>
                </w:tcPr>
                <w:p w14:paraId="33586F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eastAsia="zh-CN"/>
                    </w:rPr>
                    <w:t>在喷涂车间排气口设置TVOC处理</w:t>
                  </w:r>
                </w:p>
                <w:p w14:paraId="05984B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eastAsia="zh-CN"/>
                    </w:rPr>
                    <w:t>装置</w:t>
                  </w:r>
                </w:p>
              </w:tc>
              <w:tc>
                <w:tcPr>
                  <w:tcW w:w="2268" w:type="dxa"/>
                  <w:vMerge w:val="continue"/>
                  <w:tcBorders>
                    <w:tl2br w:val="nil"/>
                    <w:tr2bl w:val="nil"/>
                  </w:tcBorders>
                  <w:noWrap w:val="0"/>
                  <w:vAlign w:val="center"/>
                </w:tcPr>
                <w:p w14:paraId="7F51A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c>
                <w:tcPr>
                  <w:tcW w:w="555" w:type="dxa"/>
                  <w:vMerge w:val="continue"/>
                  <w:tcBorders>
                    <w:tl2br w:val="nil"/>
                    <w:tr2bl w:val="nil"/>
                  </w:tcBorders>
                  <w:noWrap w:val="0"/>
                  <w:vAlign w:val="center"/>
                </w:tcPr>
                <w:p w14:paraId="34235F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p>
              </w:tc>
            </w:tr>
            <w:tr w14:paraId="1BE0F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restart"/>
                  <w:tcBorders>
                    <w:tl2br w:val="nil"/>
                    <w:tr2bl w:val="nil"/>
                  </w:tcBorders>
                  <w:noWrap w:val="0"/>
                  <w:textDirection w:val="tbRlV"/>
                  <w:vAlign w:val="center"/>
                </w:tcPr>
                <w:p w14:paraId="0A0296C6">
                  <w:pPr>
                    <w:keepNext w:val="0"/>
                    <w:keepLines w:val="0"/>
                    <w:pageBreakBefore w:val="0"/>
                    <w:widowControl w:val="0"/>
                    <w:kinsoku/>
                    <w:wordWrap/>
                    <w:overflowPunct/>
                    <w:topLinePunct w:val="0"/>
                    <w:autoSpaceDE/>
                    <w:autoSpaceDN/>
                    <w:bidi w:val="0"/>
                    <w:adjustRightInd w:val="0"/>
                    <w:snapToGrid w:val="0"/>
                    <w:spacing w:line="240" w:lineRule="auto"/>
                    <w:ind w:left="113" w:right="113"/>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消防栓箱（HJ1122-2020）</w:t>
                  </w:r>
                </w:p>
              </w:tc>
              <w:tc>
                <w:tcPr>
                  <w:tcW w:w="593" w:type="dxa"/>
                  <w:vMerge w:val="restart"/>
                  <w:tcBorders>
                    <w:tl2br w:val="nil"/>
                    <w:tr2bl w:val="nil"/>
                  </w:tcBorders>
                  <w:noWrap w:val="0"/>
                  <w:vAlign w:val="center"/>
                </w:tcPr>
                <w:p w14:paraId="28813C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塑料板、管、型材制造</w:t>
                  </w:r>
                </w:p>
              </w:tc>
              <w:tc>
                <w:tcPr>
                  <w:tcW w:w="810" w:type="dxa"/>
                  <w:tcBorders>
                    <w:tl2br w:val="nil"/>
                    <w:tr2bl w:val="nil"/>
                  </w:tcBorders>
                  <w:noWrap w:val="0"/>
                  <w:vAlign w:val="center"/>
                </w:tcPr>
                <w:p w14:paraId="6895BA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颗粒物</w:t>
                  </w:r>
                </w:p>
              </w:tc>
              <w:tc>
                <w:tcPr>
                  <w:tcW w:w="3154" w:type="dxa"/>
                  <w:tcBorders>
                    <w:tl2br w:val="nil"/>
                    <w:tr2bl w:val="nil"/>
                  </w:tcBorders>
                  <w:noWrap w:val="0"/>
                  <w:vAlign w:val="center"/>
                </w:tcPr>
                <w:p w14:paraId="17D5CE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eastAsia="zh-CN"/>
                    </w:rPr>
                    <w:t>袋式除尘；滤筒/滤芯除尘</w:t>
                  </w:r>
                </w:p>
              </w:tc>
              <w:tc>
                <w:tcPr>
                  <w:tcW w:w="2268" w:type="dxa"/>
                  <w:tcBorders>
                    <w:tl2br w:val="nil"/>
                    <w:tr2bl w:val="nil"/>
                  </w:tcBorders>
                  <w:noWrap w:val="0"/>
                  <w:vAlign w:val="center"/>
                </w:tcPr>
                <w:p w14:paraId="2B975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投料拌料粉尘废气（颗粒物）经集气罩收集后采用袋式除尘器处理后排放</w:t>
                  </w:r>
                </w:p>
              </w:tc>
              <w:tc>
                <w:tcPr>
                  <w:tcW w:w="555" w:type="dxa"/>
                  <w:tcBorders>
                    <w:tl2br w:val="nil"/>
                    <w:tr2bl w:val="nil"/>
                  </w:tcBorders>
                  <w:noWrap w:val="0"/>
                  <w:vAlign w:val="center"/>
                </w:tcPr>
                <w:p w14:paraId="1DC674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r>
                    <w:rPr>
                      <w:rFonts w:hint="eastAsia"/>
                      <w:color w:val="auto"/>
                      <w:sz w:val="18"/>
                      <w:szCs w:val="18"/>
                      <w:highlight w:val="none"/>
                      <w:vertAlign w:val="baseline"/>
                      <w:lang w:val="en-US" w:eastAsia="zh-CN"/>
                    </w:rPr>
                    <w:t>可行</w:t>
                  </w:r>
                </w:p>
              </w:tc>
            </w:tr>
            <w:tr w14:paraId="098AB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noWrap w:val="0"/>
                  <w:vAlign w:val="center"/>
                </w:tcPr>
                <w:p w14:paraId="09DA2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p>
              </w:tc>
              <w:tc>
                <w:tcPr>
                  <w:tcW w:w="593" w:type="dxa"/>
                  <w:vMerge w:val="continue"/>
                  <w:tcBorders>
                    <w:tl2br w:val="nil"/>
                    <w:tr2bl w:val="nil"/>
                  </w:tcBorders>
                  <w:noWrap w:val="0"/>
                  <w:vAlign w:val="center"/>
                </w:tcPr>
                <w:p w14:paraId="52DC4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p>
              </w:tc>
              <w:tc>
                <w:tcPr>
                  <w:tcW w:w="810" w:type="dxa"/>
                  <w:tcBorders>
                    <w:tl2br w:val="nil"/>
                    <w:tr2bl w:val="nil"/>
                  </w:tcBorders>
                  <w:noWrap w:val="0"/>
                  <w:vAlign w:val="center"/>
                </w:tcPr>
                <w:p w14:paraId="78513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val="en-US" w:eastAsia="zh-CN"/>
                    </w:rPr>
                    <w:t>非甲烷总烃</w:t>
                  </w:r>
                </w:p>
              </w:tc>
              <w:tc>
                <w:tcPr>
                  <w:tcW w:w="3154" w:type="dxa"/>
                  <w:tcBorders>
                    <w:tl2br w:val="nil"/>
                    <w:tr2bl w:val="nil"/>
                  </w:tcBorders>
                  <w:noWrap w:val="0"/>
                  <w:vAlign w:val="center"/>
                </w:tcPr>
                <w:p w14:paraId="7197F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eastAsia="zh-CN"/>
                    </w:rPr>
                    <w:t>喷淋；吸附；吸附浓缩+热力燃烧/催化燃烧</w:t>
                  </w:r>
                </w:p>
              </w:tc>
              <w:tc>
                <w:tcPr>
                  <w:tcW w:w="2268" w:type="dxa"/>
                  <w:tcBorders>
                    <w:tl2br w:val="nil"/>
                    <w:tr2bl w:val="nil"/>
                  </w:tcBorders>
                  <w:noWrap w:val="0"/>
                  <w:vAlign w:val="center"/>
                </w:tcPr>
                <w:p w14:paraId="2C2CB7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造粒、挤出、挤管工序废气（非甲烷总烃）经集气罩收集后采用活性炭吸附处理后排放</w:t>
                  </w:r>
                </w:p>
              </w:tc>
              <w:tc>
                <w:tcPr>
                  <w:tcW w:w="555" w:type="dxa"/>
                  <w:tcBorders>
                    <w:tl2br w:val="nil"/>
                    <w:tr2bl w:val="nil"/>
                  </w:tcBorders>
                  <w:noWrap w:val="0"/>
                  <w:vAlign w:val="center"/>
                </w:tcPr>
                <w:p w14:paraId="255561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r>
                    <w:rPr>
                      <w:rFonts w:hint="eastAsia"/>
                      <w:color w:val="auto"/>
                      <w:sz w:val="18"/>
                      <w:szCs w:val="18"/>
                      <w:highlight w:val="none"/>
                      <w:vertAlign w:val="baseline"/>
                      <w:lang w:val="en-US" w:eastAsia="zh-CN"/>
                    </w:rPr>
                    <w:t>可行</w:t>
                  </w:r>
                </w:p>
              </w:tc>
            </w:tr>
            <w:tr w14:paraId="45A67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restart"/>
                  <w:tcBorders>
                    <w:tl2br w:val="nil"/>
                    <w:tr2bl w:val="nil"/>
                  </w:tcBorders>
                  <w:noWrap w:val="0"/>
                  <w:textDirection w:val="tbLrV"/>
                  <w:vAlign w:val="center"/>
                </w:tcPr>
                <w:p w14:paraId="19F0E07F">
                  <w:pPr>
                    <w:keepNext w:val="0"/>
                    <w:keepLines w:val="0"/>
                    <w:pageBreakBefore w:val="0"/>
                    <w:widowControl w:val="0"/>
                    <w:kinsoku/>
                    <w:wordWrap/>
                    <w:overflowPunct/>
                    <w:topLinePunct w:val="0"/>
                    <w:autoSpaceDE/>
                    <w:autoSpaceDN/>
                    <w:bidi w:val="0"/>
                    <w:adjustRightInd w:val="0"/>
                    <w:snapToGrid w:val="0"/>
                    <w:spacing w:line="240" w:lineRule="auto"/>
                    <w:ind w:left="113" w:right="113"/>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（HJ1115-2020、HJ1292-2023）</w:t>
                  </w:r>
                </w:p>
                <w:p w14:paraId="59327AEC">
                  <w:pPr>
                    <w:keepNext w:val="0"/>
                    <w:keepLines w:val="0"/>
                    <w:pageBreakBefore w:val="0"/>
                    <w:widowControl w:val="0"/>
                    <w:kinsoku/>
                    <w:wordWrap/>
                    <w:overflowPunct/>
                    <w:topLinePunct w:val="0"/>
                    <w:autoSpaceDE/>
                    <w:autoSpaceDN/>
                    <w:bidi w:val="0"/>
                    <w:adjustRightInd w:val="0"/>
                    <w:snapToGrid w:val="0"/>
                    <w:spacing w:line="240" w:lineRule="auto"/>
                    <w:ind w:left="113" w:right="113"/>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焊接、机关切割等工序</w:t>
                  </w:r>
                </w:p>
              </w:tc>
              <w:tc>
                <w:tcPr>
                  <w:tcW w:w="593" w:type="dxa"/>
                  <w:tcBorders>
                    <w:tl2br w:val="nil"/>
                    <w:tr2bl w:val="nil"/>
                  </w:tcBorders>
                  <w:noWrap w:val="0"/>
                  <w:vAlign w:val="center"/>
                </w:tcPr>
                <w:p w14:paraId="7A3C8F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焊接</w:t>
                  </w:r>
                </w:p>
              </w:tc>
              <w:tc>
                <w:tcPr>
                  <w:tcW w:w="810" w:type="dxa"/>
                  <w:tcBorders>
                    <w:tl2br w:val="nil"/>
                    <w:tr2bl w:val="nil"/>
                  </w:tcBorders>
                  <w:noWrap w:val="0"/>
                  <w:vAlign w:val="center"/>
                </w:tcPr>
                <w:p w14:paraId="33419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颗粒物</w:t>
                  </w:r>
                </w:p>
              </w:tc>
              <w:tc>
                <w:tcPr>
                  <w:tcW w:w="3154" w:type="dxa"/>
                  <w:tcBorders>
                    <w:tl2br w:val="nil"/>
                    <w:tr2bl w:val="nil"/>
                  </w:tcBorders>
                  <w:noWrap w:val="0"/>
                  <w:vAlign w:val="center"/>
                </w:tcPr>
                <w:p w14:paraId="342509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eastAsia="zh-CN"/>
                    </w:rPr>
                  </w:pPr>
                  <w:r>
                    <w:rPr>
                      <w:rFonts w:hint="eastAsia"/>
                      <w:color w:val="auto"/>
                      <w:sz w:val="18"/>
                      <w:szCs w:val="18"/>
                      <w:highlight w:val="none"/>
                      <w:vertAlign w:val="baseline"/>
                      <w:lang w:val="en-US" w:eastAsia="zh-CN"/>
                    </w:rPr>
                    <w:t>烟尘净化装置、袋式除尘器等</w:t>
                  </w:r>
                </w:p>
              </w:tc>
              <w:tc>
                <w:tcPr>
                  <w:tcW w:w="2268" w:type="dxa"/>
                  <w:tcBorders>
                    <w:tl2br w:val="nil"/>
                    <w:tr2bl w:val="nil"/>
                  </w:tcBorders>
                  <w:noWrap w:val="0"/>
                  <w:vAlign w:val="center"/>
                </w:tcPr>
                <w:p w14:paraId="7BB9E8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ascii="宋体" w:hAnsi="宋体" w:cs="宋体"/>
                      <w:color w:val="auto"/>
                      <w:kern w:val="0"/>
                      <w:sz w:val="18"/>
                      <w:szCs w:val="18"/>
                      <w:lang w:val="en-US" w:eastAsia="zh-CN" w:bidi="ar"/>
                    </w:rPr>
                    <w:t>焊接烟尘（颗粒物）采用移动式烟尘净化器处理后无组织排放</w:t>
                  </w:r>
                </w:p>
              </w:tc>
              <w:tc>
                <w:tcPr>
                  <w:tcW w:w="555" w:type="dxa"/>
                  <w:tcBorders>
                    <w:tl2br w:val="nil"/>
                    <w:tr2bl w:val="nil"/>
                  </w:tcBorders>
                  <w:noWrap w:val="0"/>
                  <w:vAlign w:val="center"/>
                </w:tcPr>
                <w:p w14:paraId="4A1B4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r>
                    <w:rPr>
                      <w:rFonts w:hint="eastAsia"/>
                      <w:color w:val="auto"/>
                      <w:sz w:val="18"/>
                      <w:szCs w:val="18"/>
                      <w:highlight w:val="none"/>
                      <w:vertAlign w:val="baseline"/>
                      <w:lang w:val="en-US" w:eastAsia="zh-CN"/>
                    </w:rPr>
                    <w:t>可行</w:t>
                  </w:r>
                </w:p>
              </w:tc>
            </w:tr>
            <w:tr w14:paraId="19EF3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7" w:type="dxa"/>
                  <w:vMerge w:val="continue"/>
                  <w:tcBorders>
                    <w:tl2br w:val="nil"/>
                    <w:tr2bl w:val="nil"/>
                  </w:tcBorders>
                  <w:noWrap w:val="0"/>
                  <w:vAlign w:val="center"/>
                </w:tcPr>
                <w:p w14:paraId="4EC72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p>
              </w:tc>
              <w:tc>
                <w:tcPr>
                  <w:tcW w:w="593" w:type="dxa"/>
                  <w:tcBorders>
                    <w:tl2br w:val="nil"/>
                    <w:tr2bl w:val="nil"/>
                  </w:tcBorders>
                  <w:noWrap w:val="0"/>
                  <w:vAlign w:val="center"/>
                </w:tcPr>
                <w:p w14:paraId="696FCE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激光切割</w:t>
                  </w:r>
                </w:p>
              </w:tc>
              <w:tc>
                <w:tcPr>
                  <w:tcW w:w="810" w:type="dxa"/>
                  <w:tcBorders>
                    <w:tl2br w:val="nil"/>
                    <w:tr2bl w:val="nil"/>
                  </w:tcBorders>
                  <w:noWrap w:val="0"/>
                  <w:vAlign w:val="center"/>
                </w:tcPr>
                <w:p w14:paraId="09738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color w:val="auto"/>
                      <w:sz w:val="18"/>
                      <w:szCs w:val="18"/>
                      <w:highlight w:val="none"/>
                      <w:vertAlign w:val="baseline"/>
                      <w:lang w:val="en-US" w:eastAsia="zh-CN"/>
                    </w:rPr>
                    <w:t>颗粒物</w:t>
                  </w:r>
                </w:p>
              </w:tc>
              <w:tc>
                <w:tcPr>
                  <w:tcW w:w="3154" w:type="dxa"/>
                  <w:tcBorders>
                    <w:tl2br w:val="nil"/>
                    <w:tr2bl w:val="nil"/>
                  </w:tcBorders>
                  <w:noWrap w:val="0"/>
                  <w:vAlign w:val="center"/>
                </w:tcPr>
                <w:p w14:paraId="680736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烟尘净化装置、袋式除尘器等</w:t>
                  </w:r>
                </w:p>
              </w:tc>
              <w:tc>
                <w:tcPr>
                  <w:tcW w:w="2268" w:type="dxa"/>
                  <w:tcBorders>
                    <w:tl2br w:val="nil"/>
                    <w:tr2bl w:val="nil"/>
                  </w:tcBorders>
                  <w:noWrap w:val="0"/>
                  <w:vAlign w:val="center"/>
                </w:tcPr>
                <w:p w14:paraId="3F64E0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vertAlign w:val="baseline"/>
                      <w:lang w:val="en-US" w:eastAsia="zh-CN"/>
                    </w:rPr>
                  </w:pPr>
                  <w:r>
                    <w:rPr>
                      <w:rFonts w:hint="eastAsia" w:ascii="宋体" w:hAnsi="宋体" w:cs="宋体"/>
                      <w:color w:val="auto"/>
                      <w:kern w:val="0"/>
                      <w:sz w:val="18"/>
                      <w:szCs w:val="18"/>
                      <w:lang w:val="en-US" w:eastAsia="zh-CN" w:bidi="ar"/>
                    </w:rPr>
                    <w:t>切割烟尘（颗粒物）采用移动式烟尘净化器处理后无组织排放</w:t>
                  </w:r>
                </w:p>
              </w:tc>
              <w:tc>
                <w:tcPr>
                  <w:tcW w:w="555" w:type="dxa"/>
                  <w:tcBorders>
                    <w:tl2br w:val="nil"/>
                    <w:tr2bl w:val="nil"/>
                  </w:tcBorders>
                  <w:noWrap w:val="0"/>
                  <w:vAlign w:val="center"/>
                </w:tcPr>
                <w:p w14:paraId="64973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highlight w:val="none"/>
                      <w:vertAlign w:val="baseline"/>
                    </w:rPr>
                  </w:pPr>
                  <w:r>
                    <w:rPr>
                      <w:rFonts w:hint="eastAsia"/>
                      <w:color w:val="auto"/>
                      <w:sz w:val="18"/>
                      <w:szCs w:val="18"/>
                      <w:highlight w:val="none"/>
                      <w:vertAlign w:val="baseline"/>
                      <w:lang w:val="en-US" w:eastAsia="zh-CN"/>
                    </w:rPr>
                    <w:t>可行</w:t>
                  </w:r>
                </w:p>
              </w:tc>
            </w:tr>
          </w:tbl>
          <w:p w14:paraId="0269C45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建设单位应严格按照《袋式除尘工程通用技术规范》（HJ2020-2012）、《吸附法工业有机废气治理工程技术规范》（HJ2026-2013）等相应规范要求建设相应的废气净化设施，确保设施建设的有效性。</w:t>
            </w:r>
          </w:p>
          <w:p w14:paraId="530B4369">
            <w:pPr>
              <w:pStyle w:val="13"/>
              <w:overflowPunct w:val="0"/>
              <w:autoSpaceDE w:val="0"/>
              <w:autoSpaceDN w:val="0"/>
              <w:snapToGrid/>
              <w:spacing w:before="0" w:after="0" w:line="360" w:lineRule="auto"/>
              <w:ind w:right="0" w:firstLine="482" w:firstLineChars="200"/>
              <w:rPr>
                <w:b/>
                <w:bCs/>
                <w:color w:val="auto"/>
                <w:kern w:val="2"/>
                <w:sz w:val="24"/>
                <w:szCs w:val="24"/>
              </w:rPr>
            </w:pPr>
            <w:r>
              <w:rPr>
                <w:rFonts w:hint="eastAsia"/>
                <w:b/>
                <w:bCs/>
                <w:color w:val="auto"/>
                <w:kern w:val="2"/>
                <w:sz w:val="24"/>
                <w:szCs w:val="24"/>
                <w:lang w:eastAsia="zh-CN"/>
              </w:rPr>
              <w:t>（</w:t>
            </w:r>
            <w:r>
              <w:rPr>
                <w:rFonts w:hint="eastAsia"/>
                <w:b/>
                <w:bCs/>
                <w:color w:val="auto"/>
                <w:kern w:val="2"/>
                <w:sz w:val="24"/>
                <w:szCs w:val="24"/>
                <w:lang w:val="en-US" w:eastAsia="zh-CN"/>
              </w:rPr>
              <w:t>3</w:t>
            </w:r>
            <w:r>
              <w:rPr>
                <w:rFonts w:hint="eastAsia"/>
                <w:b/>
                <w:bCs/>
                <w:color w:val="auto"/>
                <w:kern w:val="2"/>
                <w:sz w:val="24"/>
                <w:szCs w:val="24"/>
                <w:lang w:eastAsia="zh-CN"/>
              </w:rPr>
              <w:t>）</w:t>
            </w:r>
            <w:r>
              <w:rPr>
                <w:rFonts w:hint="eastAsia"/>
                <w:b/>
                <w:bCs/>
                <w:color w:val="auto"/>
                <w:kern w:val="2"/>
                <w:sz w:val="24"/>
                <w:szCs w:val="24"/>
              </w:rPr>
              <w:t>无组织废气控制要求</w:t>
            </w:r>
          </w:p>
          <w:p w14:paraId="66A3A7DE">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本项目参照《排污许可证申请与核发技术规范 金属铸造工业》（HJ1115-2020）、《铸造工业大气污染防治可行技术指南》（HJ 1292-2023）中无组织排放控制要求：</w:t>
            </w:r>
          </w:p>
          <w:p w14:paraId="5FB6C4D9">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A.在</w:t>
            </w:r>
            <w:r>
              <w:rPr>
                <w:rFonts w:hint="eastAsia"/>
                <w:color w:val="auto"/>
                <w:sz w:val="24"/>
                <w:szCs w:val="24"/>
                <w:lang w:val="en-US" w:eastAsia="zh-CN"/>
              </w:rPr>
              <w:t>物料</w:t>
            </w:r>
            <w:r>
              <w:rPr>
                <w:rFonts w:hint="eastAsia"/>
                <w:color w:val="auto"/>
                <w:sz w:val="24"/>
                <w:szCs w:val="24"/>
              </w:rPr>
              <w:t>装卸过程中应轻装轻卸，在允许的条件下可在室内进行装卸，加强车间吸尘范围及设备吸尘效率，使物料装卸及项目生产运营过程中产生的无组织废气降到最低；</w:t>
            </w:r>
          </w:p>
          <w:p w14:paraId="1834E989">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B.合理布置车间，加强设备管理，将产生无组织废气的产生源布置在远离厂界的地方，以减少无组织废气对厂界周围环境的影响；</w:t>
            </w:r>
          </w:p>
          <w:p w14:paraId="05EA8540">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C.加强</w:t>
            </w:r>
            <w:r>
              <w:rPr>
                <w:rFonts w:hint="eastAsia"/>
                <w:color w:val="auto"/>
                <w:sz w:val="24"/>
                <w:szCs w:val="24"/>
                <w:lang w:val="en-US" w:eastAsia="zh-CN"/>
              </w:rPr>
              <w:t>废气收集装置的运行管理</w:t>
            </w:r>
            <w:r>
              <w:rPr>
                <w:rFonts w:hint="eastAsia"/>
                <w:color w:val="auto"/>
                <w:sz w:val="24"/>
                <w:szCs w:val="24"/>
              </w:rPr>
              <w:t>，确保废气的</w:t>
            </w:r>
            <w:r>
              <w:rPr>
                <w:rFonts w:hint="eastAsia"/>
                <w:color w:val="auto"/>
                <w:sz w:val="24"/>
                <w:szCs w:val="24"/>
                <w:lang w:val="en-US" w:eastAsia="zh-CN"/>
              </w:rPr>
              <w:t>收集</w:t>
            </w:r>
            <w:r>
              <w:rPr>
                <w:rFonts w:hint="eastAsia"/>
                <w:color w:val="auto"/>
                <w:sz w:val="24"/>
                <w:szCs w:val="24"/>
              </w:rPr>
              <w:t>率，以减少人为造成的废气无组织排放；</w:t>
            </w:r>
          </w:p>
          <w:p w14:paraId="3373AD02">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D.</w:t>
            </w:r>
            <w:r>
              <w:rPr>
                <w:rFonts w:hint="eastAsia"/>
                <w:color w:val="auto"/>
                <w:sz w:val="24"/>
                <w:szCs w:val="24"/>
                <w:lang w:val="en-US" w:eastAsia="zh-CN"/>
              </w:rPr>
              <w:t>粘土砂</w:t>
            </w:r>
            <w:r>
              <w:rPr>
                <w:rFonts w:hint="eastAsia"/>
                <w:color w:val="auto"/>
                <w:sz w:val="24"/>
                <w:szCs w:val="24"/>
              </w:rPr>
              <w:t>等原辅料厂内转移、输送过程，应封闭或采取覆盖等抑尘措施；转移、输送、装卸过程中产尘点应采取集气除尘措施，或喷淋（雾）等抑尘措施；</w:t>
            </w:r>
          </w:p>
          <w:p w14:paraId="21EB72A6">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E.</w:t>
            </w:r>
            <w:r>
              <w:rPr>
                <w:rFonts w:hint="eastAsia"/>
                <w:color w:val="auto"/>
                <w:sz w:val="24"/>
                <w:szCs w:val="24"/>
                <w:lang w:val="en-US" w:eastAsia="zh-CN"/>
              </w:rPr>
              <w:t>袋式除尘器</w:t>
            </w:r>
            <w:r>
              <w:rPr>
                <w:rFonts w:hint="eastAsia"/>
                <w:color w:val="auto"/>
                <w:sz w:val="24"/>
                <w:szCs w:val="24"/>
              </w:rPr>
              <w:t>卸灰口应采取遮挡等抑尘措施，除尘灰不得直接卸落到地面。除尘灰采取袋装、罐装等密闭措施收集、存放和运输；</w:t>
            </w:r>
          </w:p>
          <w:p w14:paraId="4AB548F1">
            <w:pPr>
              <w:pStyle w:val="13"/>
              <w:overflowPunct w:val="0"/>
              <w:autoSpaceDE w:val="0"/>
              <w:autoSpaceDN w:val="0"/>
              <w:spacing w:before="0" w:after="0" w:line="360" w:lineRule="auto"/>
              <w:ind w:firstLine="480" w:firstLineChars="200"/>
              <w:rPr>
                <w:rFonts w:hint="eastAsia" w:eastAsia="宋体"/>
                <w:color w:val="auto"/>
                <w:sz w:val="24"/>
                <w:szCs w:val="24"/>
                <w:lang w:eastAsia="zh-CN"/>
              </w:rPr>
            </w:pPr>
            <w:r>
              <w:rPr>
                <w:rFonts w:hint="eastAsia"/>
                <w:color w:val="auto"/>
                <w:sz w:val="24"/>
                <w:szCs w:val="24"/>
              </w:rPr>
              <w:t>F.废气产生量大的工序如：清砂、</w:t>
            </w:r>
            <w:r>
              <w:rPr>
                <w:rFonts w:hint="eastAsia"/>
                <w:color w:val="auto"/>
                <w:sz w:val="24"/>
                <w:szCs w:val="24"/>
                <w:lang w:val="en-US" w:eastAsia="zh-CN"/>
              </w:rPr>
              <w:t>喷砂</w:t>
            </w:r>
            <w:r>
              <w:rPr>
                <w:rFonts w:hint="eastAsia"/>
                <w:color w:val="auto"/>
                <w:sz w:val="24"/>
                <w:szCs w:val="24"/>
              </w:rPr>
              <w:t>清理、砂处理等工序应在封闭空间内操作，废气收集至除尘设施；未在封闭空间内操作，应采用固定式、移动式集气设备，并配备除尘设施</w:t>
            </w:r>
            <w:r>
              <w:rPr>
                <w:rFonts w:hint="eastAsia"/>
                <w:color w:val="auto"/>
                <w:sz w:val="24"/>
                <w:szCs w:val="24"/>
                <w:lang w:eastAsia="zh-CN"/>
              </w:rPr>
              <w:t>；</w:t>
            </w:r>
          </w:p>
          <w:p w14:paraId="0EBEC9C7">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G.环保设备故障时，对应产污工序应及时停产，熔化设备在熔化完成后停产。</w:t>
            </w:r>
          </w:p>
          <w:p w14:paraId="163D9628">
            <w:pPr>
              <w:pStyle w:val="13"/>
              <w:overflowPunct w:val="0"/>
              <w:autoSpaceDE w:val="0"/>
              <w:autoSpaceDN w:val="0"/>
              <w:spacing w:before="0" w:after="0" w:line="360" w:lineRule="auto"/>
              <w:ind w:firstLine="480" w:firstLineChars="200"/>
              <w:rPr>
                <w:rFonts w:hint="default" w:eastAsia="宋体"/>
                <w:color w:val="auto"/>
                <w:sz w:val="24"/>
                <w:szCs w:val="24"/>
                <w:lang w:val="en-US" w:eastAsia="zh-CN"/>
              </w:rPr>
            </w:pPr>
            <w:r>
              <w:rPr>
                <w:rFonts w:hint="eastAsia" w:eastAsia="宋体"/>
                <w:color w:val="auto"/>
                <w:sz w:val="24"/>
                <w:szCs w:val="24"/>
                <w:lang w:val="en-US" w:eastAsia="zh-CN"/>
              </w:rPr>
              <w:t>H.焊接、激光切割等工序采用移动式集气罩和移动式烟尘净化器收集、处理烟尘废气。</w:t>
            </w:r>
          </w:p>
          <w:p w14:paraId="760E256E">
            <w:pPr>
              <w:pStyle w:val="13"/>
              <w:overflowPunct w:val="0"/>
              <w:autoSpaceDE w:val="0"/>
              <w:autoSpaceDN w:val="0"/>
              <w:spacing w:before="0" w:after="0" w:line="360" w:lineRule="auto"/>
              <w:ind w:firstLine="480" w:firstLineChars="200"/>
              <w:rPr>
                <w:rFonts w:hint="eastAsia"/>
                <w:color w:val="auto"/>
                <w:sz w:val="24"/>
                <w:szCs w:val="24"/>
              </w:rPr>
            </w:pPr>
            <w:r>
              <w:rPr>
                <w:rFonts w:hint="eastAsia"/>
                <w:color w:val="auto"/>
                <w:sz w:val="24"/>
                <w:szCs w:val="24"/>
              </w:rPr>
              <w:t>采取以上废气处理措施后，无组织废气能够满足厂界排放要求。</w:t>
            </w:r>
          </w:p>
          <w:p w14:paraId="561DD6F4">
            <w:pPr>
              <w:pStyle w:val="13"/>
              <w:overflowPunct w:val="0"/>
              <w:autoSpaceDE w:val="0"/>
              <w:autoSpaceDN w:val="0"/>
              <w:spacing w:before="0" w:after="0" w:line="360" w:lineRule="auto"/>
              <w:ind w:firstLine="480" w:firstLineChars="200"/>
              <w:rPr>
                <w:rFonts w:hint="eastAsia"/>
                <w:color w:val="auto"/>
                <w:sz w:val="24"/>
                <w:szCs w:val="24"/>
              </w:rPr>
            </w:pPr>
          </w:p>
          <w:p w14:paraId="5CED49B8">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1.</w:t>
            </w:r>
            <w:r>
              <w:rPr>
                <w:rFonts w:hint="eastAsia"/>
                <w:color w:val="auto"/>
                <w:sz w:val="24"/>
                <w:szCs w:val="24"/>
                <w:lang w:val="en-US" w:eastAsia="zh-CN"/>
              </w:rPr>
              <w:t>4</w:t>
            </w:r>
            <w:r>
              <w:rPr>
                <w:rFonts w:hint="eastAsia"/>
                <w:color w:val="auto"/>
                <w:sz w:val="24"/>
                <w:szCs w:val="24"/>
              </w:rPr>
              <w:t>环境防护距离分析</w:t>
            </w:r>
          </w:p>
          <w:p w14:paraId="1631F848">
            <w:pPr>
              <w:spacing w:line="360" w:lineRule="auto"/>
              <w:ind w:firstLine="480" w:firstLineChars="200"/>
              <w:rPr>
                <w:bCs/>
                <w:color w:val="auto"/>
                <w:sz w:val="24"/>
                <w:szCs w:val="24"/>
              </w:rPr>
            </w:pPr>
            <w:r>
              <w:rPr>
                <w:rFonts w:hint="eastAsia"/>
                <w:bCs/>
                <w:color w:val="auto"/>
                <w:sz w:val="24"/>
                <w:szCs w:val="24"/>
              </w:rPr>
              <w:t>根据《建设项目环境影响报告表编制技术指南(污染影响类)(试行)》(</w:t>
            </w:r>
            <w:r>
              <w:rPr>
                <w:bCs/>
                <w:color w:val="auto"/>
                <w:sz w:val="24"/>
                <w:szCs w:val="24"/>
                <w:lang w:val="zh-CN"/>
              </w:rPr>
              <w:t>环办环评〔2020〕33号</w:t>
            </w:r>
            <w:r>
              <w:rPr>
                <w:rFonts w:hint="eastAsia"/>
                <w:bCs/>
                <w:color w:val="auto"/>
                <w:sz w:val="24"/>
                <w:szCs w:val="24"/>
              </w:rPr>
              <w:t>)要求可知，目前不对项目</w:t>
            </w:r>
            <w:r>
              <w:rPr>
                <w:bCs/>
                <w:color w:val="auto"/>
                <w:sz w:val="24"/>
                <w:szCs w:val="24"/>
              </w:rPr>
              <w:t>大气环境防护距离及卫生防护</w:t>
            </w:r>
            <w:r>
              <w:rPr>
                <w:rFonts w:hint="eastAsia"/>
                <w:bCs/>
                <w:color w:val="auto"/>
                <w:sz w:val="24"/>
                <w:szCs w:val="24"/>
              </w:rPr>
              <w:t>距离进行要求。</w:t>
            </w:r>
            <w:r>
              <w:rPr>
                <w:b/>
                <w:bCs/>
                <w:color w:val="auto"/>
                <w:sz w:val="24"/>
                <w:szCs w:val="24"/>
              </w:rPr>
              <w:t>根据环境影响评价网(</w:t>
            </w:r>
            <w:r>
              <w:rPr>
                <w:b/>
                <w:bCs/>
                <w:color w:val="auto"/>
                <w:sz w:val="24"/>
                <w:szCs w:val="24"/>
                <w:lang w:val="zh-CN"/>
              </w:rPr>
              <w:t>生态环境部环境工程评估中心</w:t>
            </w:r>
            <w:r>
              <w:rPr>
                <w:b/>
                <w:bCs/>
                <w:color w:val="auto"/>
                <w:sz w:val="24"/>
                <w:szCs w:val="24"/>
              </w:rPr>
              <w:t>)关于</w:t>
            </w:r>
            <w:r>
              <w:rPr>
                <w:b/>
                <w:bCs/>
                <w:color w:val="auto"/>
                <w:sz w:val="24"/>
                <w:szCs w:val="24"/>
                <w:lang w:val="zh-CN"/>
              </w:rPr>
              <w:t>《建设项目环境影响报告表》内容、格式及编制技术指南常见问题解答：“</w:t>
            </w:r>
            <w:r>
              <w:rPr>
                <w:color w:val="auto"/>
                <w:sz w:val="24"/>
                <w:szCs w:val="24"/>
                <w:shd w:val="clear" w:color="auto" w:fill="FFFFFF"/>
              </w:rPr>
              <w:t>《建设项目环境影响评价技术导则 总纲》(HJ2.1-2016)未对卫生防护距离提出评价要求，建设项目环境影响报告表编制技术指南(以下简称技术指南)不</w:t>
            </w:r>
            <w:r>
              <w:rPr>
                <w:rFonts w:hint="eastAsia"/>
                <w:color w:val="auto"/>
                <w:sz w:val="24"/>
                <w:szCs w:val="24"/>
                <w:shd w:val="clear" w:color="auto" w:fill="FFFFFF"/>
              </w:rPr>
              <w:t>作要求</w:t>
            </w:r>
            <w:r>
              <w:rPr>
                <w:color w:val="auto"/>
                <w:sz w:val="24"/>
                <w:szCs w:val="24"/>
                <w:shd w:val="clear" w:color="auto" w:fill="FFFFFF"/>
              </w:rPr>
              <w:t>。对于判定为需要开展大气专项评价的建设项目，根据《环境影响评价技术导则 大气环境》(HJ2.2-2018)需要计算大气环境防护距离的，应按要求计算</w:t>
            </w:r>
            <w:r>
              <w:rPr>
                <w:rFonts w:hint="eastAsia"/>
                <w:color w:val="auto"/>
                <w:sz w:val="24"/>
                <w:szCs w:val="24"/>
                <w:shd w:val="clear" w:color="auto" w:fill="FFFFFF"/>
              </w:rPr>
              <w:t>”</w:t>
            </w:r>
            <w:r>
              <w:rPr>
                <w:color w:val="auto"/>
                <w:sz w:val="24"/>
                <w:szCs w:val="24"/>
                <w:shd w:val="clear" w:color="auto" w:fill="FFFFFF"/>
              </w:rPr>
              <w:t>。本项目不涉及大气专项评价，因此，</w:t>
            </w:r>
            <w:r>
              <w:rPr>
                <w:bCs/>
                <w:color w:val="auto"/>
                <w:sz w:val="24"/>
                <w:szCs w:val="24"/>
              </w:rPr>
              <w:t>在企业落实有效的废气收集、处理措施的前提下，本项目可不设置环境防护距离。</w:t>
            </w:r>
          </w:p>
          <w:p w14:paraId="473EE8A8">
            <w:pPr>
              <w:pStyle w:val="82"/>
              <w:keepNext w:val="0"/>
              <w:keepLines w:val="0"/>
              <w:pageBreakBefore w:val="0"/>
              <w:widowControl w:val="0"/>
              <w:kinsoku/>
              <w:wordWrap/>
              <w:overflowPunct/>
              <w:topLinePunct w:val="0"/>
              <w:autoSpaceDE/>
              <w:autoSpaceDN/>
              <w:bidi w:val="0"/>
              <w:adjustRightInd w:val="0"/>
              <w:snapToGrid w:val="0"/>
              <w:textAlignment w:val="auto"/>
              <w:rPr>
                <w:rFonts w:hint="default" w:eastAsia="黑体"/>
                <w:color w:val="auto"/>
                <w:sz w:val="24"/>
                <w:szCs w:val="24"/>
                <w:lang w:val="en-US" w:eastAsia="zh-CN"/>
              </w:rPr>
            </w:pPr>
            <w:r>
              <w:rPr>
                <w:color w:val="auto"/>
                <w:sz w:val="24"/>
                <w:szCs w:val="24"/>
              </w:rPr>
              <w:t>1.</w:t>
            </w:r>
            <w:r>
              <w:rPr>
                <w:rFonts w:hint="eastAsia"/>
                <w:color w:val="auto"/>
                <w:sz w:val="24"/>
                <w:szCs w:val="24"/>
                <w:lang w:val="en-US" w:eastAsia="zh-CN"/>
              </w:rPr>
              <w:t>5废气排放口基本信息汇总</w:t>
            </w:r>
          </w:p>
          <w:p w14:paraId="6ADCEC03">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项目废气排放口基本情况见表4-</w:t>
            </w:r>
            <w:r>
              <w:rPr>
                <w:rFonts w:hint="eastAsia" w:ascii="Times New Roman" w:hAnsi="Times New Roman" w:eastAsia="宋体" w:cs="Times New Roman"/>
                <w:color w:val="auto"/>
                <w:sz w:val="24"/>
                <w:szCs w:val="24"/>
                <w:lang w:val="en-US" w:eastAsia="zh-CN"/>
              </w:rPr>
              <w:t>31。</w:t>
            </w:r>
          </w:p>
          <w:p w14:paraId="7E9B870D">
            <w:pPr>
              <w:adjustRightInd w:val="0"/>
              <w:snapToGrid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 xml:space="preserve">31  </w:t>
            </w:r>
            <w:r>
              <w:rPr>
                <w:rFonts w:hint="default" w:ascii="Times New Roman" w:hAnsi="Times New Roman" w:eastAsia="宋体" w:cs="Times New Roman"/>
                <w:b/>
                <w:bCs/>
                <w:color w:val="auto"/>
                <w:sz w:val="24"/>
                <w:szCs w:val="24"/>
                <w:lang w:val="en-US" w:eastAsia="zh-CN"/>
              </w:rPr>
              <w:t>废气排放口基本情况表</w:t>
            </w:r>
          </w:p>
          <w:tbl>
            <w:tblPr>
              <w:tblStyle w:val="30"/>
              <w:tblW w:w="835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13"/>
              <w:gridCol w:w="972"/>
              <w:gridCol w:w="516"/>
              <w:gridCol w:w="528"/>
              <w:gridCol w:w="384"/>
              <w:gridCol w:w="528"/>
              <w:gridCol w:w="1296"/>
              <w:gridCol w:w="1200"/>
              <w:gridCol w:w="2213"/>
            </w:tblGrid>
            <w:tr w14:paraId="22A6E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vMerge w:val="restart"/>
                  <w:tcBorders>
                    <w:tl2br w:val="nil"/>
                    <w:tr2bl w:val="nil"/>
                  </w:tcBorders>
                  <w:vAlign w:val="center"/>
                </w:tcPr>
                <w:p w14:paraId="05AE7E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排放口编号</w:t>
                  </w:r>
                </w:p>
              </w:tc>
              <w:tc>
                <w:tcPr>
                  <w:tcW w:w="972" w:type="dxa"/>
                  <w:vMerge w:val="restart"/>
                  <w:tcBorders>
                    <w:tl2br w:val="nil"/>
                    <w:tr2bl w:val="nil"/>
                  </w:tcBorders>
                  <w:vAlign w:val="center"/>
                </w:tcPr>
                <w:p w14:paraId="3BA802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排放口名称</w:t>
                  </w:r>
                </w:p>
              </w:tc>
              <w:tc>
                <w:tcPr>
                  <w:tcW w:w="516" w:type="dxa"/>
                  <w:vMerge w:val="restart"/>
                  <w:tcBorders>
                    <w:tl2br w:val="nil"/>
                    <w:tr2bl w:val="nil"/>
                  </w:tcBorders>
                  <w:vAlign w:val="center"/>
                </w:tcPr>
                <w:p w14:paraId="66436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高度</w:t>
                  </w:r>
                </w:p>
              </w:tc>
              <w:tc>
                <w:tcPr>
                  <w:tcW w:w="528" w:type="dxa"/>
                  <w:vMerge w:val="restart"/>
                  <w:tcBorders>
                    <w:tl2br w:val="nil"/>
                    <w:tr2bl w:val="nil"/>
                  </w:tcBorders>
                  <w:vAlign w:val="center"/>
                </w:tcPr>
                <w:p w14:paraId="543E3D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内径</w:t>
                  </w:r>
                </w:p>
              </w:tc>
              <w:tc>
                <w:tcPr>
                  <w:tcW w:w="384" w:type="dxa"/>
                  <w:vMerge w:val="restart"/>
                  <w:tcBorders>
                    <w:tl2br w:val="nil"/>
                    <w:tr2bl w:val="nil"/>
                  </w:tcBorders>
                  <w:vAlign w:val="center"/>
                </w:tcPr>
                <w:p w14:paraId="2FA3A2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温度</w:t>
                  </w:r>
                </w:p>
              </w:tc>
              <w:tc>
                <w:tcPr>
                  <w:tcW w:w="528" w:type="dxa"/>
                  <w:vMerge w:val="restart"/>
                  <w:tcBorders>
                    <w:tl2br w:val="nil"/>
                    <w:tr2bl w:val="nil"/>
                  </w:tcBorders>
                  <w:vAlign w:val="center"/>
                </w:tcPr>
                <w:p w14:paraId="7B9EF4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类型</w:t>
                  </w:r>
                </w:p>
              </w:tc>
              <w:tc>
                <w:tcPr>
                  <w:tcW w:w="2496" w:type="dxa"/>
                  <w:gridSpan w:val="2"/>
                  <w:tcBorders>
                    <w:tl2br w:val="nil"/>
                    <w:tr2bl w:val="nil"/>
                  </w:tcBorders>
                  <w:vAlign w:val="center"/>
                </w:tcPr>
                <w:p w14:paraId="5BB66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地理坐标</w:t>
                  </w:r>
                </w:p>
              </w:tc>
              <w:tc>
                <w:tcPr>
                  <w:tcW w:w="2213" w:type="dxa"/>
                  <w:vMerge w:val="restart"/>
                  <w:tcBorders>
                    <w:tl2br w:val="nil"/>
                    <w:tr2bl w:val="nil"/>
                  </w:tcBorders>
                  <w:vAlign w:val="center"/>
                </w:tcPr>
                <w:p w14:paraId="58238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排放标准</w:t>
                  </w:r>
                </w:p>
              </w:tc>
            </w:tr>
            <w:tr w14:paraId="6AA83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vMerge w:val="continue"/>
                  <w:tcBorders>
                    <w:tl2br w:val="nil"/>
                    <w:tr2bl w:val="nil"/>
                  </w:tcBorders>
                  <w:vAlign w:val="center"/>
                </w:tcPr>
                <w:p w14:paraId="5E90DB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p>
              </w:tc>
              <w:tc>
                <w:tcPr>
                  <w:tcW w:w="972" w:type="dxa"/>
                  <w:vMerge w:val="continue"/>
                  <w:tcBorders>
                    <w:tl2br w:val="nil"/>
                    <w:tr2bl w:val="nil"/>
                  </w:tcBorders>
                  <w:vAlign w:val="center"/>
                </w:tcPr>
                <w:p w14:paraId="20BBA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p>
              </w:tc>
              <w:tc>
                <w:tcPr>
                  <w:tcW w:w="516" w:type="dxa"/>
                  <w:vMerge w:val="continue"/>
                  <w:tcBorders>
                    <w:tl2br w:val="nil"/>
                    <w:tr2bl w:val="nil"/>
                  </w:tcBorders>
                  <w:vAlign w:val="center"/>
                </w:tcPr>
                <w:p w14:paraId="2D405B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p>
              </w:tc>
              <w:tc>
                <w:tcPr>
                  <w:tcW w:w="528" w:type="dxa"/>
                  <w:vMerge w:val="continue"/>
                  <w:tcBorders>
                    <w:tl2br w:val="nil"/>
                    <w:tr2bl w:val="nil"/>
                  </w:tcBorders>
                  <w:vAlign w:val="center"/>
                </w:tcPr>
                <w:p w14:paraId="44D361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p>
              </w:tc>
              <w:tc>
                <w:tcPr>
                  <w:tcW w:w="384" w:type="dxa"/>
                  <w:vMerge w:val="continue"/>
                  <w:tcBorders>
                    <w:tl2br w:val="nil"/>
                    <w:tr2bl w:val="nil"/>
                  </w:tcBorders>
                  <w:vAlign w:val="center"/>
                </w:tcPr>
                <w:p w14:paraId="63043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p>
              </w:tc>
              <w:tc>
                <w:tcPr>
                  <w:tcW w:w="528" w:type="dxa"/>
                  <w:vMerge w:val="continue"/>
                  <w:tcBorders>
                    <w:tl2br w:val="nil"/>
                    <w:tr2bl w:val="nil"/>
                  </w:tcBorders>
                  <w:vAlign w:val="center"/>
                </w:tcPr>
                <w:p w14:paraId="412EFB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p>
              </w:tc>
              <w:tc>
                <w:tcPr>
                  <w:tcW w:w="1296" w:type="dxa"/>
                  <w:tcBorders>
                    <w:tl2br w:val="nil"/>
                    <w:tr2bl w:val="nil"/>
                  </w:tcBorders>
                  <w:vAlign w:val="center"/>
                </w:tcPr>
                <w:p w14:paraId="650937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东经</w:t>
                  </w:r>
                </w:p>
              </w:tc>
              <w:tc>
                <w:tcPr>
                  <w:tcW w:w="1200" w:type="dxa"/>
                  <w:tcBorders>
                    <w:tl2br w:val="nil"/>
                    <w:tr2bl w:val="nil"/>
                  </w:tcBorders>
                  <w:vAlign w:val="center"/>
                </w:tcPr>
                <w:p w14:paraId="02B2C2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北纬</w:t>
                  </w:r>
                </w:p>
              </w:tc>
              <w:tc>
                <w:tcPr>
                  <w:tcW w:w="2213" w:type="dxa"/>
                  <w:vMerge w:val="continue"/>
                  <w:tcBorders>
                    <w:tl2br w:val="nil"/>
                    <w:tr2bl w:val="nil"/>
                  </w:tcBorders>
                  <w:vAlign w:val="center"/>
                </w:tcPr>
                <w:p w14:paraId="3772AD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p>
              </w:tc>
            </w:tr>
            <w:tr w14:paraId="03756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41424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DA001</w:t>
                  </w:r>
                </w:p>
              </w:tc>
              <w:tc>
                <w:tcPr>
                  <w:tcW w:w="972" w:type="dxa"/>
                  <w:tcBorders>
                    <w:tl2br w:val="nil"/>
                    <w:tr2bl w:val="nil"/>
                  </w:tcBorders>
                  <w:vAlign w:val="center"/>
                </w:tcPr>
                <w:p w14:paraId="5E339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color w:val="auto"/>
                      <w:sz w:val="18"/>
                      <w:szCs w:val="18"/>
                    </w:rPr>
                    <w:t>金属熔化、熔模浇注、粘土砂浇注废气</w:t>
                  </w:r>
                </w:p>
              </w:tc>
              <w:tc>
                <w:tcPr>
                  <w:tcW w:w="516" w:type="dxa"/>
                  <w:tcBorders>
                    <w:tl2br w:val="nil"/>
                    <w:tr2bl w:val="nil"/>
                  </w:tcBorders>
                  <w:vAlign w:val="center"/>
                </w:tcPr>
                <w:p w14:paraId="37684B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1F32D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1.0m</w:t>
                  </w:r>
                </w:p>
              </w:tc>
              <w:tc>
                <w:tcPr>
                  <w:tcW w:w="384" w:type="dxa"/>
                  <w:tcBorders>
                    <w:tl2br w:val="nil"/>
                    <w:tr2bl w:val="nil"/>
                  </w:tcBorders>
                  <w:shd w:val="clear" w:color="auto" w:fill="auto"/>
                  <w:vAlign w:val="center"/>
                </w:tcPr>
                <w:p w14:paraId="6BF2F694">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528" w:type="dxa"/>
                  <w:tcBorders>
                    <w:tl2br w:val="nil"/>
                    <w:tr2bl w:val="nil"/>
                  </w:tcBorders>
                  <w:shd w:val="clear" w:color="auto" w:fill="auto"/>
                  <w:vAlign w:val="center"/>
                </w:tcPr>
                <w:p w14:paraId="0B66FC8E">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1296" w:type="dxa"/>
                  <w:tcBorders>
                    <w:tl2br w:val="nil"/>
                    <w:tr2bl w:val="nil"/>
                  </w:tcBorders>
                  <w:vAlign w:val="center"/>
                </w:tcPr>
                <w:p w14:paraId="05CAB556">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117°42′31.953″</w:t>
                  </w:r>
                </w:p>
              </w:tc>
              <w:tc>
                <w:tcPr>
                  <w:tcW w:w="1200" w:type="dxa"/>
                  <w:tcBorders>
                    <w:tl2br w:val="nil"/>
                    <w:tr2bl w:val="nil"/>
                  </w:tcBorders>
                  <w:vAlign w:val="center"/>
                </w:tcPr>
                <w:p w14:paraId="7157A8DF">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25°42′11.606″</w:t>
                  </w:r>
                </w:p>
              </w:tc>
              <w:tc>
                <w:tcPr>
                  <w:tcW w:w="2213" w:type="dxa"/>
                  <w:tcBorders>
                    <w:tl2br w:val="nil"/>
                    <w:tr2bl w:val="nil"/>
                  </w:tcBorders>
                  <w:vAlign w:val="center"/>
                </w:tcPr>
                <w:p w14:paraId="765E39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rPr>
                    <w:t>《铸造工业大气污染物排放标准》（GB39726-2020）表1标准</w:t>
                  </w:r>
                </w:p>
              </w:tc>
            </w:tr>
            <w:tr w14:paraId="5C84D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685C50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DA002</w:t>
                  </w:r>
                </w:p>
              </w:tc>
              <w:tc>
                <w:tcPr>
                  <w:tcW w:w="972" w:type="dxa"/>
                  <w:tcBorders>
                    <w:tl2br w:val="nil"/>
                    <w:tr2bl w:val="nil"/>
                  </w:tcBorders>
                  <w:vAlign w:val="center"/>
                </w:tcPr>
                <w:p w14:paraId="2B290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宋体" w:hAnsi="宋体" w:cs="宋体"/>
                      <w:color w:val="auto"/>
                      <w:sz w:val="18"/>
                      <w:szCs w:val="18"/>
                      <w:lang w:val="en-US" w:eastAsia="zh-CN"/>
                    </w:rPr>
                    <w:t>制芯、树脂砂造型及浇注废气</w:t>
                  </w:r>
                </w:p>
              </w:tc>
              <w:tc>
                <w:tcPr>
                  <w:tcW w:w="516" w:type="dxa"/>
                  <w:tcBorders>
                    <w:tl2br w:val="nil"/>
                    <w:tr2bl w:val="nil"/>
                  </w:tcBorders>
                  <w:vAlign w:val="center"/>
                </w:tcPr>
                <w:p w14:paraId="618BC0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0B0D49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0.8m</w:t>
                  </w:r>
                </w:p>
              </w:tc>
              <w:tc>
                <w:tcPr>
                  <w:tcW w:w="384" w:type="dxa"/>
                  <w:tcBorders>
                    <w:tl2br w:val="nil"/>
                    <w:tr2bl w:val="nil"/>
                  </w:tcBorders>
                  <w:shd w:val="clear" w:color="auto" w:fill="auto"/>
                  <w:vAlign w:val="center"/>
                </w:tcPr>
                <w:p w14:paraId="22BA36F1">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528" w:type="dxa"/>
                  <w:tcBorders>
                    <w:tl2br w:val="nil"/>
                    <w:tr2bl w:val="nil"/>
                  </w:tcBorders>
                  <w:shd w:val="clear" w:color="auto" w:fill="auto"/>
                  <w:vAlign w:val="center"/>
                </w:tcPr>
                <w:p w14:paraId="28B9865D">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1296" w:type="dxa"/>
                  <w:tcBorders>
                    <w:tl2br w:val="nil"/>
                    <w:tr2bl w:val="nil"/>
                  </w:tcBorders>
                  <w:vAlign w:val="center"/>
                </w:tcPr>
                <w:p w14:paraId="25BC09C8">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117°42′31.499″</w:t>
                  </w:r>
                </w:p>
              </w:tc>
              <w:tc>
                <w:tcPr>
                  <w:tcW w:w="1200" w:type="dxa"/>
                  <w:tcBorders>
                    <w:tl2br w:val="nil"/>
                    <w:tr2bl w:val="nil"/>
                  </w:tcBorders>
                  <w:vAlign w:val="center"/>
                </w:tcPr>
                <w:p w14:paraId="7E6B56D7">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25°42′11.616″</w:t>
                  </w:r>
                </w:p>
              </w:tc>
              <w:tc>
                <w:tcPr>
                  <w:tcW w:w="2213" w:type="dxa"/>
                  <w:tcBorders>
                    <w:tl2br w:val="nil"/>
                    <w:tr2bl w:val="nil"/>
                  </w:tcBorders>
                  <w:vAlign w:val="center"/>
                </w:tcPr>
                <w:p w14:paraId="44398D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rPr>
                    <w:t>颗粒物排放执行《铸造工业大气污染物排放标准》（GB39726-2020）表1标准，臭气浓度排放执行《恶臭污染物排放标准》（GB14554-1993），非甲烷总烃、甲醛参照执行《工业企业挥发性有机物排放标准》（DB35/1782-2018）表1“其他行业”的排放限值</w:t>
                  </w:r>
                </w:p>
              </w:tc>
            </w:tr>
            <w:tr w14:paraId="4D06D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72B6C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DA003</w:t>
                  </w:r>
                </w:p>
              </w:tc>
              <w:tc>
                <w:tcPr>
                  <w:tcW w:w="972" w:type="dxa"/>
                  <w:tcBorders>
                    <w:tl2br w:val="nil"/>
                    <w:tr2bl w:val="nil"/>
                  </w:tcBorders>
                  <w:vAlign w:val="center"/>
                </w:tcPr>
                <w:p w14:paraId="10CD17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color w:val="auto"/>
                      <w:sz w:val="18"/>
                      <w:szCs w:val="18"/>
                      <w:lang w:val="en-US" w:eastAsia="zh-CN"/>
                    </w:rPr>
                    <w:t>蜡模组树</w:t>
                  </w:r>
                  <w:r>
                    <w:rPr>
                      <w:rFonts w:hint="eastAsia"/>
                      <w:color w:val="auto"/>
                      <w:sz w:val="18"/>
                      <w:szCs w:val="18"/>
                    </w:rPr>
                    <w:t>废气</w:t>
                  </w:r>
                </w:p>
              </w:tc>
              <w:tc>
                <w:tcPr>
                  <w:tcW w:w="516" w:type="dxa"/>
                  <w:tcBorders>
                    <w:tl2br w:val="nil"/>
                    <w:tr2bl w:val="nil"/>
                  </w:tcBorders>
                  <w:vAlign w:val="center"/>
                </w:tcPr>
                <w:p w14:paraId="0C8D30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38471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0.3m</w:t>
                  </w:r>
                </w:p>
              </w:tc>
              <w:tc>
                <w:tcPr>
                  <w:tcW w:w="384" w:type="dxa"/>
                  <w:tcBorders>
                    <w:tl2br w:val="nil"/>
                    <w:tr2bl w:val="nil"/>
                  </w:tcBorders>
                  <w:shd w:val="clear" w:color="auto" w:fill="auto"/>
                  <w:vAlign w:val="center"/>
                </w:tcPr>
                <w:p w14:paraId="25E87413">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528" w:type="dxa"/>
                  <w:tcBorders>
                    <w:tl2br w:val="nil"/>
                    <w:tr2bl w:val="nil"/>
                  </w:tcBorders>
                  <w:shd w:val="clear" w:color="auto" w:fill="auto"/>
                  <w:vAlign w:val="center"/>
                </w:tcPr>
                <w:p w14:paraId="28E41608">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1296" w:type="dxa"/>
                  <w:tcBorders>
                    <w:tl2br w:val="nil"/>
                    <w:tr2bl w:val="nil"/>
                  </w:tcBorders>
                  <w:vAlign w:val="center"/>
                </w:tcPr>
                <w:p w14:paraId="75A427EE">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117°42′29.423″</w:t>
                  </w:r>
                </w:p>
              </w:tc>
              <w:tc>
                <w:tcPr>
                  <w:tcW w:w="1200" w:type="dxa"/>
                  <w:tcBorders>
                    <w:tl2br w:val="nil"/>
                    <w:tr2bl w:val="nil"/>
                  </w:tcBorders>
                  <w:vAlign w:val="center"/>
                </w:tcPr>
                <w:p w14:paraId="3E9D1466">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25°42′12.3</w:t>
                  </w:r>
                  <w:r>
                    <w:rPr>
                      <w:rFonts w:hint="eastAsia" w:ascii="Times New Roman" w:hAnsi="Times New Roman" w:eastAsia="宋体" w:cs="Times New Roman"/>
                      <w:i w:val="0"/>
                      <w:iCs w:val="0"/>
                      <w:color w:val="auto"/>
                      <w:kern w:val="0"/>
                      <w:sz w:val="18"/>
                      <w:szCs w:val="18"/>
                      <w:u w:val="none"/>
                      <w:lang w:val="en-US" w:eastAsia="zh-CN" w:bidi="ar"/>
                    </w:rPr>
                    <w:t>60</w:t>
                  </w:r>
                  <w:r>
                    <w:rPr>
                      <w:rFonts w:hint="default" w:ascii="Times New Roman" w:hAnsi="Times New Roman" w:eastAsia="宋体" w:cs="Times New Roman"/>
                      <w:i w:val="0"/>
                      <w:iCs w:val="0"/>
                      <w:color w:val="auto"/>
                      <w:kern w:val="0"/>
                      <w:sz w:val="18"/>
                      <w:szCs w:val="18"/>
                      <w:u w:val="none"/>
                      <w:lang w:val="en-US" w:eastAsia="zh-CN" w:bidi="ar"/>
                    </w:rPr>
                    <w:t>″</w:t>
                  </w:r>
                </w:p>
              </w:tc>
              <w:tc>
                <w:tcPr>
                  <w:tcW w:w="2213" w:type="dxa"/>
                  <w:vMerge w:val="restart"/>
                  <w:tcBorders>
                    <w:tl2br w:val="nil"/>
                    <w:tr2bl w:val="nil"/>
                  </w:tcBorders>
                  <w:vAlign w:val="center"/>
                </w:tcPr>
                <w:p w14:paraId="6A627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color w:val="auto"/>
                      <w:sz w:val="18"/>
                      <w:szCs w:val="18"/>
                      <w:highlight w:val="none"/>
                      <w:lang w:val="en-US" w:eastAsia="zh-CN"/>
                    </w:rPr>
                    <w:t>《熔模铸造工艺 污染物的控制》（GB/T32251-2024）</w:t>
                  </w:r>
                </w:p>
              </w:tc>
            </w:tr>
            <w:tr w14:paraId="386E8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64B29D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DA004</w:t>
                  </w:r>
                </w:p>
              </w:tc>
              <w:tc>
                <w:tcPr>
                  <w:tcW w:w="972" w:type="dxa"/>
                  <w:tcBorders>
                    <w:tl2br w:val="nil"/>
                    <w:tr2bl w:val="nil"/>
                  </w:tcBorders>
                  <w:vAlign w:val="center"/>
                </w:tcPr>
                <w:p w14:paraId="5E43E8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color w:val="auto"/>
                      <w:sz w:val="18"/>
                      <w:szCs w:val="18"/>
                    </w:rPr>
                    <w:t>脱蜡、型壳焙烧</w:t>
                  </w:r>
                  <w:r>
                    <w:rPr>
                      <w:rFonts w:hint="eastAsia"/>
                      <w:color w:val="auto"/>
                      <w:sz w:val="18"/>
                      <w:szCs w:val="18"/>
                      <w:lang w:val="en-US" w:eastAsia="zh-CN"/>
                    </w:rPr>
                    <w:t>废气</w:t>
                  </w:r>
                </w:p>
              </w:tc>
              <w:tc>
                <w:tcPr>
                  <w:tcW w:w="516" w:type="dxa"/>
                  <w:tcBorders>
                    <w:tl2br w:val="nil"/>
                    <w:tr2bl w:val="nil"/>
                  </w:tcBorders>
                  <w:vAlign w:val="center"/>
                </w:tcPr>
                <w:p w14:paraId="1C2F3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16637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0.3m</w:t>
                  </w:r>
                </w:p>
              </w:tc>
              <w:tc>
                <w:tcPr>
                  <w:tcW w:w="384" w:type="dxa"/>
                  <w:tcBorders>
                    <w:tl2br w:val="nil"/>
                    <w:tr2bl w:val="nil"/>
                  </w:tcBorders>
                  <w:shd w:val="clear" w:color="auto" w:fill="auto"/>
                  <w:vAlign w:val="center"/>
                </w:tcPr>
                <w:p w14:paraId="7D048C00">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528" w:type="dxa"/>
                  <w:tcBorders>
                    <w:tl2br w:val="nil"/>
                    <w:tr2bl w:val="nil"/>
                  </w:tcBorders>
                  <w:shd w:val="clear" w:color="auto" w:fill="auto"/>
                  <w:vAlign w:val="center"/>
                </w:tcPr>
                <w:p w14:paraId="3394803A">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1296" w:type="dxa"/>
                  <w:tcBorders>
                    <w:tl2br w:val="nil"/>
                    <w:tr2bl w:val="nil"/>
                  </w:tcBorders>
                  <w:vAlign w:val="center"/>
                </w:tcPr>
                <w:p w14:paraId="3177A165">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117°42′30.543″</w:t>
                  </w:r>
                </w:p>
              </w:tc>
              <w:tc>
                <w:tcPr>
                  <w:tcW w:w="1200" w:type="dxa"/>
                  <w:tcBorders>
                    <w:tl2br w:val="nil"/>
                    <w:tr2bl w:val="nil"/>
                  </w:tcBorders>
                  <w:vAlign w:val="center"/>
                </w:tcPr>
                <w:p w14:paraId="100F2C9C">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25°42′11.59</w:t>
                  </w:r>
                  <w:r>
                    <w:rPr>
                      <w:rFonts w:hint="eastAsia" w:ascii="Times New Roman" w:hAnsi="Times New Roman" w:eastAsia="宋体" w:cs="Times New Roman"/>
                      <w:i w:val="0"/>
                      <w:iCs w:val="0"/>
                      <w:color w:val="auto"/>
                      <w:kern w:val="0"/>
                      <w:sz w:val="18"/>
                      <w:szCs w:val="18"/>
                      <w:u w:val="none"/>
                      <w:lang w:val="en-US" w:eastAsia="zh-CN" w:bidi="ar"/>
                    </w:rPr>
                    <w:t>7</w:t>
                  </w:r>
                  <w:r>
                    <w:rPr>
                      <w:rFonts w:hint="default" w:ascii="Times New Roman" w:hAnsi="Times New Roman" w:eastAsia="宋体" w:cs="Times New Roman"/>
                      <w:i w:val="0"/>
                      <w:iCs w:val="0"/>
                      <w:color w:val="auto"/>
                      <w:kern w:val="0"/>
                      <w:sz w:val="18"/>
                      <w:szCs w:val="18"/>
                      <w:u w:val="none"/>
                      <w:lang w:val="en-US" w:eastAsia="zh-CN" w:bidi="ar"/>
                    </w:rPr>
                    <w:t>″</w:t>
                  </w:r>
                </w:p>
              </w:tc>
              <w:tc>
                <w:tcPr>
                  <w:tcW w:w="2213" w:type="dxa"/>
                  <w:vMerge w:val="continue"/>
                  <w:tcBorders>
                    <w:tl2br w:val="nil"/>
                    <w:tr2bl w:val="nil"/>
                  </w:tcBorders>
                  <w:vAlign w:val="center"/>
                </w:tcPr>
                <w:p w14:paraId="1B7C7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p>
              </w:tc>
            </w:tr>
            <w:tr w14:paraId="5E4A5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032E1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DA005</w:t>
                  </w:r>
                </w:p>
              </w:tc>
              <w:tc>
                <w:tcPr>
                  <w:tcW w:w="972" w:type="dxa"/>
                  <w:tcBorders>
                    <w:tl2br w:val="nil"/>
                    <w:tr2bl w:val="nil"/>
                  </w:tcBorders>
                  <w:vAlign w:val="center"/>
                </w:tcPr>
                <w:p w14:paraId="53BAF3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宋体" w:hAnsi="宋体" w:cs="宋体"/>
                      <w:color w:val="auto"/>
                      <w:sz w:val="18"/>
                      <w:szCs w:val="18"/>
                      <w:lang w:val="en-US" w:eastAsia="zh-CN"/>
                    </w:rPr>
                    <w:t>落砂、砂再生，粘土砂造型</w:t>
                  </w:r>
                </w:p>
              </w:tc>
              <w:tc>
                <w:tcPr>
                  <w:tcW w:w="516" w:type="dxa"/>
                  <w:tcBorders>
                    <w:tl2br w:val="nil"/>
                    <w:tr2bl w:val="nil"/>
                  </w:tcBorders>
                  <w:vAlign w:val="center"/>
                </w:tcPr>
                <w:p w14:paraId="55EA9D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67BE5E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1.0m</w:t>
                  </w:r>
                </w:p>
              </w:tc>
              <w:tc>
                <w:tcPr>
                  <w:tcW w:w="384" w:type="dxa"/>
                  <w:tcBorders>
                    <w:tl2br w:val="nil"/>
                    <w:tr2bl w:val="nil"/>
                  </w:tcBorders>
                  <w:shd w:val="clear" w:color="auto" w:fill="auto"/>
                  <w:vAlign w:val="center"/>
                </w:tcPr>
                <w:p w14:paraId="1BE017DE">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528" w:type="dxa"/>
                  <w:tcBorders>
                    <w:tl2br w:val="nil"/>
                    <w:tr2bl w:val="nil"/>
                  </w:tcBorders>
                  <w:shd w:val="clear" w:color="auto" w:fill="auto"/>
                  <w:vAlign w:val="center"/>
                </w:tcPr>
                <w:p w14:paraId="665EA5C6">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1296" w:type="dxa"/>
                  <w:tcBorders>
                    <w:tl2br w:val="nil"/>
                    <w:tr2bl w:val="nil"/>
                  </w:tcBorders>
                  <w:vAlign w:val="center"/>
                </w:tcPr>
                <w:p w14:paraId="6A0AD07F">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117°42′32.12</w:t>
                  </w:r>
                  <w:r>
                    <w:rPr>
                      <w:rFonts w:hint="eastAsia" w:ascii="Times New Roman" w:hAnsi="Times New Roman" w:eastAsia="宋体" w:cs="Times New Roman"/>
                      <w:i w:val="0"/>
                      <w:iCs w:val="0"/>
                      <w:color w:val="auto"/>
                      <w:kern w:val="0"/>
                      <w:sz w:val="18"/>
                      <w:szCs w:val="18"/>
                      <w:u w:val="none"/>
                      <w:lang w:val="en-US" w:eastAsia="zh-CN" w:bidi="ar"/>
                    </w:rPr>
                    <w:t>7</w:t>
                  </w:r>
                  <w:r>
                    <w:rPr>
                      <w:rFonts w:hint="default" w:ascii="Times New Roman" w:hAnsi="Times New Roman" w:eastAsia="宋体" w:cs="Times New Roman"/>
                      <w:i w:val="0"/>
                      <w:iCs w:val="0"/>
                      <w:color w:val="auto"/>
                      <w:kern w:val="0"/>
                      <w:sz w:val="18"/>
                      <w:szCs w:val="18"/>
                      <w:u w:val="none"/>
                      <w:lang w:val="en-US" w:eastAsia="zh-CN" w:bidi="ar"/>
                    </w:rPr>
                    <w:t>″</w:t>
                  </w:r>
                </w:p>
              </w:tc>
              <w:tc>
                <w:tcPr>
                  <w:tcW w:w="1200" w:type="dxa"/>
                  <w:tcBorders>
                    <w:tl2br w:val="nil"/>
                    <w:tr2bl w:val="nil"/>
                  </w:tcBorders>
                  <w:vAlign w:val="center"/>
                </w:tcPr>
                <w:p w14:paraId="59671A0A">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25°42′12.958″</w:t>
                  </w:r>
                </w:p>
              </w:tc>
              <w:tc>
                <w:tcPr>
                  <w:tcW w:w="2213" w:type="dxa"/>
                  <w:vMerge w:val="restart"/>
                  <w:tcBorders>
                    <w:tl2br w:val="nil"/>
                    <w:tr2bl w:val="nil"/>
                  </w:tcBorders>
                  <w:vAlign w:val="center"/>
                </w:tcPr>
                <w:p w14:paraId="2AF83B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rPr>
                    <w:t>《铸造工业大气污染物排放标准》（GB39726-2020）表1标准）</w:t>
                  </w:r>
                </w:p>
              </w:tc>
            </w:tr>
            <w:tr w14:paraId="23EBF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549109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DA006</w:t>
                  </w:r>
                </w:p>
              </w:tc>
              <w:tc>
                <w:tcPr>
                  <w:tcW w:w="972" w:type="dxa"/>
                  <w:tcBorders>
                    <w:tl2br w:val="nil"/>
                    <w:tr2bl w:val="nil"/>
                  </w:tcBorders>
                  <w:vAlign w:val="center"/>
                </w:tcPr>
                <w:p w14:paraId="646E3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color w:val="auto"/>
                      <w:sz w:val="18"/>
                      <w:szCs w:val="18"/>
                    </w:rPr>
                    <w:t>铸件抛丸清理、二次抛丸</w:t>
                  </w:r>
                </w:p>
              </w:tc>
              <w:tc>
                <w:tcPr>
                  <w:tcW w:w="516" w:type="dxa"/>
                  <w:tcBorders>
                    <w:tl2br w:val="nil"/>
                    <w:tr2bl w:val="nil"/>
                  </w:tcBorders>
                  <w:vAlign w:val="center"/>
                </w:tcPr>
                <w:p w14:paraId="317CC8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23830E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w:t>
                  </w:r>
                  <w:r>
                    <w:rPr>
                      <w:rFonts w:hint="eastAsia" w:cs="Times New Roman"/>
                      <w:color w:val="auto"/>
                      <w:sz w:val="18"/>
                      <w:szCs w:val="18"/>
                      <w:vertAlign w:val="baseline"/>
                      <w:lang w:val="en-US" w:eastAsia="zh-CN"/>
                    </w:rPr>
                    <w:t>8</w:t>
                  </w:r>
                  <w:r>
                    <w:rPr>
                      <w:rFonts w:hint="eastAsia" w:ascii="Times New Roman" w:hAnsi="Times New Roman" w:eastAsia="宋体" w:cs="Times New Roman"/>
                      <w:color w:val="auto"/>
                      <w:sz w:val="18"/>
                      <w:szCs w:val="18"/>
                      <w:vertAlign w:val="baseline"/>
                      <w:lang w:val="en-US" w:eastAsia="zh-CN"/>
                    </w:rPr>
                    <w:t>m</w:t>
                  </w:r>
                </w:p>
              </w:tc>
              <w:tc>
                <w:tcPr>
                  <w:tcW w:w="384" w:type="dxa"/>
                  <w:tcBorders>
                    <w:tl2br w:val="nil"/>
                    <w:tr2bl w:val="nil"/>
                  </w:tcBorders>
                  <w:shd w:val="clear" w:color="auto" w:fill="auto"/>
                  <w:vAlign w:val="center"/>
                </w:tcPr>
                <w:p w14:paraId="59772574">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常温</w:t>
                  </w:r>
                </w:p>
              </w:tc>
              <w:tc>
                <w:tcPr>
                  <w:tcW w:w="528" w:type="dxa"/>
                  <w:tcBorders>
                    <w:tl2br w:val="nil"/>
                    <w:tr2bl w:val="nil"/>
                  </w:tcBorders>
                  <w:shd w:val="clear" w:color="auto" w:fill="auto"/>
                  <w:vAlign w:val="center"/>
                </w:tcPr>
                <w:p w14:paraId="5D1B3781">
                  <w:pPr>
                    <w:widowControl/>
                    <w:jc w:val="center"/>
                    <w:textAlignment w:val="center"/>
                    <w:rPr>
                      <w:rFonts w:hint="eastAsia" w:ascii="宋体" w:hAnsi="宋体" w:eastAsia="宋体" w:cs="宋体"/>
                      <w:color w:val="auto"/>
                      <w:kern w:val="2"/>
                      <w:sz w:val="18"/>
                      <w:szCs w:val="18"/>
                      <w:lang w:val="en-US" w:eastAsia="zh-CN" w:bidi="ar-SA"/>
                    </w:rPr>
                  </w:pPr>
                  <w:r>
                    <w:rPr>
                      <w:rFonts w:hint="eastAsia" w:ascii="宋体" w:hAnsi="宋体" w:cs="宋体"/>
                      <w:color w:val="auto"/>
                      <w:kern w:val="0"/>
                      <w:sz w:val="18"/>
                      <w:szCs w:val="18"/>
                      <w:lang w:bidi="ar"/>
                    </w:rPr>
                    <w:t>一般排放口</w:t>
                  </w:r>
                </w:p>
              </w:tc>
              <w:tc>
                <w:tcPr>
                  <w:tcW w:w="1296" w:type="dxa"/>
                  <w:tcBorders>
                    <w:tl2br w:val="nil"/>
                    <w:tr2bl w:val="nil"/>
                  </w:tcBorders>
                  <w:vAlign w:val="center"/>
                </w:tcPr>
                <w:p w14:paraId="41DD4310">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117°42′33.4</w:t>
                  </w:r>
                  <w:r>
                    <w:rPr>
                      <w:rFonts w:hint="eastAsia" w:cs="Times New Roman"/>
                      <w:i w:val="0"/>
                      <w:iCs w:val="0"/>
                      <w:color w:val="auto"/>
                      <w:kern w:val="0"/>
                      <w:sz w:val="18"/>
                      <w:szCs w:val="18"/>
                      <w:u w:val="none"/>
                      <w:lang w:val="en-US" w:eastAsia="zh-CN" w:bidi="ar"/>
                    </w:rPr>
                    <w:t>52</w:t>
                  </w:r>
                  <w:r>
                    <w:rPr>
                      <w:rFonts w:hint="default" w:ascii="Times New Roman" w:hAnsi="Times New Roman" w:eastAsia="宋体" w:cs="Times New Roman"/>
                      <w:i w:val="0"/>
                      <w:iCs w:val="0"/>
                      <w:color w:val="auto"/>
                      <w:kern w:val="0"/>
                      <w:sz w:val="18"/>
                      <w:szCs w:val="18"/>
                      <w:u w:val="none"/>
                      <w:lang w:val="en-US" w:eastAsia="zh-CN" w:bidi="ar"/>
                    </w:rPr>
                    <w:t>″</w:t>
                  </w:r>
                </w:p>
              </w:tc>
              <w:tc>
                <w:tcPr>
                  <w:tcW w:w="1200" w:type="dxa"/>
                  <w:tcBorders>
                    <w:tl2br w:val="nil"/>
                    <w:tr2bl w:val="nil"/>
                  </w:tcBorders>
                  <w:vAlign w:val="center"/>
                </w:tcPr>
                <w:p w14:paraId="2EC042B7">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25°42′12.</w:t>
                  </w:r>
                  <w:r>
                    <w:rPr>
                      <w:rFonts w:hint="eastAsia" w:cs="Times New Roman"/>
                      <w:i w:val="0"/>
                      <w:iCs w:val="0"/>
                      <w:color w:val="auto"/>
                      <w:kern w:val="0"/>
                      <w:sz w:val="18"/>
                      <w:szCs w:val="18"/>
                      <w:u w:val="none"/>
                      <w:lang w:val="en-US" w:eastAsia="zh-CN" w:bidi="ar"/>
                    </w:rPr>
                    <w:t>450</w:t>
                  </w:r>
                  <w:r>
                    <w:rPr>
                      <w:rFonts w:hint="default" w:ascii="Times New Roman" w:hAnsi="Times New Roman" w:eastAsia="宋体" w:cs="Times New Roman"/>
                      <w:i w:val="0"/>
                      <w:iCs w:val="0"/>
                      <w:color w:val="auto"/>
                      <w:kern w:val="0"/>
                      <w:sz w:val="18"/>
                      <w:szCs w:val="18"/>
                      <w:u w:val="none"/>
                      <w:lang w:val="en-US" w:eastAsia="zh-CN" w:bidi="ar"/>
                    </w:rPr>
                    <w:t>″</w:t>
                  </w:r>
                </w:p>
              </w:tc>
              <w:tc>
                <w:tcPr>
                  <w:tcW w:w="2213" w:type="dxa"/>
                  <w:vMerge w:val="continue"/>
                  <w:tcBorders>
                    <w:tl2br w:val="nil"/>
                    <w:tr2bl w:val="nil"/>
                  </w:tcBorders>
                  <w:vAlign w:val="center"/>
                </w:tcPr>
                <w:p w14:paraId="54D8B7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p>
              </w:tc>
            </w:tr>
            <w:tr w14:paraId="25E56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28988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w:t>
                  </w:r>
                  <w:r>
                    <w:rPr>
                      <w:rFonts w:hint="eastAsia" w:cs="Times New Roman"/>
                      <w:color w:val="auto"/>
                      <w:sz w:val="18"/>
                      <w:szCs w:val="18"/>
                      <w:vertAlign w:val="baseline"/>
                      <w:lang w:val="en-US" w:eastAsia="zh-CN"/>
                    </w:rPr>
                    <w:t>7</w:t>
                  </w:r>
                </w:p>
              </w:tc>
              <w:tc>
                <w:tcPr>
                  <w:tcW w:w="972" w:type="dxa"/>
                  <w:tcBorders>
                    <w:tl2br w:val="nil"/>
                    <w:tr2bl w:val="nil"/>
                  </w:tcBorders>
                  <w:vAlign w:val="center"/>
                </w:tcPr>
                <w:p w14:paraId="0B5C20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rPr>
                  </w:pPr>
                  <w:r>
                    <w:rPr>
                      <w:rFonts w:hint="eastAsia"/>
                      <w:color w:val="auto"/>
                      <w:sz w:val="18"/>
                      <w:szCs w:val="18"/>
                    </w:rPr>
                    <w:t>熔模铸件退火废气</w:t>
                  </w:r>
                </w:p>
              </w:tc>
              <w:tc>
                <w:tcPr>
                  <w:tcW w:w="516" w:type="dxa"/>
                  <w:tcBorders>
                    <w:tl2br w:val="nil"/>
                    <w:tr2bl w:val="nil"/>
                  </w:tcBorders>
                  <w:vAlign w:val="center"/>
                </w:tcPr>
                <w:p w14:paraId="4B74A6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4136FD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0.2m</w:t>
                  </w:r>
                </w:p>
              </w:tc>
              <w:tc>
                <w:tcPr>
                  <w:tcW w:w="384" w:type="dxa"/>
                  <w:tcBorders>
                    <w:tl2br w:val="nil"/>
                    <w:tr2bl w:val="nil"/>
                  </w:tcBorders>
                  <w:shd w:val="clear" w:color="auto" w:fill="auto"/>
                  <w:vAlign w:val="center"/>
                </w:tcPr>
                <w:p w14:paraId="5F0ECD1A">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温度120℃</w:t>
                  </w:r>
                </w:p>
              </w:tc>
              <w:tc>
                <w:tcPr>
                  <w:tcW w:w="528" w:type="dxa"/>
                  <w:tcBorders>
                    <w:tl2br w:val="nil"/>
                    <w:tr2bl w:val="nil"/>
                  </w:tcBorders>
                  <w:shd w:val="clear" w:color="auto" w:fill="auto"/>
                  <w:vAlign w:val="center"/>
                </w:tcPr>
                <w:p w14:paraId="2C1065D6">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1296" w:type="dxa"/>
                  <w:tcBorders>
                    <w:tl2br w:val="nil"/>
                    <w:tr2bl w:val="nil"/>
                  </w:tcBorders>
                  <w:vAlign w:val="center"/>
                </w:tcPr>
                <w:p w14:paraId="39BA08EF">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117°42′33.430″</w:t>
                  </w:r>
                </w:p>
              </w:tc>
              <w:tc>
                <w:tcPr>
                  <w:tcW w:w="1200" w:type="dxa"/>
                  <w:tcBorders>
                    <w:tl2br w:val="nil"/>
                    <w:tr2bl w:val="nil"/>
                  </w:tcBorders>
                  <w:vAlign w:val="center"/>
                </w:tcPr>
                <w:p w14:paraId="796A9398">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25°42′12.427″</w:t>
                  </w:r>
                </w:p>
              </w:tc>
              <w:tc>
                <w:tcPr>
                  <w:tcW w:w="2213" w:type="dxa"/>
                  <w:vMerge w:val="continue"/>
                  <w:tcBorders>
                    <w:tl2br w:val="nil"/>
                    <w:tr2bl w:val="nil"/>
                  </w:tcBorders>
                  <w:vAlign w:val="center"/>
                </w:tcPr>
                <w:p w14:paraId="2E5501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p>
              </w:tc>
            </w:tr>
            <w:tr w14:paraId="2DB83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070E0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DA00</w:t>
                  </w:r>
                  <w:r>
                    <w:rPr>
                      <w:rFonts w:hint="eastAsia" w:cs="Times New Roman"/>
                      <w:color w:val="auto"/>
                      <w:sz w:val="18"/>
                      <w:szCs w:val="18"/>
                      <w:vertAlign w:val="baseline"/>
                      <w:lang w:val="en-US" w:eastAsia="zh-CN"/>
                    </w:rPr>
                    <w:t>8</w:t>
                  </w:r>
                </w:p>
              </w:tc>
              <w:tc>
                <w:tcPr>
                  <w:tcW w:w="972" w:type="dxa"/>
                  <w:tcBorders>
                    <w:tl2br w:val="nil"/>
                    <w:tr2bl w:val="nil"/>
                  </w:tcBorders>
                  <w:vAlign w:val="center"/>
                </w:tcPr>
                <w:p w14:paraId="20B37B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rPr>
                  </w:pPr>
                  <w:r>
                    <w:rPr>
                      <w:rFonts w:hint="eastAsia" w:ascii="宋体" w:hAnsi="宋体" w:cs="宋体"/>
                      <w:color w:val="auto"/>
                      <w:sz w:val="18"/>
                      <w:szCs w:val="18"/>
                      <w:lang w:val="en-US" w:eastAsia="zh-CN"/>
                    </w:rPr>
                    <w:t>喷粉废气</w:t>
                  </w:r>
                </w:p>
              </w:tc>
              <w:tc>
                <w:tcPr>
                  <w:tcW w:w="516" w:type="dxa"/>
                  <w:tcBorders>
                    <w:tl2br w:val="nil"/>
                    <w:tr2bl w:val="nil"/>
                  </w:tcBorders>
                  <w:vAlign w:val="center"/>
                </w:tcPr>
                <w:p w14:paraId="065DA3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67A05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0.5m</w:t>
                  </w:r>
                </w:p>
              </w:tc>
              <w:tc>
                <w:tcPr>
                  <w:tcW w:w="384" w:type="dxa"/>
                  <w:tcBorders>
                    <w:tl2br w:val="nil"/>
                    <w:tr2bl w:val="nil"/>
                  </w:tcBorders>
                  <w:shd w:val="clear" w:color="auto" w:fill="auto"/>
                  <w:vAlign w:val="center"/>
                </w:tcPr>
                <w:p w14:paraId="77C10D5D">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528" w:type="dxa"/>
                  <w:tcBorders>
                    <w:tl2br w:val="nil"/>
                    <w:tr2bl w:val="nil"/>
                  </w:tcBorders>
                  <w:shd w:val="clear" w:color="auto" w:fill="auto"/>
                  <w:vAlign w:val="center"/>
                </w:tcPr>
                <w:p w14:paraId="498EA34C">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1296" w:type="dxa"/>
                  <w:tcBorders>
                    <w:tl2br w:val="nil"/>
                    <w:tr2bl w:val="nil"/>
                  </w:tcBorders>
                  <w:vAlign w:val="center"/>
                </w:tcPr>
                <w:p w14:paraId="6435E9CC">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117°42′30.978″</w:t>
                  </w:r>
                </w:p>
              </w:tc>
              <w:tc>
                <w:tcPr>
                  <w:tcW w:w="1200" w:type="dxa"/>
                  <w:tcBorders>
                    <w:tl2br w:val="nil"/>
                    <w:tr2bl w:val="nil"/>
                  </w:tcBorders>
                  <w:vAlign w:val="center"/>
                </w:tcPr>
                <w:p w14:paraId="56F5CB52">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25°42′13.64</w:t>
                  </w:r>
                  <w:r>
                    <w:rPr>
                      <w:rFonts w:hint="eastAsia" w:ascii="Times New Roman" w:hAnsi="Times New Roman"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w:t>
                  </w:r>
                </w:p>
              </w:tc>
              <w:tc>
                <w:tcPr>
                  <w:tcW w:w="2213" w:type="dxa"/>
                  <w:vMerge w:val="continue"/>
                  <w:tcBorders>
                    <w:tl2br w:val="nil"/>
                    <w:tr2bl w:val="nil"/>
                  </w:tcBorders>
                  <w:vAlign w:val="center"/>
                </w:tcPr>
                <w:p w14:paraId="5F69AB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p>
              </w:tc>
            </w:tr>
            <w:tr w14:paraId="489D3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75F76C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w:t>
                  </w:r>
                  <w:r>
                    <w:rPr>
                      <w:rFonts w:hint="eastAsia" w:cs="Times New Roman"/>
                      <w:color w:val="auto"/>
                      <w:sz w:val="18"/>
                      <w:szCs w:val="18"/>
                      <w:vertAlign w:val="baseline"/>
                      <w:lang w:val="en-US" w:eastAsia="zh-CN"/>
                    </w:rPr>
                    <w:t>09</w:t>
                  </w:r>
                </w:p>
              </w:tc>
              <w:tc>
                <w:tcPr>
                  <w:tcW w:w="972" w:type="dxa"/>
                  <w:tcBorders>
                    <w:tl2br w:val="nil"/>
                    <w:tr2bl w:val="nil"/>
                  </w:tcBorders>
                  <w:vAlign w:val="center"/>
                </w:tcPr>
                <w:p w14:paraId="646EAF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rPr>
                  </w:pPr>
                  <w:r>
                    <w:rPr>
                      <w:rFonts w:hint="eastAsia"/>
                      <w:color w:val="auto"/>
                      <w:sz w:val="18"/>
                      <w:szCs w:val="18"/>
                      <w:lang w:val="en-US" w:eastAsia="zh-CN"/>
                    </w:rPr>
                    <w:t>固化废气</w:t>
                  </w:r>
                </w:p>
              </w:tc>
              <w:tc>
                <w:tcPr>
                  <w:tcW w:w="516" w:type="dxa"/>
                  <w:tcBorders>
                    <w:tl2br w:val="nil"/>
                    <w:tr2bl w:val="nil"/>
                  </w:tcBorders>
                  <w:vAlign w:val="center"/>
                </w:tcPr>
                <w:p w14:paraId="1AACF3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068F7B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0.3m</w:t>
                  </w:r>
                </w:p>
              </w:tc>
              <w:tc>
                <w:tcPr>
                  <w:tcW w:w="384" w:type="dxa"/>
                  <w:tcBorders>
                    <w:tl2br w:val="nil"/>
                    <w:tr2bl w:val="nil"/>
                  </w:tcBorders>
                  <w:shd w:val="clear" w:color="auto" w:fill="auto"/>
                  <w:vAlign w:val="center"/>
                </w:tcPr>
                <w:p w14:paraId="4624A188">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528" w:type="dxa"/>
                  <w:tcBorders>
                    <w:tl2br w:val="nil"/>
                    <w:tr2bl w:val="nil"/>
                  </w:tcBorders>
                  <w:shd w:val="clear" w:color="auto" w:fill="auto"/>
                  <w:vAlign w:val="center"/>
                </w:tcPr>
                <w:p w14:paraId="5DA593E3">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1296" w:type="dxa"/>
                  <w:tcBorders>
                    <w:tl2br w:val="nil"/>
                    <w:tr2bl w:val="nil"/>
                  </w:tcBorders>
                  <w:vAlign w:val="center"/>
                </w:tcPr>
                <w:p w14:paraId="5B6E4435">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117°42′30.41</w:t>
                  </w:r>
                  <w:r>
                    <w:rPr>
                      <w:rFonts w:hint="eastAsia" w:cs="Times New Roman"/>
                      <w:i w:val="0"/>
                      <w:iCs w:val="0"/>
                      <w:color w:val="auto"/>
                      <w:kern w:val="0"/>
                      <w:sz w:val="18"/>
                      <w:szCs w:val="18"/>
                      <w:u w:val="none"/>
                      <w:lang w:val="en-US" w:eastAsia="zh-CN" w:bidi="ar"/>
                    </w:rPr>
                    <w:t>8</w:t>
                  </w:r>
                  <w:r>
                    <w:rPr>
                      <w:rFonts w:hint="default" w:ascii="Times New Roman" w:hAnsi="Times New Roman" w:eastAsia="宋体" w:cs="Times New Roman"/>
                      <w:i w:val="0"/>
                      <w:iCs w:val="0"/>
                      <w:color w:val="auto"/>
                      <w:kern w:val="0"/>
                      <w:sz w:val="18"/>
                      <w:szCs w:val="18"/>
                      <w:u w:val="none"/>
                      <w:lang w:val="en-US" w:eastAsia="zh-CN" w:bidi="ar"/>
                    </w:rPr>
                    <w:t>″</w:t>
                  </w:r>
                </w:p>
              </w:tc>
              <w:tc>
                <w:tcPr>
                  <w:tcW w:w="1200" w:type="dxa"/>
                  <w:tcBorders>
                    <w:tl2br w:val="nil"/>
                    <w:tr2bl w:val="nil"/>
                  </w:tcBorders>
                  <w:vAlign w:val="center"/>
                </w:tcPr>
                <w:p w14:paraId="4B0A95A2">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25°42′13.653″</w:t>
                  </w:r>
                </w:p>
              </w:tc>
              <w:tc>
                <w:tcPr>
                  <w:tcW w:w="2213" w:type="dxa"/>
                  <w:tcBorders>
                    <w:tl2br w:val="nil"/>
                    <w:tr2bl w:val="nil"/>
                  </w:tcBorders>
                  <w:shd w:val="clear" w:color="auto" w:fill="auto"/>
                  <w:vAlign w:val="center"/>
                </w:tcPr>
                <w:p w14:paraId="5B095106">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18"/>
                      <w:szCs w:val="18"/>
                      <w:lang w:val="en-US" w:eastAsia="zh-CN"/>
                    </w:rPr>
                    <w:t>颗粒物、二氧化硫、氮氧化物执行《福建省工业炉窑大气污染综合治理方案》中鼓励采用的排放限值；非甲烷总烃从严执行《铸造工业大气污染物排放标准》（GB39726-2020）表1表面和《工业涂装工序挥发性有机物排放标准》（DB35/1783-2018）表1中“涉涂装工序的其他行业”标准。</w:t>
                  </w:r>
                </w:p>
              </w:tc>
            </w:tr>
            <w:tr w14:paraId="58C74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5903CB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DA01</w:t>
                  </w:r>
                  <w:r>
                    <w:rPr>
                      <w:rFonts w:hint="eastAsia" w:cs="Times New Roman"/>
                      <w:color w:val="auto"/>
                      <w:sz w:val="18"/>
                      <w:szCs w:val="18"/>
                      <w:vertAlign w:val="baseline"/>
                      <w:lang w:val="en-US" w:eastAsia="zh-CN"/>
                    </w:rPr>
                    <w:t>0</w:t>
                  </w:r>
                </w:p>
              </w:tc>
              <w:tc>
                <w:tcPr>
                  <w:tcW w:w="972" w:type="dxa"/>
                  <w:tcBorders>
                    <w:tl2br w:val="nil"/>
                    <w:tr2bl w:val="nil"/>
                  </w:tcBorders>
                  <w:vAlign w:val="center"/>
                </w:tcPr>
                <w:p w14:paraId="07B46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rPr>
                  </w:pPr>
                  <w:r>
                    <w:rPr>
                      <w:rFonts w:hint="eastAsia"/>
                      <w:color w:val="auto"/>
                      <w:sz w:val="18"/>
                      <w:szCs w:val="18"/>
                    </w:rPr>
                    <w:t>投料、拌料</w:t>
                  </w:r>
                  <w:r>
                    <w:rPr>
                      <w:rFonts w:hint="eastAsia"/>
                      <w:color w:val="auto"/>
                      <w:sz w:val="18"/>
                      <w:szCs w:val="18"/>
                      <w:lang w:val="en-US" w:eastAsia="zh-CN"/>
                    </w:rPr>
                    <w:t>废气</w:t>
                  </w:r>
                </w:p>
              </w:tc>
              <w:tc>
                <w:tcPr>
                  <w:tcW w:w="516" w:type="dxa"/>
                  <w:tcBorders>
                    <w:tl2br w:val="nil"/>
                    <w:tr2bl w:val="nil"/>
                  </w:tcBorders>
                  <w:vAlign w:val="center"/>
                </w:tcPr>
                <w:p w14:paraId="0AE0D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143109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0.3m</w:t>
                  </w:r>
                </w:p>
              </w:tc>
              <w:tc>
                <w:tcPr>
                  <w:tcW w:w="384" w:type="dxa"/>
                  <w:tcBorders>
                    <w:tl2br w:val="nil"/>
                    <w:tr2bl w:val="nil"/>
                  </w:tcBorders>
                  <w:shd w:val="clear" w:color="auto" w:fill="auto"/>
                  <w:vAlign w:val="center"/>
                </w:tcPr>
                <w:p w14:paraId="54827307">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528" w:type="dxa"/>
                  <w:tcBorders>
                    <w:tl2br w:val="nil"/>
                    <w:tr2bl w:val="nil"/>
                  </w:tcBorders>
                  <w:shd w:val="clear" w:color="auto" w:fill="auto"/>
                  <w:vAlign w:val="center"/>
                </w:tcPr>
                <w:p w14:paraId="211B34B2">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1296" w:type="dxa"/>
                  <w:tcBorders>
                    <w:tl2br w:val="nil"/>
                    <w:tr2bl w:val="nil"/>
                  </w:tcBorders>
                  <w:vAlign w:val="center"/>
                </w:tcPr>
                <w:p w14:paraId="5306AF43">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117°42′28.6</w:t>
                  </w:r>
                  <w:r>
                    <w:rPr>
                      <w:rFonts w:hint="eastAsia" w:ascii="Times New Roman" w:hAnsi="Times New Roman" w:eastAsia="宋体" w:cs="Times New Roman"/>
                      <w:i w:val="0"/>
                      <w:iCs w:val="0"/>
                      <w:color w:val="auto"/>
                      <w:kern w:val="0"/>
                      <w:sz w:val="18"/>
                      <w:szCs w:val="18"/>
                      <w:u w:val="none"/>
                      <w:lang w:val="en-US" w:eastAsia="zh-CN" w:bidi="ar"/>
                    </w:rPr>
                    <w:t>80</w:t>
                  </w:r>
                  <w:r>
                    <w:rPr>
                      <w:rFonts w:hint="default" w:ascii="Times New Roman" w:hAnsi="Times New Roman" w:eastAsia="宋体" w:cs="Times New Roman"/>
                      <w:i w:val="0"/>
                      <w:iCs w:val="0"/>
                      <w:color w:val="auto"/>
                      <w:kern w:val="0"/>
                      <w:sz w:val="18"/>
                      <w:szCs w:val="18"/>
                      <w:u w:val="none"/>
                      <w:lang w:val="en-US" w:eastAsia="zh-CN" w:bidi="ar"/>
                    </w:rPr>
                    <w:t>″</w:t>
                  </w:r>
                </w:p>
              </w:tc>
              <w:tc>
                <w:tcPr>
                  <w:tcW w:w="1200" w:type="dxa"/>
                  <w:tcBorders>
                    <w:tl2br w:val="nil"/>
                    <w:tr2bl w:val="nil"/>
                  </w:tcBorders>
                  <w:vAlign w:val="center"/>
                </w:tcPr>
                <w:p w14:paraId="64A0E92A">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25°42′13.16</w:t>
                  </w:r>
                  <w:r>
                    <w:rPr>
                      <w:rFonts w:hint="eastAsia" w:ascii="Times New Roman" w:hAnsi="Times New Roman" w:eastAsia="宋体" w:cs="Times New Roman"/>
                      <w:i w:val="0"/>
                      <w:iCs w:val="0"/>
                      <w:color w:val="auto"/>
                      <w:kern w:val="0"/>
                      <w:sz w:val="18"/>
                      <w:szCs w:val="18"/>
                      <w:u w:val="none"/>
                      <w:lang w:val="en-US" w:eastAsia="zh-CN" w:bidi="ar"/>
                    </w:rPr>
                    <w:t>1</w:t>
                  </w:r>
                  <w:r>
                    <w:rPr>
                      <w:rFonts w:hint="default" w:ascii="Times New Roman" w:hAnsi="Times New Roman" w:eastAsia="宋体" w:cs="Times New Roman"/>
                      <w:i w:val="0"/>
                      <w:iCs w:val="0"/>
                      <w:color w:val="auto"/>
                      <w:kern w:val="0"/>
                      <w:sz w:val="18"/>
                      <w:szCs w:val="18"/>
                      <w:u w:val="none"/>
                      <w:lang w:val="en-US" w:eastAsia="zh-CN" w:bidi="ar"/>
                    </w:rPr>
                    <w:t>″</w:t>
                  </w:r>
                </w:p>
              </w:tc>
              <w:tc>
                <w:tcPr>
                  <w:tcW w:w="2213" w:type="dxa"/>
                  <w:vMerge w:val="restart"/>
                  <w:tcBorders>
                    <w:tl2br w:val="nil"/>
                    <w:tr2bl w:val="nil"/>
                  </w:tcBorders>
                  <w:vAlign w:val="center"/>
                </w:tcPr>
                <w:p w14:paraId="2F47C3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rPr>
                    <w:t>从严执行《合成树脂工业污染物排放标准》（GB31572-2015）含2024年修改单和《大气污染物综合排放标准》（GB16297-1996）表2二级标准，臭气浓度执行《恶臭污染物排放标准》 （GB14554-93）表2排放标准值</w:t>
                  </w:r>
                </w:p>
              </w:tc>
            </w:tr>
            <w:tr w14:paraId="1DC21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733E6D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DA01</w:t>
                  </w:r>
                  <w:r>
                    <w:rPr>
                      <w:rFonts w:hint="eastAsia" w:cs="Times New Roman"/>
                      <w:color w:val="auto"/>
                      <w:sz w:val="18"/>
                      <w:szCs w:val="18"/>
                      <w:vertAlign w:val="baseline"/>
                      <w:lang w:val="en-US" w:eastAsia="zh-CN"/>
                    </w:rPr>
                    <w:t>1</w:t>
                  </w:r>
                </w:p>
              </w:tc>
              <w:tc>
                <w:tcPr>
                  <w:tcW w:w="972" w:type="dxa"/>
                  <w:tcBorders>
                    <w:tl2br w:val="nil"/>
                    <w:tr2bl w:val="nil"/>
                  </w:tcBorders>
                  <w:vAlign w:val="center"/>
                </w:tcPr>
                <w:p w14:paraId="5BA5E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rPr>
                  </w:pPr>
                  <w:r>
                    <w:rPr>
                      <w:rFonts w:hint="eastAsia"/>
                      <w:color w:val="auto"/>
                      <w:sz w:val="18"/>
                      <w:szCs w:val="18"/>
                    </w:rPr>
                    <w:t>造粒、挤出、挤管</w:t>
                  </w:r>
                  <w:r>
                    <w:rPr>
                      <w:rFonts w:hint="eastAsia"/>
                      <w:color w:val="auto"/>
                      <w:sz w:val="18"/>
                      <w:szCs w:val="18"/>
                      <w:lang w:val="en-US" w:eastAsia="zh-CN"/>
                    </w:rPr>
                    <w:t>废气</w:t>
                  </w:r>
                </w:p>
              </w:tc>
              <w:tc>
                <w:tcPr>
                  <w:tcW w:w="516" w:type="dxa"/>
                  <w:tcBorders>
                    <w:tl2br w:val="nil"/>
                    <w:tr2bl w:val="nil"/>
                  </w:tcBorders>
                  <w:vAlign w:val="center"/>
                </w:tcPr>
                <w:p w14:paraId="4C7579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0A6518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0.4m</w:t>
                  </w:r>
                </w:p>
              </w:tc>
              <w:tc>
                <w:tcPr>
                  <w:tcW w:w="384" w:type="dxa"/>
                  <w:tcBorders>
                    <w:tl2br w:val="nil"/>
                    <w:tr2bl w:val="nil"/>
                  </w:tcBorders>
                  <w:shd w:val="clear" w:color="auto" w:fill="auto"/>
                  <w:vAlign w:val="center"/>
                </w:tcPr>
                <w:p w14:paraId="4EE97898">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常温</w:t>
                  </w:r>
                </w:p>
              </w:tc>
              <w:tc>
                <w:tcPr>
                  <w:tcW w:w="528" w:type="dxa"/>
                  <w:tcBorders>
                    <w:tl2br w:val="nil"/>
                    <w:tr2bl w:val="nil"/>
                  </w:tcBorders>
                  <w:shd w:val="clear" w:color="auto" w:fill="auto"/>
                  <w:vAlign w:val="center"/>
                </w:tcPr>
                <w:p w14:paraId="6A8A7642">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1296" w:type="dxa"/>
                  <w:tcBorders>
                    <w:tl2br w:val="nil"/>
                    <w:tr2bl w:val="nil"/>
                  </w:tcBorders>
                  <w:vAlign w:val="center"/>
                </w:tcPr>
                <w:p w14:paraId="5E9F0FB1">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117°42′28.805″</w:t>
                  </w:r>
                </w:p>
              </w:tc>
              <w:tc>
                <w:tcPr>
                  <w:tcW w:w="1200" w:type="dxa"/>
                  <w:tcBorders>
                    <w:tl2br w:val="nil"/>
                    <w:tr2bl w:val="nil"/>
                  </w:tcBorders>
                  <w:vAlign w:val="center"/>
                </w:tcPr>
                <w:p w14:paraId="32C53132">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25°42′12.504″</w:t>
                  </w:r>
                </w:p>
              </w:tc>
              <w:tc>
                <w:tcPr>
                  <w:tcW w:w="2213" w:type="dxa"/>
                  <w:vMerge w:val="continue"/>
                  <w:tcBorders>
                    <w:tl2br w:val="nil"/>
                    <w:tr2bl w:val="nil"/>
                  </w:tcBorders>
                  <w:vAlign w:val="center"/>
                </w:tcPr>
                <w:p w14:paraId="037C7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p>
              </w:tc>
            </w:tr>
            <w:tr w14:paraId="61E9A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240B9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DA01</w:t>
                  </w:r>
                  <w:r>
                    <w:rPr>
                      <w:rFonts w:hint="eastAsia" w:cs="Times New Roman"/>
                      <w:color w:val="auto"/>
                      <w:sz w:val="18"/>
                      <w:szCs w:val="18"/>
                      <w:vertAlign w:val="baseline"/>
                      <w:lang w:val="en-US" w:eastAsia="zh-CN"/>
                    </w:rPr>
                    <w:t>2</w:t>
                  </w:r>
                </w:p>
              </w:tc>
              <w:tc>
                <w:tcPr>
                  <w:tcW w:w="972" w:type="dxa"/>
                  <w:tcBorders>
                    <w:tl2br w:val="nil"/>
                    <w:tr2bl w:val="nil"/>
                  </w:tcBorders>
                  <w:vAlign w:val="center"/>
                </w:tcPr>
                <w:p w14:paraId="6F7A7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rPr>
                  </w:pPr>
                  <w:r>
                    <w:rPr>
                      <w:rFonts w:hint="eastAsia"/>
                      <w:color w:val="auto"/>
                      <w:sz w:val="18"/>
                      <w:szCs w:val="18"/>
                      <w:lang w:eastAsia="zh-CN"/>
                    </w:rPr>
                    <w:t>锅炉废气</w:t>
                  </w:r>
                </w:p>
              </w:tc>
              <w:tc>
                <w:tcPr>
                  <w:tcW w:w="516" w:type="dxa"/>
                  <w:tcBorders>
                    <w:tl2br w:val="nil"/>
                    <w:tr2bl w:val="nil"/>
                  </w:tcBorders>
                  <w:vAlign w:val="center"/>
                </w:tcPr>
                <w:p w14:paraId="430D50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490B02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0.2m</w:t>
                  </w:r>
                </w:p>
              </w:tc>
              <w:tc>
                <w:tcPr>
                  <w:tcW w:w="384" w:type="dxa"/>
                  <w:tcBorders>
                    <w:tl2br w:val="nil"/>
                    <w:tr2bl w:val="nil"/>
                  </w:tcBorders>
                  <w:shd w:val="clear" w:color="auto" w:fill="auto"/>
                  <w:vAlign w:val="center"/>
                </w:tcPr>
                <w:p w14:paraId="3B925DA0">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温度120℃</w:t>
                  </w:r>
                </w:p>
              </w:tc>
              <w:tc>
                <w:tcPr>
                  <w:tcW w:w="528" w:type="dxa"/>
                  <w:tcBorders>
                    <w:tl2br w:val="nil"/>
                    <w:tr2bl w:val="nil"/>
                  </w:tcBorders>
                  <w:shd w:val="clear" w:color="auto" w:fill="auto"/>
                  <w:vAlign w:val="center"/>
                </w:tcPr>
                <w:p w14:paraId="00454382">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1296" w:type="dxa"/>
                  <w:tcBorders>
                    <w:tl2br w:val="nil"/>
                    <w:tr2bl w:val="nil"/>
                  </w:tcBorders>
                  <w:vAlign w:val="center"/>
                </w:tcPr>
                <w:p w14:paraId="062E6698">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117°42′33.81</w:t>
                  </w:r>
                  <w:r>
                    <w:rPr>
                      <w:rFonts w:hint="eastAsia" w:ascii="Times New Roman" w:hAnsi="Times New Roman" w:eastAsia="宋体" w:cs="Times New Roman"/>
                      <w:i w:val="0"/>
                      <w:iCs w:val="0"/>
                      <w:color w:val="auto"/>
                      <w:kern w:val="0"/>
                      <w:sz w:val="18"/>
                      <w:szCs w:val="18"/>
                      <w:u w:val="none"/>
                      <w:lang w:val="en-US" w:eastAsia="zh-CN" w:bidi="ar"/>
                    </w:rPr>
                    <w:t>7</w:t>
                  </w:r>
                  <w:r>
                    <w:rPr>
                      <w:rFonts w:hint="default" w:ascii="Times New Roman" w:hAnsi="Times New Roman" w:eastAsia="宋体" w:cs="Times New Roman"/>
                      <w:i w:val="0"/>
                      <w:iCs w:val="0"/>
                      <w:color w:val="auto"/>
                      <w:kern w:val="0"/>
                      <w:sz w:val="18"/>
                      <w:szCs w:val="18"/>
                      <w:u w:val="none"/>
                      <w:lang w:val="en-US" w:eastAsia="zh-CN" w:bidi="ar"/>
                    </w:rPr>
                    <w:t>″</w:t>
                  </w:r>
                </w:p>
              </w:tc>
              <w:tc>
                <w:tcPr>
                  <w:tcW w:w="1200" w:type="dxa"/>
                  <w:tcBorders>
                    <w:tl2br w:val="nil"/>
                    <w:tr2bl w:val="nil"/>
                  </w:tcBorders>
                  <w:vAlign w:val="center"/>
                </w:tcPr>
                <w:p w14:paraId="64E7EB10">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25°42′9.530″</w:t>
                  </w:r>
                </w:p>
              </w:tc>
              <w:tc>
                <w:tcPr>
                  <w:tcW w:w="2213" w:type="dxa"/>
                  <w:tcBorders>
                    <w:tl2br w:val="nil"/>
                    <w:tr2bl w:val="nil"/>
                  </w:tcBorders>
                  <w:vAlign w:val="center"/>
                </w:tcPr>
                <w:p w14:paraId="316043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rPr>
                    <w:t>《锅炉大气污染物排放标准》（GB13271-2014）表2标准</w:t>
                  </w:r>
                </w:p>
              </w:tc>
            </w:tr>
            <w:tr w14:paraId="5A591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53715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DA01</w:t>
                  </w:r>
                  <w:r>
                    <w:rPr>
                      <w:rFonts w:hint="eastAsia" w:cs="Times New Roman"/>
                      <w:color w:val="auto"/>
                      <w:sz w:val="18"/>
                      <w:szCs w:val="18"/>
                      <w:vertAlign w:val="baseline"/>
                      <w:lang w:val="en-US" w:eastAsia="zh-CN"/>
                    </w:rPr>
                    <w:t>3</w:t>
                  </w:r>
                </w:p>
              </w:tc>
              <w:tc>
                <w:tcPr>
                  <w:tcW w:w="972" w:type="dxa"/>
                  <w:tcBorders>
                    <w:tl2br w:val="nil"/>
                    <w:tr2bl w:val="nil"/>
                  </w:tcBorders>
                  <w:vAlign w:val="center"/>
                </w:tcPr>
                <w:p w14:paraId="0E2B8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lang w:eastAsia="zh-CN"/>
                    </w:rPr>
                  </w:pPr>
                  <w:r>
                    <w:rPr>
                      <w:rFonts w:hint="eastAsia"/>
                      <w:color w:val="auto"/>
                      <w:sz w:val="18"/>
                      <w:szCs w:val="18"/>
                    </w:rPr>
                    <w:t>红冲加热炉</w:t>
                  </w:r>
                  <w:r>
                    <w:rPr>
                      <w:rFonts w:hint="eastAsia"/>
                      <w:color w:val="auto"/>
                      <w:sz w:val="18"/>
                      <w:szCs w:val="18"/>
                      <w:lang w:val="en-US" w:eastAsia="zh-CN"/>
                    </w:rPr>
                    <w:t>废气</w:t>
                  </w:r>
                </w:p>
              </w:tc>
              <w:tc>
                <w:tcPr>
                  <w:tcW w:w="516" w:type="dxa"/>
                  <w:tcBorders>
                    <w:tl2br w:val="nil"/>
                    <w:tr2bl w:val="nil"/>
                  </w:tcBorders>
                  <w:vAlign w:val="center"/>
                </w:tcPr>
                <w:p w14:paraId="6F5022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60D6F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0.2m</w:t>
                  </w:r>
                </w:p>
              </w:tc>
              <w:tc>
                <w:tcPr>
                  <w:tcW w:w="384" w:type="dxa"/>
                  <w:tcBorders>
                    <w:tl2br w:val="nil"/>
                    <w:tr2bl w:val="nil"/>
                  </w:tcBorders>
                  <w:shd w:val="clear" w:color="auto" w:fill="auto"/>
                  <w:vAlign w:val="center"/>
                </w:tcPr>
                <w:p w14:paraId="5DBE882C">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温度</w:t>
                  </w:r>
                  <w:r>
                    <w:rPr>
                      <w:rFonts w:hint="eastAsia" w:cs="Times New Roman"/>
                      <w:color w:val="auto"/>
                      <w:sz w:val="18"/>
                      <w:szCs w:val="18"/>
                      <w:lang w:val="en-US" w:eastAsia="zh-CN"/>
                    </w:rPr>
                    <w:t>6</w:t>
                  </w:r>
                  <w:r>
                    <w:rPr>
                      <w:rFonts w:hint="default" w:ascii="Times New Roman" w:hAnsi="Times New Roman" w:cs="Times New Roman"/>
                      <w:color w:val="auto"/>
                      <w:sz w:val="18"/>
                      <w:szCs w:val="18"/>
                      <w:lang w:val="en-US" w:eastAsia="zh-CN"/>
                    </w:rPr>
                    <w:t>0℃</w:t>
                  </w:r>
                </w:p>
              </w:tc>
              <w:tc>
                <w:tcPr>
                  <w:tcW w:w="528" w:type="dxa"/>
                  <w:tcBorders>
                    <w:tl2br w:val="nil"/>
                    <w:tr2bl w:val="nil"/>
                  </w:tcBorders>
                  <w:shd w:val="clear" w:color="auto" w:fill="auto"/>
                  <w:vAlign w:val="center"/>
                </w:tcPr>
                <w:p w14:paraId="07466EFA">
                  <w:pPr>
                    <w:widowControl/>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一般排放口</w:t>
                  </w:r>
                </w:p>
              </w:tc>
              <w:tc>
                <w:tcPr>
                  <w:tcW w:w="1296" w:type="dxa"/>
                  <w:tcBorders>
                    <w:tl2br w:val="nil"/>
                    <w:tr2bl w:val="nil"/>
                  </w:tcBorders>
                  <w:vAlign w:val="center"/>
                </w:tcPr>
                <w:p w14:paraId="513EBD9D">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117°42′30.89</w:t>
                  </w:r>
                  <w:r>
                    <w:rPr>
                      <w:rFonts w:hint="eastAsia" w:ascii="Times New Roman" w:hAnsi="Times New Roman" w:eastAsia="宋体" w:cs="Times New Roman"/>
                      <w:i w:val="0"/>
                      <w:iCs w:val="0"/>
                      <w:color w:val="auto"/>
                      <w:kern w:val="0"/>
                      <w:sz w:val="18"/>
                      <w:szCs w:val="18"/>
                      <w:u w:val="none"/>
                      <w:lang w:val="en-US" w:eastAsia="zh-CN" w:bidi="ar"/>
                    </w:rPr>
                    <w:t>1</w:t>
                  </w:r>
                  <w:r>
                    <w:rPr>
                      <w:rFonts w:hint="default" w:ascii="Times New Roman" w:hAnsi="Times New Roman" w:eastAsia="宋体" w:cs="Times New Roman"/>
                      <w:i w:val="0"/>
                      <w:iCs w:val="0"/>
                      <w:color w:val="auto"/>
                      <w:kern w:val="0"/>
                      <w:sz w:val="18"/>
                      <w:szCs w:val="18"/>
                      <w:u w:val="none"/>
                      <w:lang w:val="en-US" w:eastAsia="zh-CN" w:bidi="ar"/>
                    </w:rPr>
                    <w:t>″</w:t>
                  </w:r>
                </w:p>
              </w:tc>
              <w:tc>
                <w:tcPr>
                  <w:tcW w:w="1200" w:type="dxa"/>
                  <w:tcBorders>
                    <w:tl2br w:val="nil"/>
                    <w:tr2bl w:val="nil"/>
                  </w:tcBorders>
                  <w:vAlign w:val="center"/>
                </w:tcPr>
                <w:p w14:paraId="4314F4A4">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25°42′10.75</w:t>
                  </w:r>
                  <w:r>
                    <w:rPr>
                      <w:rFonts w:hint="eastAsia" w:ascii="Times New Roman" w:hAnsi="Times New Roman" w:eastAsia="宋体" w:cs="Times New Roman"/>
                      <w:i w:val="0"/>
                      <w:iCs w:val="0"/>
                      <w:color w:val="auto"/>
                      <w:kern w:val="0"/>
                      <w:sz w:val="18"/>
                      <w:szCs w:val="18"/>
                      <w:u w:val="none"/>
                      <w:lang w:val="en-US" w:eastAsia="zh-CN" w:bidi="ar"/>
                    </w:rPr>
                    <w:t>7</w:t>
                  </w:r>
                  <w:r>
                    <w:rPr>
                      <w:rFonts w:hint="default" w:ascii="Times New Roman" w:hAnsi="Times New Roman" w:eastAsia="宋体" w:cs="Times New Roman"/>
                      <w:i w:val="0"/>
                      <w:iCs w:val="0"/>
                      <w:color w:val="auto"/>
                      <w:kern w:val="0"/>
                      <w:sz w:val="18"/>
                      <w:szCs w:val="18"/>
                      <w:u w:val="none"/>
                      <w:lang w:val="en-US" w:eastAsia="zh-CN" w:bidi="ar"/>
                    </w:rPr>
                    <w:t>″</w:t>
                  </w:r>
                </w:p>
              </w:tc>
              <w:tc>
                <w:tcPr>
                  <w:tcW w:w="2213" w:type="dxa"/>
                  <w:tcBorders>
                    <w:tl2br w:val="nil"/>
                    <w:tr2bl w:val="nil"/>
                  </w:tcBorders>
                  <w:vAlign w:val="center"/>
                </w:tcPr>
                <w:p w14:paraId="25A2BE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rPr>
                    <w:t>《福建省工业炉窑大气污染综合治理方案》中鼓励采用的排放限值</w:t>
                  </w:r>
                </w:p>
              </w:tc>
            </w:tr>
            <w:tr w14:paraId="36DDC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713" w:type="dxa"/>
                  <w:tcBorders>
                    <w:tl2br w:val="nil"/>
                    <w:tr2bl w:val="nil"/>
                  </w:tcBorders>
                  <w:vAlign w:val="center"/>
                </w:tcPr>
                <w:p w14:paraId="31D47D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DA01</w:t>
                  </w:r>
                  <w:r>
                    <w:rPr>
                      <w:rFonts w:hint="eastAsia" w:cs="Times New Roman"/>
                      <w:color w:val="auto"/>
                      <w:sz w:val="18"/>
                      <w:szCs w:val="18"/>
                      <w:vertAlign w:val="baseline"/>
                      <w:lang w:val="en-US" w:eastAsia="zh-CN"/>
                    </w:rPr>
                    <w:t>4</w:t>
                  </w:r>
                </w:p>
              </w:tc>
              <w:tc>
                <w:tcPr>
                  <w:tcW w:w="972" w:type="dxa"/>
                  <w:tcBorders>
                    <w:tl2br w:val="nil"/>
                    <w:tr2bl w:val="nil"/>
                  </w:tcBorders>
                  <w:vAlign w:val="center"/>
                </w:tcPr>
                <w:p w14:paraId="487A1C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lang w:val="en-US" w:eastAsia="zh-CN"/>
                    </w:rPr>
                  </w:pPr>
                  <w:r>
                    <w:rPr>
                      <w:rFonts w:hint="eastAsia"/>
                      <w:color w:val="auto"/>
                      <w:sz w:val="18"/>
                      <w:szCs w:val="18"/>
                      <w:lang w:eastAsia="zh-CN"/>
                    </w:rPr>
                    <w:t>红冲工件</w:t>
                  </w:r>
                  <w:r>
                    <w:rPr>
                      <w:rFonts w:hint="eastAsia"/>
                      <w:color w:val="auto"/>
                      <w:sz w:val="18"/>
                      <w:szCs w:val="18"/>
                      <w:lang w:val="en-US" w:eastAsia="zh-CN"/>
                    </w:rPr>
                    <w:t>冲压、</w:t>
                  </w:r>
                  <w:r>
                    <w:rPr>
                      <w:rFonts w:hint="eastAsia"/>
                      <w:color w:val="auto"/>
                      <w:sz w:val="18"/>
                      <w:szCs w:val="18"/>
                      <w:lang w:eastAsia="zh-CN"/>
                    </w:rPr>
                    <w:t>抛丸</w:t>
                  </w:r>
                  <w:r>
                    <w:rPr>
                      <w:rFonts w:hint="eastAsia"/>
                      <w:color w:val="auto"/>
                      <w:sz w:val="18"/>
                      <w:szCs w:val="18"/>
                      <w:lang w:val="en-US" w:eastAsia="zh-CN"/>
                    </w:rPr>
                    <w:t>废气+铝锭</w:t>
                  </w:r>
                  <w:r>
                    <w:rPr>
                      <w:rFonts w:hint="eastAsia"/>
                      <w:color w:val="auto"/>
                      <w:sz w:val="18"/>
                      <w:szCs w:val="18"/>
                    </w:rPr>
                    <w:t>熔化、压铸、打磨</w:t>
                  </w:r>
                  <w:r>
                    <w:rPr>
                      <w:rFonts w:hint="eastAsia"/>
                      <w:color w:val="auto"/>
                      <w:sz w:val="18"/>
                      <w:szCs w:val="18"/>
                      <w:lang w:val="en-US" w:eastAsia="zh-CN"/>
                    </w:rPr>
                    <w:t>废气</w:t>
                  </w:r>
                </w:p>
              </w:tc>
              <w:tc>
                <w:tcPr>
                  <w:tcW w:w="516" w:type="dxa"/>
                  <w:tcBorders>
                    <w:tl2br w:val="nil"/>
                    <w:tr2bl w:val="nil"/>
                  </w:tcBorders>
                  <w:vAlign w:val="center"/>
                </w:tcPr>
                <w:p w14:paraId="13D904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lang w:val="en-US" w:eastAsia="zh-CN"/>
                    </w:rPr>
                    <w:t>15m</w:t>
                  </w:r>
                </w:p>
              </w:tc>
              <w:tc>
                <w:tcPr>
                  <w:tcW w:w="528" w:type="dxa"/>
                  <w:tcBorders>
                    <w:tl2br w:val="nil"/>
                    <w:tr2bl w:val="nil"/>
                  </w:tcBorders>
                  <w:vAlign w:val="center"/>
                </w:tcPr>
                <w:p w14:paraId="7B1B93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w:t>
                  </w:r>
                  <w:r>
                    <w:rPr>
                      <w:rFonts w:hint="eastAsia" w:cs="Times New Roman"/>
                      <w:color w:val="auto"/>
                      <w:sz w:val="18"/>
                      <w:szCs w:val="18"/>
                      <w:vertAlign w:val="baseline"/>
                      <w:lang w:val="en-US" w:eastAsia="zh-CN"/>
                    </w:rPr>
                    <w:t>6</w:t>
                  </w:r>
                  <w:r>
                    <w:rPr>
                      <w:rFonts w:hint="eastAsia" w:ascii="Times New Roman" w:hAnsi="Times New Roman" w:eastAsia="宋体" w:cs="Times New Roman"/>
                      <w:color w:val="auto"/>
                      <w:sz w:val="18"/>
                      <w:szCs w:val="18"/>
                      <w:vertAlign w:val="baseline"/>
                      <w:lang w:val="en-US" w:eastAsia="zh-CN"/>
                    </w:rPr>
                    <w:t>m</w:t>
                  </w:r>
                </w:p>
              </w:tc>
              <w:tc>
                <w:tcPr>
                  <w:tcW w:w="384" w:type="dxa"/>
                  <w:tcBorders>
                    <w:tl2br w:val="nil"/>
                    <w:tr2bl w:val="nil"/>
                  </w:tcBorders>
                  <w:shd w:val="clear" w:color="auto" w:fill="auto"/>
                  <w:vAlign w:val="center"/>
                </w:tcPr>
                <w:p w14:paraId="64F90985">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常温</w:t>
                  </w:r>
                </w:p>
              </w:tc>
              <w:tc>
                <w:tcPr>
                  <w:tcW w:w="528" w:type="dxa"/>
                  <w:tcBorders>
                    <w:tl2br w:val="nil"/>
                    <w:tr2bl w:val="nil"/>
                  </w:tcBorders>
                  <w:shd w:val="clear" w:color="auto" w:fill="auto"/>
                  <w:vAlign w:val="center"/>
                </w:tcPr>
                <w:p w14:paraId="53A24A35">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sz w:val="18"/>
                      <w:szCs w:val="18"/>
                      <w:lang w:val="en-US" w:eastAsia="zh-CN"/>
                    </w:rPr>
                    <w:t>一般排放口</w:t>
                  </w:r>
                </w:p>
              </w:tc>
              <w:tc>
                <w:tcPr>
                  <w:tcW w:w="1296" w:type="dxa"/>
                  <w:tcBorders>
                    <w:tl2br w:val="nil"/>
                    <w:tr2bl w:val="nil"/>
                  </w:tcBorders>
                  <w:vAlign w:val="center"/>
                </w:tcPr>
                <w:p w14:paraId="232F74CB">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117°42′32.</w:t>
                  </w:r>
                  <w:r>
                    <w:rPr>
                      <w:rFonts w:hint="eastAsia" w:cs="Times New Roman"/>
                      <w:i w:val="0"/>
                      <w:iCs w:val="0"/>
                      <w:color w:val="auto"/>
                      <w:kern w:val="0"/>
                      <w:sz w:val="18"/>
                      <w:szCs w:val="18"/>
                      <w:u w:val="none"/>
                      <w:lang w:val="en-US" w:eastAsia="zh-CN" w:bidi="ar"/>
                    </w:rPr>
                    <w:t>351</w:t>
                  </w:r>
                  <w:r>
                    <w:rPr>
                      <w:rFonts w:hint="default" w:ascii="Times New Roman" w:hAnsi="Times New Roman" w:eastAsia="宋体" w:cs="Times New Roman"/>
                      <w:i w:val="0"/>
                      <w:iCs w:val="0"/>
                      <w:color w:val="auto"/>
                      <w:kern w:val="0"/>
                      <w:sz w:val="18"/>
                      <w:szCs w:val="18"/>
                      <w:u w:val="none"/>
                      <w:lang w:val="en-US" w:eastAsia="zh-CN" w:bidi="ar"/>
                    </w:rPr>
                    <w:t>″</w:t>
                  </w:r>
                </w:p>
              </w:tc>
              <w:tc>
                <w:tcPr>
                  <w:tcW w:w="1200" w:type="dxa"/>
                  <w:tcBorders>
                    <w:tl2br w:val="nil"/>
                    <w:tr2bl w:val="nil"/>
                  </w:tcBorders>
                  <w:vAlign w:val="center"/>
                </w:tcPr>
                <w:p w14:paraId="34F4209A">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25°42′11.</w:t>
                  </w:r>
                  <w:r>
                    <w:rPr>
                      <w:rFonts w:hint="eastAsia" w:cs="Times New Roman"/>
                      <w:i w:val="0"/>
                      <w:iCs w:val="0"/>
                      <w:color w:val="auto"/>
                      <w:kern w:val="0"/>
                      <w:sz w:val="18"/>
                      <w:szCs w:val="18"/>
                      <w:u w:val="none"/>
                      <w:lang w:val="en-US" w:eastAsia="zh-CN" w:bidi="ar"/>
                    </w:rPr>
                    <w:t>124</w:t>
                  </w:r>
                  <w:r>
                    <w:rPr>
                      <w:rFonts w:hint="default" w:ascii="Times New Roman" w:hAnsi="Times New Roman" w:eastAsia="宋体" w:cs="Times New Roman"/>
                      <w:i w:val="0"/>
                      <w:iCs w:val="0"/>
                      <w:color w:val="auto"/>
                      <w:kern w:val="0"/>
                      <w:sz w:val="18"/>
                      <w:szCs w:val="18"/>
                      <w:u w:val="none"/>
                      <w:lang w:val="en-US" w:eastAsia="zh-CN" w:bidi="ar"/>
                    </w:rPr>
                    <w:t>″</w:t>
                  </w:r>
                </w:p>
              </w:tc>
              <w:tc>
                <w:tcPr>
                  <w:tcW w:w="2213" w:type="dxa"/>
                  <w:tcBorders>
                    <w:tl2br w:val="nil"/>
                    <w:tr2bl w:val="nil"/>
                  </w:tcBorders>
                  <w:vAlign w:val="center"/>
                </w:tcPr>
                <w:p w14:paraId="2DCC7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rPr>
                  </w:pPr>
                  <w:r>
                    <w:rPr>
                      <w:rFonts w:hint="eastAsia" w:ascii="Times New Roman" w:hAnsi="Times New Roman" w:eastAsia="宋体" w:cs="Times New Roman"/>
                      <w:color w:val="auto"/>
                      <w:sz w:val="18"/>
                      <w:szCs w:val="18"/>
                      <w:vertAlign w:val="baseline"/>
                    </w:rPr>
                    <w:t>《铸造工业大气污染物排放标准》（GB39726-2020）表1标准</w:t>
                  </w:r>
                </w:p>
              </w:tc>
            </w:tr>
          </w:tbl>
          <w:p w14:paraId="5EB1D489">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eastAsia="黑体"/>
                <w:color w:val="auto"/>
                <w:sz w:val="24"/>
                <w:szCs w:val="24"/>
                <w:lang w:val="en-US" w:eastAsia="zh-CN"/>
              </w:rPr>
            </w:pPr>
            <w:r>
              <w:rPr>
                <w:rFonts w:hint="eastAsia"/>
                <w:color w:val="auto"/>
                <w:sz w:val="24"/>
                <w:szCs w:val="24"/>
                <w:lang w:val="en-US" w:eastAsia="zh-CN"/>
              </w:rPr>
              <w:t>1.6自行监测计划</w:t>
            </w:r>
          </w:p>
          <w:p w14:paraId="53703DDC">
            <w:pPr>
              <w:adjustRightInd w:val="0"/>
              <w:snapToGrid w:val="0"/>
              <w:spacing w:line="360" w:lineRule="auto"/>
              <w:ind w:firstLine="480" w:firstLineChars="200"/>
              <w:rPr>
                <w:color w:val="auto"/>
                <w:sz w:val="24"/>
                <w:szCs w:val="24"/>
              </w:rPr>
            </w:pPr>
            <w:r>
              <w:rPr>
                <w:rFonts w:hint="eastAsia"/>
                <w:color w:val="auto"/>
                <w:sz w:val="24"/>
                <w:szCs w:val="24"/>
              </w:rPr>
              <w:t>根据《排污单位自行监测技术指南 总则》（HJ 819-2017）</w:t>
            </w:r>
            <w:r>
              <w:rPr>
                <w:rFonts w:hint="eastAsia"/>
                <w:color w:val="auto"/>
                <w:sz w:val="24"/>
                <w:szCs w:val="24"/>
                <w:lang w:eastAsia="zh-CN"/>
              </w:rPr>
              <w:t>、《排污许可证申请与核发技术规范 金属铸造工业》（HJ1115-2020）、《排污许可证申请与核发技术规范 橡胶和塑料制品工业》（HJ1122-2020）、《排污许可证申请与核发技术规范</w:t>
            </w:r>
            <w:r>
              <w:rPr>
                <w:rFonts w:hint="eastAsia"/>
                <w:color w:val="auto"/>
                <w:sz w:val="24"/>
                <w:szCs w:val="24"/>
                <w:lang w:val="en-US" w:eastAsia="zh-CN"/>
              </w:rPr>
              <w:t xml:space="preserve"> </w:t>
            </w:r>
            <w:r>
              <w:rPr>
                <w:rFonts w:hint="eastAsia"/>
                <w:color w:val="auto"/>
                <w:sz w:val="24"/>
                <w:szCs w:val="24"/>
                <w:lang w:eastAsia="zh-CN"/>
              </w:rPr>
              <w:t>工业炉窑》（HJ1121</w:t>
            </w:r>
            <w:r>
              <w:rPr>
                <w:rFonts w:hint="eastAsia"/>
                <w:color w:val="auto"/>
                <w:sz w:val="24"/>
                <w:szCs w:val="24"/>
                <w:lang w:val="en-US" w:eastAsia="zh-CN"/>
              </w:rPr>
              <w:t>-</w:t>
            </w:r>
            <w:r>
              <w:rPr>
                <w:rFonts w:hint="eastAsia"/>
                <w:color w:val="auto"/>
                <w:sz w:val="24"/>
                <w:szCs w:val="24"/>
                <w:lang w:eastAsia="zh-CN"/>
              </w:rPr>
              <w:t>2020）、</w:t>
            </w:r>
            <w:r>
              <w:rPr>
                <w:rFonts w:hint="eastAsia"/>
                <w:color w:val="auto"/>
                <w:sz w:val="24"/>
                <w:szCs w:val="24"/>
              </w:rPr>
              <w:t xml:space="preserve">《排污单位自行监测技术指南 </w:t>
            </w:r>
            <w:r>
              <w:rPr>
                <w:rFonts w:hint="eastAsia"/>
                <w:color w:val="auto"/>
                <w:sz w:val="24"/>
                <w:szCs w:val="24"/>
                <w:lang w:val="en-US" w:eastAsia="zh-CN"/>
              </w:rPr>
              <w:t>金属铸造工业</w:t>
            </w:r>
            <w:r>
              <w:rPr>
                <w:rFonts w:hint="eastAsia"/>
                <w:color w:val="auto"/>
                <w:sz w:val="24"/>
                <w:szCs w:val="24"/>
              </w:rPr>
              <w:t>》（HJ1</w:t>
            </w:r>
            <w:r>
              <w:rPr>
                <w:rFonts w:hint="eastAsia"/>
                <w:color w:val="auto"/>
                <w:sz w:val="24"/>
                <w:szCs w:val="24"/>
                <w:lang w:val="en-US" w:eastAsia="zh-CN"/>
              </w:rPr>
              <w:t>251</w:t>
            </w:r>
            <w:r>
              <w:rPr>
                <w:rFonts w:hint="eastAsia"/>
                <w:color w:val="auto"/>
                <w:sz w:val="24"/>
                <w:szCs w:val="24"/>
              </w:rPr>
              <w:t>-202</w:t>
            </w:r>
            <w:r>
              <w:rPr>
                <w:rFonts w:hint="eastAsia"/>
                <w:color w:val="auto"/>
                <w:sz w:val="24"/>
                <w:szCs w:val="24"/>
                <w:lang w:val="en-US" w:eastAsia="zh-CN"/>
              </w:rPr>
              <w:t>2</w:t>
            </w:r>
            <w:r>
              <w:rPr>
                <w:rFonts w:hint="eastAsia"/>
                <w:color w:val="auto"/>
                <w:sz w:val="24"/>
                <w:szCs w:val="24"/>
              </w:rPr>
              <w:t>）</w:t>
            </w:r>
            <w:r>
              <w:rPr>
                <w:rFonts w:hint="eastAsia"/>
                <w:color w:val="auto"/>
                <w:sz w:val="24"/>
                <w:szCs w:val="24"/>
                <w:lang w:eastAsia="zh-CN"/>
              </w:rPr>
              <w:t>、《排污单位自行监测技术指南</w:t>
            </w:r>
            <w:r>
              <w:rPr>
                <w:rFonts w:hint="eastAsia"/>
                <w:color w:val="auto"/>
                <w:sz w:val="24"/>
                <w:szCs w:val="24"/>
                <w:lang w:val="en-US" w:eastAsia="zh-CN"/>
              </w:rPr>
              <w:t xml:space="preserve"> </w:t>
            </w:r>
            <w:r>
              <w:rPr>
                <w:rFonts w:hint="eastAsia"/>
                <w:color w:val="auto"/>
                <w:sz w:val="24"/>
                <w:szCs w:val="24"/>
                <w:lang w:eastAsia="zh-CN"/>
              </w:rPr>
              <w:t>涂装》（HJ1086-2020）</w:t>
            </w:r>
            <w:r>
              <w:rPr>
                <w:rFonts w:hint="eastAsia"/>
                <w:color w:val="auto"/>
                <w:sz w:val="24"/>
                <w:szCs w:val="24"/>
              </w:rPr>
              <w:t>，制定本项目运营期废气监测计划，详见下表。</w:t>
            </w:r>
          </w:p>
          <w:p w14:paraId="1402100B">
            <w:pPr>
              <w:pStyle w:val="76"/>
              <w:rPr>
                <w:rFonts w:hint="eastAsia"/>
                <w:color w:val="auto"/>
                <w:sz w:val="24"/>
                <w:szCs w:val="24"/>
              </w:rPr>
            </w:pPr>
            <w:r>
              <w:rPr>
                <w:rFonts w:hint="eastAsia"/>
                <w:color w:val="auto"/>
                <w:sz w:val="24"/>
                <w:szCs w:val="24"/>
              </w:rPr>
              <w:t>表4-</w:t>
            </w:r>
            <w:r>
              <w:rPr>
                <w:rFonts w:hint="eastAsia"/>
                <w:color w:val="auto"/>
                <w:sz w:val="24"/>
                <w:szCs w:val="24"/>
                <w:lang w:val="en-US" w:eastAsia="zh-CN"/>
              </w:rPr>
              <w:t>32</w:t>
            </w:r>
            <w:r>
              <w:rPr>
                <w:color w:val="auto"/>
                <w:sz w:val="24"/>
                <w:szCs w:val="24"/>
              </w:rPr>
              <w:t xml:space="preserve">  </w:t>
            </w:r>
            <w:r>
              <w:rPr>
                <w:rFonts w:hint="eastAsia"/>
                <w:color w:val="auto"/>
                <w:sz w:val="24"/>
                <w:szCs w:val="24"/>
              </w:rPr>
              <w:t>运营期废气监测计划</w:t>
            </w:r>
          </w:p>
          <w:tbl>
            <w:tblPr>
              <w:tblStyle w:val="29"/>
              <w:tblW w:w="838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04"/>
              <w:gridCol w:w="1395"/>
              <w:gridCol w:w="3066"/>
              <w:gridCol w:w="1217"/>
            </w:tblGrid>
            <w:tr w14:paraId="19348A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left w:val="nil"/>
                    <w:bottom w:val="single" w:color="000000" w:sz="4" w:space="0"/>
                    <w:right w:val="single" w:color="000000" w:sz="4" w:space="0"/>
                  </w:tcBorders>
                  <w:vAlign w:val="center"/>
                </w:tcPr>
                <w:p w14:paraId="04E9E7D6">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b/>
                      <w:bCs/>
                      <w:color w:val="auto"/>
                      <w:sz w:val="18"/>
                      <w:szCs w:val="18"/>
                    </w:rPr>
                  </w:pPr>
                  <w:r>
                    <w:rPr>
                      <w:b/>
                      <w:bCs/>
                      <w:color w:val="auto"/>
                      <w:sz w:val="18"/>
                      <w:szCs w:val="18"/>
                    </w:rPr>
                    <w:t>废气名称</w:t>
                  </w:r>
                </w:p>
              </w:tc>
              <w:tc>
                <w:tcPr>
                  <w:tcW w:w="1395" w:type="dxa"/>
                  <w:tcBorders>
                    <w:left w:val="single" w:color="000000" w:sz="4" w:space="0"/>
                    <w:bottom w:val="single" w:color="000000" w:sz="4" w:space="0"/>
                    <w:right w:val="single" w:color="000000" w:sz="4" w:space="0"/>
                  </w:tcBorders>
                  <w:vAlign w:val="center"/>
                </w:tcPr>
                <w:p w14:paraId="4A5467A4">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监测点位</w:t>
                  </w:r>
                </w:p>
              </w:tc>
              <w:tc>
                <w:tcPr>
                  <w:tcW w:w="3066" w:type="dxa"/>
                  <w:tcBorders>
                    <w:left w:val="single" w:color="000000" w:sz="4" w:space="0"/>
                    <w:bottom w:val="single" w:color="000000" w:sz="4" w:space="0"/>
                    <w:right w:val="single" w:color="000000" w:sz="4" w:space="0"/>
                  </w:tcBorders>
                  <w:shd w:val="clear" w:color="auto" w:fill="auto"/>
                  <w:vAlign w:val="center"/>
                </w:tcPr>
                <w:p w14:paraId="3B51068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eastAsia="宋体"/>
                      <w:b/>
                      <w:bCs/>
                      <w:color w:val="auto"/>
                      <w:sz w:val="18"/>
                      <w:szCs w:val="18"/>
                      <w:lang w:val="en-US" w:eastAsia="zh-CN"/>
                    </w:rPr>
                    <w:t>检测指标</w:t>
                  </w:r>
                </w:p>
              </w:tc>
              <w:tc>
                <w:tcPr>
                  <w:tcW w:w="1217" w:type="dxa"/>
                  <w:tcBorders>
                    <w:left w:val="single" w:color="000000" w:sz="4" w:space="0"/>
                    <w:bottom w:val="single" w:color="000000" w:sz="4" w:space="0"/>
                    <w:right w:val="nil"/>
                  </w:tcBorders>
                  <w:vAlign w:val="center"/>
                </w:tcPr>
                <w:p w14:paraId="76794685">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检测频次</w:t>
                  </w:r>
                </w:p>
              </w:tc>
            </w:tr>
            <w:tr w14:paraId="3BFEEC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5894FC42">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rPr>
                    <w:t>金属熔化、熔模浇注、粘土砂浇注废气</w:t>
                  </w:r>
                </w:p>
              </w:tc>
              <w:tc>
                <w:tcPr>
                  <w:tcW w:w="1395" w:type="dxa"/>
                  <w:tcBorders>
                    <w:top w:val="single" w:color="000000" w:sz="4" w:space="0"/>
                    <w:left w:val="single" w:color="000000" w:sz="4" w:space="0"/>
                    <w:bottom w:val="single" w:color="000000" w:sz="4" w:space="0"/>
                    <w:right w:val="single" w:color="000000" w:sz="4" w:space="0"/>
                  </w:tcBorders>
                  <w:vAlign w:val="center"/>
                </w:tcPr>
                <w:p w14:paraId="677DC6D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DA001出口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F3D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颗粒物</w:t>
                  </w:r>
                </w:p>
              </w:tc>
              <w:tc>
                <w:tcPr>
                  <w:tcW w:w="1217" w:type="dxa"/>
                  <w:tcBorders>
                    <w:top w:val="single" w:color="000000" w:sz="4" w:space="0"/>
                    <w:left w:val="single" w:color="000000" w:sz="4" w:space="0"/>
                    <w:bottom w:val="single" w:color="000000" w:sz="4" w:space="0"/>
                    <w:right w:val="nil"/>
                  </w:tcBorders>
                  <w:vAlign w:val="center"/>
                </w:tcPr>
                <w:p w14:paraId="4D21D202">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6A9209A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3749A15A">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sz w:val="18"/>
                      <w:szCs w:val="18"/>
                      <w:lang w:val="en-US" w:eastAsia="zh-CN"/>
                    </w:rPr>
                    <w:t>制芯、树脂砂造型及浇注</w:t>
                  </w:r>
                  <w:r>
                    <w:rPr>
                      <w:rFonts w:hint="eastAsia" w:ascii="宋体" w:hAnsi="宋体" w:cs="宋体"/>
                      <w:color w:val="auto"/>
                      <w:kern w:val="0"/>
                      <w:sz w:val="18"/>
                      <w:szCs w:val="18"/>
                      <w:lang w:val="en-US" w:eastAsia="zh-CN" w:bidi="ar"/>
                    </w:rPr>
                    <w:t>废气</w:t>
                  </w:r>
                </w:p>
              </w:tc>
              <w:tc>
                <w:tcPr>
                  <w:tcW w:w="1395" w:type="dxa"/>
                  <w:tcBorders>
                    <w:top w:val="single" w:color="000000" w:sz="4" w:space="0"/>
                    <w:left w:val="single" w:color="000000" w:sz="4" w:space="0"/>
                    <w:bottom w:val="single" w:color="000000" w:sz="4" w:space="0"/>
                    <w:right w:val="single" w:color="000000" w:sz="4" w:space="0"/>
                  </w:tcBorders>
                  <w:vAlign w:val="center"/>
                </w:tcPr>
                <w:p w14:paraId="538FB62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DA002出口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88A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olor w:val="auto"/>
                      <w:spacing w:val="-1"/>
                      <w:sz w:val="18"/>
                      <w:szCs w:val="18"/>
                      <w:lang w:val="en-US" w:eastAsia="zh-CN"/>
                    </w:rPr>
                    <w:t>颗粒物、非甲烷总烃、甲醛</w:t>
                  </w:r>
                  <w:r>
                    <w:rPr>
                      <w:rFonts w:hint="eastAsia"/>
                      <w:color w:val="auto"/>
                      <w:spacing w:val="-1"/>
                      <w:sz w:val="18"/>
                      <w:szCs w:val="18"/>
                      <w:lang w:val="en-US" w:eastAsia="zh-CN"/>
                    </w:rPr>
                    <w:t>、臭气浓度</w:t>
                  </w:r>
                </w:p>
              </w:tc>
              <w:tc>
                <w:tcPr>
                  <w:tcW w:w="1217" w:type="dxa"/>
                  <w:tcBorders>
                    <w:top w:val="single" w:color="000000" w:sz="4" w:space="0"/>
                    <w:left w:val="single" w:color="000000" w:sz="4" w:space="0"/>
                    <w:bottom w:val="single" w:color="000000" w:sz="4" w:space="0"/>
                    <w:right w:val="nil"/>
                  </w:tcBorders>
                  <w:vAlign w:val="center"/>
                </w:tcPr>
                <w:p w14:paraId="5DDE9AA9">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25ED6D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5986B69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蜡模组树废气</w:t>
                  </w:r>
                </w:p>
              </w:tc>
              <w:tc>
                <w:tcPr>
                  <w:tcW w:w="1395" w:type="dxa"/>
                  <w:tcBorders>
                    <w:top w:val="single" w:color="000000" w:sz="4" w:space="0"/>
                    <w:left w:val="single" w:color="000000" w:sz="4" w:space="0"/>
                    <w:bottom w:val="single" w:color="000000" w:sz="4" w:space="0"/>
                    <w:right w:val="single" w:color="000000" w:sz="4" w:space="0"/>
                  </w:tcBorders>
                  <w:vAlign w:val="center"/>
                </w:tcPr>
                <w:p w14:paraId="160C9B2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DA003出口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1BD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eastAsia="宋体"/>
                      <w:color w:val="auto"/>
                      <w:spacing w:val="-1"/>
                      <w:sz w:val="18"/>
                      <w:szCs w:val="18"/>
                      <w:lang w:val="en-US" w:eastAsia="zh-CN"/>
                    </w:rPr>
                    <w:t>非甲烷总烃</w:t>
                  </w:r>
                  <w:r>
                    <w:rPr>
                      <w:rFonts w:hint="eastAsia"/>
                      <w:color w:val="auto"/>
                      <w:spacing w:val="-1"/>
                      <w:sz w:val="18"/>
                      <w:szCs w:val="18"/>
                      <w:lang w:val="en-US" w:eastAsia="zh-CN"/>
                    </w:rPr>
                    <w:t>、臭气浓度</w:t>
                  </w:r>
                </w:p>
              </w:tc>
              <w:tc>
                <w:tcPr>
                  <w:tcW w:w="1217" w:type="dxa"/>
                  <w:tcBorders>
                    <w:top w:val="single" w:color="000000" w:sz="4" w:space="0"/>
                    <w:left w:val="single" w:color="000000" w:sz="4" w:space="0"/>
                    <w:bottom w:val="single" w:color="000000" w:sz="4" w:space="0"/>
                    <w:right w:val="nil"/>
                  </w:tcBorders>
                  <w:vAlign w:val="center"/>
                </w:tcPr>
                <w:p w14:paraId="36D1C7B6">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6A1470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5AF4482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脱蜡、型壳焙烧废气</w:t>
                  </w:r>
                </w:p>
              </w:tc>
              <w:tc>
                <w:tcPr>
                  <w:tcW w:w="1395" w:type="dxa"/>
                  <w:tcBorders>
                    <w:top w:val="single" w:color="000000" w:sz="4" w:space="0"/>
                    <w:left w:val="single" w:color="000000" w:sz="4" w:space="0"/>
                    <w:bottom w:val="single" w:color="000000" w:sz="4" w:space="0"/>
                    <w:right w:val="single" w:color="000000" w:sz="4" w:space="0"/>
                  </w:tcBorders>
                  <w:vAlign w:val="center"/>
                </w:tcPr>
                <w:p w14:paraId="2E295F1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DA004出口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5A8D">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eastAsia="宋体"/>
                      <w:color w:val="auto"/>
                      <w:spacing w:val="-1"/>
                      <w:sz w:val="18"/>
                      <w:szCs w:val="18"/>
                      <w:lang w:val="en-US" w:eastAsia="zh-CN"/>
                    </w:rPr>
                    <w:t>非甲烷总烃</w:t>
                  </w:r>
                  <w:r>
                    <w:rPr>
                      <w:rFonts w:hint="eastAsia"/>
                      <w:color w:val="auto"/>
                      <w:spacing w:val="-1"/>
                      <w:sz w:val="18"/>
                      <w:szCs w:val="18"/>
                      <w:lang w:val="en-US" w:eastAsia="zh-CN"/>
                    </w:rPr>
                    <w:t>、</w:t>
                  </w:r>
                  <w:r>
                    <w:rPr>
                      <w:rFonts w:hint="eastAsia"/>
                      <w:color w:val="auto"/>
                      <w:sz w:val="18"/>
                      <w:szCs w:val="18"/>
                      <w:lang w:val="en-US" w:eastAsia="zh-CN"/>
                    </w:rPr>
                    <w:t>颗粒物、氮氧化物、二氧化硫</w:t>
                  </w:r>
                </w:p>
              </w:tc>
              <w:tc>
                <w:tcPr>
                  <w:tcW w:w="1217" w:type="dxa"/>
                  <w:tcBorders>
                    <w:top w:val="single" w:color="000000" w:sz="4" w:space="0"/>
                    <w:left w:val="single" w:color="000000" w:sz="4" w:space="0"/>
                    <w:bottom w:val="single" w:color="000000" w:sz="4" w:space="0"/>
                    <w:right w:val="nil"/>
                  </w:tcBorders>
                  <w:vAlign w:val="center"/>
                </w:tcPr>
                <w:p w14:paraId="3ACC2A9A">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2AE752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67226DE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18"/>
                      <w:szCs w:val="18"/>
                      <w:lang w:val="en-US"/>
                    </w:rPr>
                  </w:pPr>
                  <w:r>
                    <w:rPr>
                      <w:rFonts w:hint="eastAsia" w:ascii="宋体" w:hAnsi="宋体" w:cs="宋体"/>
                      <w:color w:val="auto"/>
                      <w:kern w:val="0"/>
                      <w:sz w:val="18"/>
                      <w:szCs w:val="18"/>
                      <w:lang w:val="en-US" w:eastAsia="zh-CN" w:bidi="ar"/>
                    </w:rPr>
                    <w:t>落砂、砂再生废气及粘土砂造型废气</w:t>
                  </w:r>
                </w:p>
              </w:tc>
              <w:tc>
                <w:tcPr>
                  <w:tcW w:w="1395" w:type="dxa"/>
                  <w:tcBorders>
                    <w:top w:val="single" w:color="000000" w:sz="4" w:space="0"/>
                    <w:left w:val="single" w:color="000000" w:sz="4" w:space="0"/>
                    <w:bottom w:val="single" w:color="000000" w:sz="4" w:space="0"/>
                    <w:right w:val="single" w:color="000000" w:sz="4" w:space="0"/>
                  </w:tcBorders>
                  <w:vAlign w:val="center"/>
                </w:tcPr>
                <w:p w14:paraId="74CDC00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DA005出口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540E">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颗粒物</w:t>
                  </w:r>
                </w:p>
              </w:tc>
              <w:tc>
                <w:tcPr>
                  <w:tcW w:w="1217" w:type="dxa"/>
                  <w:tcBorders>
                    <w:top w:val="single" w:color="000000" w:sz="4" w:space="0"/>
                    <w:left w:val="single" w:color="000000" w:sz="4" w:space="0"/>
                    <w:bottom w:val="single" w:color="000000" w:sz="4" w:space="0"/>
                    <w:right w:val="nil"/>
                  </w:tcBorders>
                  <w:vAlign w:val="center"/>
                </w:tcPr>
                <w:p w14:paraId="5F9BBBFF">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0D60A4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0BB9D26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18"/>
                      <w:szCs w:val="18"/>
                      <w:lang w:val="en-US"/>
                    </w:rPr>
                  </w:pPr>
                  <w:r>
                    <w:rPr>
                      <w:rFonts w:hint="eastAsia" w:ascii="宋体" w:hAnsi="宋体" w:cs="宋体"/>
                      <w:color w:val="auto"/>
                      <w:kern w:val="0"/>
                      <w:sz w:val="18"/>
                      <w:szCs w:val="18"/>
                      <w:lang w:val="en-US" w:eastAsia="zh-CN" w:bidi="ar"/>
                    </w:rPr>
                    <w:t>铸件抛丸清理、二次抛丸废气</w:t>
                  </w:r>
                </w:p>
              </w:tc>
              <w:tc>
                <w:tcPr>
                  <w:tcW w:w="1395" w:type="dxa"/>
                  <w:tcBorders>
                    <w:top w:val="single" w:color="000000" w:sz="4" w:space="0"/>
                    <w:left w:val="single" w:color="000000" w:sz="4" w:space="0"/>
                    <w:bottom w:val="single" w:color="000000" w:sz="4" w:space="0"/>
                    <w:right w:val="single" w:color="000000" w:sz="4" w:space="0"/>
                  </w:tcBorders>
                  <w:vAlign w:val="center"/>
                </w:tcPr>
                <w:p w14:paraId="702817FA">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lang w:val="en-US" w:eastAsia="zh-CN"/>
                    </w:rPr>
                    <w:t>DA006出口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CD85">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颗粒物</w:t>
                  </w:r>
                </w:p>
              </w:tc>
              <w:tc>
                <w:tcPr>
                  <w:tcW w:w="1217" w:type="dxa"/>
                  <w:tcBorders>
                    <w:top w:val="single" w:color="000000" w:sz="4" w:space="0"/>
                    <w:left w:val="single" w:color="000000" w:sz="4" w:space="0"/>
                    <w:bottom w:val="single" w:color="000000" w:sz="4" w:space="0"/>
                    <w:right w:val="nil"/>
                  </w:tcBorders>
                  <w:vAlign w:val="center"/>
                </w:tcPr>
                <w:p w14:paraId="1087633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790CA4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520964EF">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熔模铸件退火废气</w:t>
                  </w:r>
                </w:p>
              </w:tc>
              <w:tc>
                <w:tcPr>
                  <w:tcW w:w="1395" w:type="dxa"/>
                  <w:tcBorders>
                    <w:top w:val="single" w:color="000000" w:sz="4" w:space="0"/>
                    <w:left w:val="single" w:color="000000" w:sz="4" w:space="0"/>
                    <w:bottom w:val="single" w:color="000000" w:sz="4" w:space="0"/>
                    <w:right w:val="single" w:color="000000" w:sz="4" w:space="0"/>
                  </w:tcBorders>
                  <w:vAlign w:val="center"/>
                </w:tcPr>
                <w:p w14:paraId="47586B0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color w:val="auto"/>
                      <w:sz w:val="18"/>
                      <w:szCs w:val="18"/>
                      <w:lang w:val="en-US" w:eastAsia="zh-CN"/>
                    </w:rPr>
                  </w:pPr>
                  <w:r>
                    <w:rPr>
                      <w:rFonts w:hint="eastAsia"/>
                      <w:color w:val="auto"/>
                      <w:sz w:val="18"/>
                      <w:szCs w:val="18"/>
                      <w:lang w:val="en-US" w:eastAsia="zh-CN"/>
                    </w:rPr>
                    <w:t>DA007出口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4DF7">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eastAsia="宋体"/>
                      <w:color w:val="auto"/>
                      <w:sz w:val="18"/>
                      <w:szCs w:val="18"/>
                      <w:lang w:val="en-US" w:eastAsia="zh-CN"/>
                    </w:rPr>
                  </w:pPr>
                  <w:r>
                    <w:rPr>
                      <w:rFonts w:hint="eastAsia"/>
                      <w:color w:val="auto"/>
                      <w:sz w:val="18"/>
                      <w:szCs w:val="18"/>
                      <w:lang w:val="en-US" w:eastAsia="zh-CN"/>
                    </w:rPr>
                    <w:t>颗粒物、氮氧化物、二氧化硫</w:t>
                  </w:r>
                </w:p>
              </w:tc>
              <w:tc>
                <w:tcPr>
                  <w:tcW w:w="1217" w:type="dxa"/>
                  <w:tcBorders>
                    <w:top w:val="single" w:color="000000" w:sz="4" w:space="0"/>
                    <w:left w:val="single" w:color="000000" w:sz="4" w:space="0"/>
                    <w:bottom w:val="single" w:color="000000" w:sz="4" w:space="0"/>
                    <w:right w:val="nil"/>
                  </w:tcBorders>
                  <w:vAlign w:val="center"/>
                </w:tcPr>
                <w:p w14:paraId="01352987">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w w:val="100"/>
                      <w:sz w:val="18"/>
                      <w:szCs w:val="18"/>
                    </w:rPr>
                  </w:pPr>
                  <w:r>
                    <w:rPr>
                      <w:rFonts w:hint="eastAsia"/>
                      <w:color w:val="auto"/>
                      <w:sz w:val="18"/>
                      <w:szCs w:val="18"/>
                      <w:vertAlign w:val="baseline"/>
                      <w:lang w:val="en-US" w:eastAsia="zh-CN"/>
                    </w:rPr>
                    <w:t>1次/年</w:t>
                  </w:r>
                </w:p>
              </w:tc>
            </w:tr>
            <w:tr w14:paraId="513AED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70245DA9">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喷粉废气</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6E2F">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DA008出口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582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颗粒物</w:t>
                  </w:r>
                </w:p>
              </w:tc>
              <w:tc>
                <w:tcPr>
                  <w:tcW w:w="1217" w:type="dxa"/>
                  <w:tcBorders>
                    <w:top w:val="single" w:color="000000" w:sz="4" w:space="0"/>
                    <w:left w:val="single" w:color="000000" w:sz="4" w:space="0"/>
                    <w:bottom w:val="single" w:color="000000" w:sz="4" w:space="0"/>
                    <w:right w:val="nil"/>
                  </w:tcBorders>
                  <w:vAlign w:val="center"/>
                </w:tcPr>
                <w:p w14:paraId="21C44409">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099F26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64C28D31">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喷粉固化废气</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625E">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DA009出口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BC5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非甲烷总烃、颗粒物、二氧化硫、氮氧化物</w:t>
                  </w:r>
                </w:p>
              </w:tc>
              <w:tc>
                <w:tcPr>
                  <w:tcW w:w="1217" w:type="dxa"/>
                  <w:tcBorders>
                    <w:top w:val="single" w:color="000000" w:sz="4" w:space="0"/>
                    <w:left w:val="single" w:color="000000" w:sz="4" w:space="0"/>
                    <w:bottom w:val="single" w:color="000000" w:sz="4" w:space="0"/>
                    <w:right w:val="nil"/>
                  </w:tcBorders>
                  <w:vAlign w:val="center"/>
                </w:tcPr>
                <w:p w14:paraId="0EA3A2A0">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26D109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2277BA04">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ascii="宋体" w:hAnsi="宋体" w:cs="宋体"/>
                      <w:color w:val="auto"/>
                      <w:kern w:val="0"/>
                      <w:sz w:val="18"/>
                      <w:szCs w:val="18"/>
                      <w:lang w:val="en-US" w:eastAsia="zh-CN" w:bidi="ar"/>
                    </w:rPr>
                    <w:t>投料、拌料废气</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C4C6">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DA0010出口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CDF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w:t>
                  </w:r>
                </w:p>
              </w:tc>
              <w:tc>
                <w:tcPr>
                  <w:tcW w:w="1217" w:type="dxa"/>
                  <w:tcBorders>
                    <w:top w:val="single" w:color="000000" w:sz="4" w:space="0"/>
                    <w:left w:val="single" w:color="000000" w:sz="4" w:space="0"/>
                    <w:bottom w:val="single" w:color="000000" w:sz="4" w:space="0"/>
                    <w:right w:val="nil"/>
                  </w:tcBorders>
                  <w:vAlign w:val="center"/>
                </w:tcPr>
                <w:p w14:paraId="2A330B1F">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650187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shd w:val="clear" w:color="auto" w:fill="auto"/>
                  <w:vAlign w:val="center"/>
                </w:tcPr>
                <w:p w14:paraId="31572265">
                  <w:pPr>
                    <w:widowControl/>
                    <w:jc w:val="center"/>
                    <w:textAlignment w:val="center"/>
                    <w:rPr>
                      <w:rFonts w:hint="default"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造粒、挤出、挤管废气</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DEB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DA011出口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99B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非甲烷总烃、臭气浓度</w:t>
                  </w:r>
                </w:p>
              </w:tc>
              <w:tc>
                <w:tcPr>
                  <w:tcW w:w="1217" w:type="dxa"/>
                  <w:tcBorders>
                    <w:top w:val="single" w:color="000000" w:sz="4" w:space="0"/>
                    <w:left w:val="single" w:color="000000" w:sz="4" w:space="0"/>
                    <w:bottom w:val="single" w:color="000000" w:sz="4" w:space="0"/>
                    <w:right w:val="nil"/>
                  </w:tcBorders>
                  <w:vAlign w:val="center"/>
                </w:tcPr>
                <w:p w14:paraId="012884D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18"/>
                      <w:szCs w:val="18"/>
                    </w:rPr>
                  </w:pPr>
                  <w:r>
                    <w:rPr>
                      <w:rFonts w:hint="eastAsia"/>
                      <w:color w:val="auto"/>
                      <w:sz w:val="18"/>
                      <w:szCs w:val="18"/>
                      <w:vertAlign w:val="baseline"/>
                      <w:lang w:val="en-US" w:eastAsia="zh-CN"/>
                    </w:rPr>
                    <w:t>1次/年</w:t>
                  </w:r>
                </w:p>
              </w:tc>
            </w:tr>
            <w:tr w14:paraId="1CD6C7C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shd w:val="clear" w:color="auto" w:fill="auto"/>
                  <w:vAlign w:val="center"/>
                </w:tcPr>
                <w:p w14:paraId="3D8FF1AF">
                  <w:pPr>
                    <w:widowControl/>
                    <w:jc w:val="center"/>
                    <w:textAlignment w:val="center"/>
                    <w:rPr>
                      <w:rFonts w:hint="default" w:ascii="宋体" w:hAnsi="宋体" w:cs="宋体"/>
                      <w:color w:val="auto"/>
                      <w:kern w:val="0"/>
                      <w:sz w:val="18"/>
                      <w:szCs w:val="18"/>
                      <w:lang w:val="en-US" w:eastAsia="zh-CN" w:bidi="ar"/>
                    </w:rPr>
                  </w:pPr>
                  <w:r>
                    <w:rPr>
                      <w:rFonts w:hint="eastAsia" w:ascii="宋体" w:hAnsi="宋体" w:cs="宋体"/>
                      <w:color w:val="auto"/>
                      <w:kern w:val="0"/>
                      <w:sz w:val="18"/>
                      <w:szCs w:val="18"/>
                      <w:lang w:val="en-US" w:eastAsia="zh-CN" w:bidi="ar"/>
                    </w:rPr>
                    <w:t>锅炉废气</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133C">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DA012出口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6040">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color w:val="auto"/>
                      <w:sz w:val="18"/>
                      <w:szCs w:val="18"/>
                    </w:rPr>
                  </w:pPr>
                  <w:r>
                    <w:rPr>
                      <w:rFonts w:hint="eastAsia"/>
                      <w:color w:val="auto"/>
                      <w:sz w:val="18"/>
                      <w:szCs w:val="18"/>
                      <w:lang w:val="en-US" w:eastAsia="zh-CN"/>
                    </w:rPr>
                    <w:t>颗粒物、二氧化硫、氮氧化物、</w:t>
                  </w:r>
                  <w:r>
                    <w:rPr>
                      <w:rFonts w:hint="eastAsia"/>
                      <w:color w:val="auto"/>
                      <w:sz w:val="18"/>
                      <w:szCs w:val="18"/>
                      <w:highlight w:val="none"/>
                      <w:vertAlign w:val="baseline"/>
                      <w:lang w:val="en-US" w:eastAsia="zh-CN"/>
                    </w:rPr>
                    <w:t>烟气黑度</w:t>
                  </w:r>
                </w:p>
              </w:tc>
              <w:tc>
                <w:tcPr>
                  <w:tcW w:w="1217" w:type="dxa"/>
                  <w:tcBorders>
                    <w:top w:val="single" w:color="000000" w:sz="4" w:space="0"/>
                    <w:left w:val="single" w:color="000000" w:sz="4" w:space="0"/>
                    <w:bottom w:val="single" w:color="000000" w:sz="4" w:space="0"/>
                    <w:right w:val="nil"/>
                  </w:tcBorders>
                  <w:vAlign w:val="center"/>
                </w:tcPr>
                <w:p w14:paraId="6C083EAD">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w w:val="100"/>
                      <w:sz w:val="18"/>
                      <w:szCs w:val="18"/>
                    </w:rPr>
                  </w:pPr>
                  <w:r>
                    <w:rPr>
                      <w:rFonts w:hint="eastAsia"/>
                      <w:color w:val="auto"/>
                      <w:sz w:val="18"/>
                      <w:szCs w:val="18"/>
                      <w:vertAlign w:val="baseline"/>
                      <w:lang w:val="en-US" w:eastAsia="zh-CN"/>
                    </w:rPr>
                    <w:t>1次/年</w:t>
                  </w:r>
                </w:p>
              </w:tc>
            </w:tr>
            <w:tr w14:paraId="723B41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057B12E3">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18"/>
                      <w:szCs w:val="18"/>
                      <w:lang w:val="en-US"/>
                    </w:rPr>
                  </w:pPr>
                  <w:r>
                    <w:rPr>
                      <w:rFonts w:hint="eastAsia" w:ascii="宋体" w:hAnsi="宋体" w:cs="宋体"/>
                      <w:color w:val="auto"/>
                      <w:kern w:val="0"/>
                      <w:sz w:val="18"/>
                      <w:szCs w:val="18"/>
                      <w:lang w:val="en-US" w:eastAsia="zh-CN" w:bidi="ar"/>
                    </w:rPr>
                    <w:t>红冲加热炉废气</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DE1E">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DA013出口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806B">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颗粒物、二氧化硫、氮氧化物、林格曼黑度</w:t>
                  </w:r>
                </w:p>
              </w:tc>
              <w:tc>
                <w:tcPr>
                  <w:tcW w:w="1217" w:type="dxa"/>
                  <w:tcBorders>
                    <w:top w:val="single" w:color="000000" w:sz="4" w:space="0"/>
                    <w:left w:val="single" w:color="000000" w:sz="4" w:space="0"/>
                    <w:bottom w:val="single" w:color="000000" w:sz="4" w:space="0"/>
                    <w:right w:val="nil"/>
                  </w:tcBorders>
                  <w:vAlign w:val="center"/>
                </w:tcPr>
                <w:p w14:paraId="0F66E7A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ascii="Times New Roman"/>
                      <w:color w:val="auto"/>
                      <w:sz w:val="18"/>
                      <w:szCs w:val="18"/>
                    </w:rPr>
                  </w:pPr>
                  <w:r>
                    <w:rPr>
                      <w:rFonts w:hint="eastAsia"/>
                      <w:color w:val="auto"/>
                      <w:sz w:val="18"/>
                      <w:szCs w:val="18"/>
                      <w:vertAlign w:val="baseline"/>
                      <w:lang w:val="en-US" w:eastAsia="zh-CN"/>
                    </w:rPr>
                    <w:t>1次/年</w:t>
                  </w:r>
                </w:p>
              </w:tc>
            </w:tr>
            <w:tr w14:paraId="064074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tcBorders>
                    <w:top w:val="single" w:color="000000" w:sz="4" w:space="0"/>
                    <w:left w:val="nil"/>
                    <w:bottom w:val="single" w:color="000000" w:sz="4" w:space="0"/>
                    <w:right w:val="single" w:color="000000" w:sz="4" w:space="0"/>
                  </w:tcBorders>
                  <w:vAlign w:val="center"/>
                </w:tcPr>
                <w:p w14:paraId="0F904806">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color w:val="auto"/>
                      <w:sz w:val="18"/>
                      <w:szCs w:val="18"/>
                      <w:lang w:val="en-US"/>
                    </w:rPr>
                  </w:pPr>
                  <w:r>
                    <w:rPr>
                      <w:rFonts w:hint="eastAsia" w:ascii="宋体" w:hAnsi="宋体" w:cs="宋体"/>
                      <w:color w:val="auto"/>
                      <w:kern w:val="0"/>
                      <w:sz w:val="18"/>
                      <w:szCs w:val="18"/>
                      <w:lang w:val="en-US" w:eastAsia="zh-CN" w:bidi="ar"/>
                    </w:rPr>
                    <w:t>红冲工件冲压、抛丸废气+铝合金熔化、压铸、打磨废气</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F4E4">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DA014出口</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E057">
                  <w:pPr>
                    <w:pStyle w:val="57"/>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颗粒物</w:t>
                  </w:r>
                </w:p>
              </w:tc>
              <w:tc>
                <w:tcPr>
                  <w:tcW w:w="1217" w:type="dxa"/>
                  <w:tcBorders>
                    <w:top w:val="single" w:color="000000" w:sz="4" w:space="0"/>
                    <w:left w:val="single" w:color="000000" w:sz="4" w:space="0"/>
                    <w:bottom w:val="single" w:color="000000" w:sz="4" w:space="0"/>
                    <w:right w:val="nil"/>
                  </w:tcBorders>
                  <w:vAlign w:val="center"/>
                </w:tcPr>
                <w:p w14:paraId="3EE8AFE8">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color w:val="auto"/>
                      <w:sz w:val="18"/>
                      <w:szCs w:val="18"/>
                    </w:rPr>
                  </w:pPr>
                  <w:r>
                    <w:rPr>
                      <w:rFonts w:hint="eastAsia"/>
                      <w:color w:val="auto"/>
                      <w:sz w:val="18"/>
                      <w:szCs w:val="18"/>
                      <w:vertAlign w:val="baseline"/>
                      <w:lang w:val="en-US" w:eastAsia="zh-CN"/>
                    </w:rPr>
                    <w:t>1次/年</w:t>
                  </w:r>
                </w:p>
              </w:tc>
            </w:tr>
            <w:tr w14:paraId="1BEDC5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vMerge w:val="restart"/>
                  <w:tcBorders>
                    <w:top w:val="single" w:color="000000" w:sz="4" w:space="0"/>
                    <w:left w:val="nil"/>
                    <w:right w:val="single" w:color="000000" w:sz="4" w:space="0"/>
                  </w:tcBorders>
                  <w:vAlign w:val="center"/>
                </w:tcPr>
                <w:p w14:paraId="453F55A2">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default" w:eastAsia="宋体"/>
                      <w:color w:val="auto"/>
                      <w:spacing w:val="-1"/>
                      <w:sz w:val="18"/>
                      <w:szCs w:val="18"/>
                      <w:lang w:val="en-US" w:eastAsia="zh-CN"/>
                    </w:rPr>
                  </w:pPr>
                  <w:r>
                    <w:rPr>
                      <w:rFonts w:hint="eastAsia"/>
                      <w:color w:val="auto"/>
                      <w:spacing w:val="-1"/>
                      <w:sz w:val="18"/>
                      <w:szCs w:val="18"/>
                      <w:lang w:val="en-US" w:eastAsia="zh-CN"/>
                    </w:rPr>
                    <w:t>无组织</w:t>
                  </w:r>
                </w:p>
              </w:tc>
              <w:tc>
                <w:tcPr>
                  <w:tcW w:w="1395" w:type="dxa"/>
                  <w:tcBorders>
                    <w:top w:val="single" w:color="000000" w:sz="4" w:space="0"/>
                    <w:left w:val="single" w:color="000000" w:sz="4" w:space="0"/>
                    <w:bottom w:val="single" w:color="000000" w:sz="4" w:space="0"/>
                    <w:right w:val="single" w:color="000000" w:sz="4" w:space="0"/>
                  </w:tcBorders>
                  <w:vAlign w:val="center"/>
                </w:tcPr>
                <w:p w14:paraId="2D9F4D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eastAsia"/>
                      <w:color w:val="auto"/>
                      <w:sz w:val="18"/>
                      <w:szCs w:val="18"/>
                      <w:vertAlign w:val="baseline"/>
                      <w:lang w:eastAsia="zh-CN"/>
                    </w:rPr>
                    <w:t>企业边界</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6A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vertAlign w:val="baseline"/>
                      <w:lang w:eastAsia="zh-CN"/>
                    </w:rPr>
                    <w:t>颗粒物、非甲烷总烃、</w:t>
                  </w:r>
                  <w:r>
                    <w:rPr>
                      <w:rFonts w:hint="eastAsia"/>
                      <w:color w:val="auto"/>
                      <w:sz w:val="18"/>
                      <w:szCs w:val="18"/>
                      <w:vertAlign w:val="baseline"/>
                      <w:lang w:val="en-US" w:eastAsia="zh-CN"/>
                    </w:rPr>
                    <w:t>臭气浓度</w:t>
                  </w:r>
                </w:p>
              </w:tc>
              <w:tc>
                <w:tcPr>
                  <w:tcW w:w="1217" w:type="dxa"/>
                  <w:tcBorders>
                    <w:top w:val="single" w:color="000000" w:sz="4" w:space="0"/>
                    <w:left w:val="single" w:color="000000" w:sz="4" w:space="0"/>
                    <w:bottom w:val="single" w:color="000000" w:sz="4" w:space="0"/>
                    <w:right w:val="nil"/>
                  </w:tcBorders>
                  <w:vAlign w:val="center"/>
                </w:tcPr>
                <w:p w14:paraId="5F8010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vertAlign w:val="baseline"/>
                      <w:lang w:val="en-US" w:eastAsia="zh-CN"/>
                    </w:rPr>
                  </w:pPr>
                  <w:r>
                    <w:rPr>
                      <w:rFonts w:hint="eastAsia"/>
                      <w:color w:val="auto"/>
                      <w:sz w:val="18"/>
                      <w:szCs w:val="18"/>
                      <w:vertAlign w:val="baseline"/>
                      <w:lang w:val="en-US" w:eastAsia="zh-CN"/>
                    </w:rPr>
                    <w:t>1次/半</w:t>
                  </w:r>
                  <w:r>
                    <w:rPr>
                      <w:rFonts w:hint="eastAsia"/>
                      <w:color w:val="auto"/>
                      <w:sz w:val="18"/>
                      <w:szCs w:val="18"/>
                      <w:vertAlign w:val="baseline"/>
                      <w:lang w:eastAsia="zh-CN"/>
                    </w:rPr>
                    <w:t>年</w:t>
                  </w:r>
                </w:p>
              </w:tc>
            </w:tr>
            <w:tr w14:paraId="701DBE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704" w:type="dxa"/>
                  <w:vMerge w:val="continue"/>
                  <w:tcBorders>
                    <w:left w:val="nil"/>
                    <w:bottom w:val="single" w:color="000000" w:sz="12" w:space="0"/>
                    <w:right w:val="single" w:color="000000" w:sz="4" w:space="0"/>
                  </w:tcBorders>
                  <w:vAlign w:val="center"/>
                </w:tcPr>
                <w:p w14:paraId="0B652F4E">
                  <w:pPr>
                    <w:pStyle w:val="57"/>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color w:val="auto"/>
                      <w:spacing w:val="-1"/>
                      <w:sz w:val="18"/>
                      <w:szCs w:val="18"/>
                      <w:lang w:val="en-US" w:eastAsia="zh-CN"/>
                    </w:rPr>
                  </w:pPr>
                </w:p>
              </w:tc>
              <w:tc>
                <w:tcPr>
                  <w:tcW w:w="1395" w:type="dxa"/>
                  <w:tcBorders>
                    <w:top w:val="single" w:color="000000" w:sz="4" w:space="0"/>
                    <w:left w:val="single" w:color="000000" w:sz="4" w:space="0"/>
                    <w:bottom w:val="single" w:color="000000" w:sz="12" w:space="0"/>
                    <w:right w:val="single" w:color="000000" w:sz="4" w:space="0"/>
                  </w:tcBorders>
                  <w:vAlign w:val="center"/>
                </w:tcPr>
                <w:p w14:paraId="3002E0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vertAlign w:val="baseline"/>
                      <w:lang w:eastAsia="zh-CN"/>
                    </w:rPr>
                  </w:pPr>
                  <w:r>
                    <w:rPr>
                      <w:rFonts w:hint="eastAsia"/>
                      <w:color w:val="auto"/>
                      <w:sz w:val="18"/>
                      <w:szCs w:val="18"/>
                      <w:vertAlign w:val="baseline"/>
                      <w:lang w:eastAsia="zh-CN"/>
                    </w:rPr>
                    <w:t>厂区</w:t>
                  </w:r>
                  <w:r>
                    <w:rPr>
                      <w:rFonts w:hint="eastAsia"/>
                      <w:color w:val="auto"/>
                      <w:sz w:val="18"/>
                      <w:szCs w:val="18"/>
                      <w:vertAlign w:val="baseline"/>
                      <w:lang w:val="en-US" w:eastAsia="zh-CN"/>
                    </w:rPr>
                    <w:t>内监控点</w:t>
                  </w:r>
                </w:p>
              </w:tc>
              <w:tc>
                <w:tcPr>
                  <w:tcW w:w="3066"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3F2D91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vertAlign w:val="baseline"/>
                      <w:lang w:eastAsia="zh-CN"/>
                    </w:rPr>
                  </w:pPr>
                  <w:r>
                    <w:rPr>
                      <w:rFonts w:hint="eastAsia"/>
                      <w:color w:val="auto"/>
                      <w:sz w:val="18"/>
                      <w:szCs w:val="18"/>
                      <w:vertAlign w:val="baseline"/>
                      <w:lang w:eastAsia="zh-CN"/>
                    </w:rPr>
                    <w:t>颗粒物、非甲烷总烃</w:t>
                  </w:r>
                </w:p>
              </w:tc>
              <w:tc>
                <w:tcPr>
                  <w:tcW w:w="1217" w:type="dxa"/>
                  <w:tcBorders>
                    <w:top w:val="single" w:color="000000" w:sz="4" w:space="0"/>
                    <w:left w:val="single" w:color="000000" w:sz="4" w:space="0"/>
                    <w:bottom w:val="single" w:color="000000" w:sz="12" w:space="0"/>
                    <w:right w:val="nil"/>
                  </w:tcBorders>
                  <w:vAlign w:val="center"/>
                </w:tcPr>
                <w:p w14:paraId="25BBF2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vertAlign w:val="baseline"/>
                      <w:lang w:val="en-US" w:eastAsia="zh-CN"/>
                    </w:rPr>
                  </w:pPr>
                  <w:r>
                    <w:rPr>
                      <w:rFonts w:hint="eastAsia"/>
                      <w:color w:val="auto"/>
                      <w:sz w:val="18"/>
                      <w:szCs w:val="18"/>
                      <w:vertAlign w:val="baseline"/>
                      <w:lang w:val="en-US" w:eastAsia="zh-CN"/>
                    </w:rPr>
                    <w:t>1次/半</w:t>
                  </w:r>
                  <w:r>
                    <w:rPr>
                      <w:rFonts w:hint="eastAsia"/>
                      <w:color w:val="auto"/>
                      <w:sz w:val="18"/>
                      <w:szCs w:val="18"/>
                      <w:vertAlign w:val="baseline"/>
                      <w:lang w:eastAsia="zh-CN"/>
                    </w:rPr>
                    <w:t>年</w:t>
                  </w:r>
                </w:p>
              </w:tc>
            </w:tr>
          </w:tbl>
          <w:p w14:paraId="5F64E03C">
            <w:pPr>
              <w:pStyle w:val="82"/>
              <w:spacing w:before="120" w:beforeLines="50"/>
              <w:rPr>
                <w:color w:val="auto"/>
                <w:sz w:val="24"/>
                <w:szCs w:val="24"/>
              </w:rPr>
            </w:pPr>
            <w:r>
              <w:rPr>
                <w:rFonts w:hint="eastAsia"/>
                <w:color w:val="auto"/>
                <w:sz w:val="24"/>
                <w:szCs w:val="24"/>
              </w:rPr>
              <w:t>2、废水环境影响和保护措施</w:t>
            </w:r>
          </w:p>
          <w:p w14:paraId="3BFB3A09">
            <w:pPr>
              <w:pStyle w:val="82"/>
              <w:rPr>
                <w:color w:val="auto"/>
                <w:sz w:val="24"/>
                <w:szCs w:val="24"/>
              </w:rPr>
            </w:pPr>
            <w:r>
              <w:rPr>
                <w:rFonts w:hint="eastAsia"/>
                <w:color w:val="auto"/>
                <w:sz w:val="24"/>
                <w:szCs w:val="24"/>
              </w:rPr>
              <w:t>2</w:t>
            </w:r>
            <w:r>
              <w:rPr>
                <w:color w:val="auto"/>
                <w:sz w:val="24"/>
                <w:szCs w:val="24"/>
              </w:rPr>
              <w:t>.1</w:t>
            </w:r>
            <w:r>
              <w:rPr>
                <w:rFonts w:hint="eastAsia"/>
                <w:color w:val="auto"/>
                <w:sz w:val="24"/>
                <w:szCs w:val="24"/>
              </w:rPr>
              <w:t>废水产生情况</w:t>
            </w:r>
          </w:p>
          <w:p w14:paraId="201B05A7">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用水主要包括中频炉冷却塔冷却用水、石蜡件冷却用水、粘土砂混砂用水、喷淋塔喷淋用水、石墨乳制备用水、压铸机冷却用水、造粒机冷却用水、挤出冷却用水、锅炉用水、试压用水和生活用水。其中中频炉冷却用水、石蜡件冷却用水、压铸机冷却用水、造粒机冷却用水、挤出冷却用水、锅炉用水、试压用水循环使用不外排；粘土砂混砂用水、石墨乳制备用水最终蒸发损耗；喷淋塔喷淋废水</w:t>
            </w:r>
            <w:r>
              <w:rPr>
                <w:rFonts w:hint="eastAsia" w:cs="Times New Roman"/>
                <w:color w:val="auto"/>
                <w:sz w:val="24"/>
                <w:szCs w:val="24"/>
                <w:lang w:val="en-US" w:eastAsia="zh-CN"/>
              </w:rPr>
              <w:t>循环使用，不外排</w:t>
            </w:r>
            <w:r>
              <w:rPr>
                <w:rFonts w:hint="default" w:ascii="Times New Roman" w:hAnsi="Times New Roman" w:cs="Times New Roman"/>
                <w:color w:val="auto"/>
                <w:sz w:val="24"/>
                <w:szCs w:val="24"/>
                <w:lang w:val="en-US" w:eastAsia="zh-CN"/>
              </w:rPr>
              <w:t>；职工生活污水经化粪池处理达标后最终纳入园区污水处理厂统一处理；具体核算如下：</w:t>
            </w:r>
          </w:p>
          <w:p w14:paraId="47005597">
            <w:pPr>
              <w:adjustRightInd w:val="0"/>
              <w:snapToGrid w:val="0"/>
              <w:spacing w:line="360" w:lineRule="auto"/>
              <w:ind w:firstLine="480" w:firstLineChars="200"/>
              <w:rPr>
                <w:rFonts w:hint="eastAsia" w:cs="Times New Roman"/>
                <w:color w:val="auto"/>
                <w:sz w:val="24"/>
                <w:szCs w:val="24"/>
                <w:lang w:val="en-US" w:eastAsia="zh-CN"/>
              </w:rPr>
            </w:pPr>
          </w:p>
          <w:p w14:paraId="7665F081">
            <w:pPr>
              <w:adjustRightInd w:val="0"/>
              <w:snapToGrid w:val="0"/>
              <w:spacing w:line="360" w:lineRule="auto"/>
              <w:ind w:firstLine="480" w:firstLineChars="200"/>
              <w:rPr>
                <w:rFonts w:hint="eastAsia" w:cs="Times New Roman"/>
                <w:color w:val="auto"/>
                <w:sz w:val="24"/>
                <w:szCs w:val="24"/>
                <w:lang w:val="en-US" w:eastAsia="zh-CN"/>
              </w:rPr>
            </w:pPr>
          </w:p>
          <w:p w14:paraId="6AEBFE86">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（1）生产废水</w:t>
            </w:r>
          </w:p>
          <w:p w14:paraId="7187F25E">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①喷淋塔用水</w:t>
            </w:r>
          </w:p>
          <w:p w14:paraId="5E43AC61">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项目熔模铸造生产线脱模、型壳焙烧废气治理设施和喷粉固化废气治理设施各配备一座喷淋塔用于降低废气温度，喷淋塔循环水量约</w:t>
            </w:r>
            <w:r>
              <w:rPr>
                <w:rFonts w:hint="eastAsia"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lang w:val="en-US" w:eastAsia="zh-CN"/>
              </w:rPr>
              <w:t>t/h。喷淋水蒸发损耗按循环水量的</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%计，喷淋塔蒸发损失补水量为</w:t>
            </w:r>
            <w:r>
              <w:rPr>
                <w:rFonts w:hint="eastAsia" w:ascii="Times New Roman" w:hAnsi="Times New Roman" w:cs="Times New Roman"/>
                <w:color w:val="auto"/>
                <w:sz w:val="24"/>
                <w:szCs w:val="24"/>
                <w:lang w:val="en-US" w:eastAsia="zh-CN"/>
              </w:rPr>
              <w:t>1.08t/d</w:t>
            </w:r>
            <w:r>
              <w:rPr>
                <w:rFonts w:hint="eastAsia" w:ascii="宋体" w:hAnsi="宋体" w:eastAsia="宋体" w:cs="宋体"/>
                <w:color w:val="auto"/>
                <w:sz w:val="24"/>
                <w:szCs w:val="24"/>
                <w:lang w:val="en-US" w:eastAsia="zh-CN"/>
              </w:rPr>
              <w:t>·</w:t>
            </w:r>
            <w:r>
              <w:rPr>
                <w:rFonts w:hint="eastAsia" w:ascii="Times New Roman" w:hAnsi="Times New Roman" w:cs="Times New Roman"/>
                <w:color w:val="auto"/>
                <w:sz w:val="24"/>
                <w:szCs w:val="24"/>
                <w:lang w:val="en-US" w:eastAsia="zh-CN"/>
              </w:rPr>
              <w:t>台，脱蜡机蒸汽全部进入喷淋塔冷凝成水，因此脱蜡废气喷淋塔实际补水量为0.28t/d。厂区共2台喷淋塔，实际新鲜水补充量为1.36t/d（408t/a）</w:t>
            </w:r>
            <w:r>
              <w:rPr>
                <w:rFonts w:hint="default" w:ascii="Times New Roman" w:hAnsi="Times New Roman" w:cs="Times New Roman"/>
                <w:color w:val="auto"/>
                <w:sz w:val="24"/>
                <w:szCs w:val="24"/>
                <w:lang w:val="en-US" w:eastAsia="zh-CN"/>
              </w:rPr>
              <w:t>；喷淋塔循环水使用一段时间后，水质变差，若不及时更换，将影响废气降温效果，进而影响活性炭吸附箱净化效率。为保证废气净化效果，建设单位拟对喷淋塔废水定期</w:t>
            </w:r>
            <w:r>
              <w:rPr>
                <w:rFonts w:hint="eastAsia" w:cs="Times New Roman"/>
                <w:color w:val="auto"/>
                <w:sz w:val="24"/>
                <w:szCs w:val="24"/>
                <w:lang w:val="en-US" w:eastAsia="zh-CN"/>
              </w:rPr>
              <w:t>更换</w:t>
            </w:r>
            <w:r>
              <w:rPr>
                <w:rFonts w:hint="default" w:ascii="Times New Roman" w:hAnsi="Times New Roman" w:cs="Times New Roman"/>
                <w:color w:val="auto"/>
                <w:sz w:val="24"/>
                <w:szCs w:val="24"/>
                <w:lang w:val="en-US" w:eastAsia="zh-CN"/>
              </w:rPr>
              <w:t>，更换频率为3个月/次（4次/年），每座单次喷淋废水更换量为</w:t>
            </w:r>
            <w:r>
              <w:rPr>
                <w:rFonts w:hint="eastAsia" w:ascii="Times New Roman" w:hAnsi="Times New Roman" w:cs="Times New Roman"/>
                <w:color w:val="auto"/>
                <w:sz w:val="24"/>
                <w:szCs w:val="24"/>
                <w:lang w:val="en-US" w:eastAsia="zh-CN"/>
              </w:rPr>
              <w:t>0.6t</w:t>
            </w:r>
            <w:r>
              <w:rPr>
                <w:rFonts w:hint="default" w:ascii="Times New Roman" w:hAnsi="Times New Roman" w:cs="Times New Roman"/>
                <w:color w:val="auto"/>
                <w:sz w:val="24"/>
                <w:szCs w:val="24"/>
                <w:lang w:val="en-US" w:eastAsia="zh-CN"/>
              </w:rPr>
              <w:t>（4.8</w:t>
            </w:r>
            <w:r>
              <w:rPr>
                <w:rFonts w:hint="eastAsia"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lang w:val="en-US" w:eastAsia="zh-CN"/>
              </w:rPr>
              <w:t>），更换的废水拟作为粘土砂铸造混砂用水回用于生</w:t>
            </w:r>
            <w:r>
              <w:rPr>
                <w:rFonts w:hint="eastAsia" w:cs="Times New Roman"/>
                <w:color w:val="auto"/>
                <w:sz w:val="24"/>
                <w:szCs w:val="24"/>
                <w:lang w:val="en-US" w:eastAsia="zh-CN"/>
              </w:rPr>
              <w:t>产，不外排。</w:t>
            </w:r>
          </w:p>
          <w:p w14:paraId="6570CDD8">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②脱蜡用水</w:t>
            </w:r>
          </w:p>
          <w:p w14:paraId="651D2A11">
            <w:pPr>
              <w:adjustRightInd w:val="0"/>
              <w:snapToGrid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本项目熔模铸造脱蜡机采用蒸汽脱蜡方式，通过脱蜡机自带的电热蒸汽发生器产生水蒸气。根据建设单位提供资料，脱蜡机用水量约0.08t/h（0.8t/d、240t/a）</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脱蜡机用水全部蒸发损耗，并在废气喷淋塔降温冷凝成水进入喷淋废水。</w:t>
            </w:r>
          </w:p>
          <w:p w14:paraId="422824C3">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③中频炉冷却水</w:t>
            </w:r>
          </w:p>
          <w:p w14:paraId="1388FD57">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中频炉拟配套6台冷却塔，用于中频炉的间接冷却，冷却塔冷却水循环利用不外排，冷却循环系统因蒸发损耗需补充一定量的新鲜水。根据建设单位提供资料，项目冷却水循环系统循环水量共约90t/d，损耗量按2%计，则项目冷却塔的新鲜水补充量约</w:t>
            </w:r>
            <w:r>
              <w:rPr>
                <w:rFonts w:hint="eastAsia" w:cs="Times New Roman"/>
                <w:color w:val="auto"/>
                <w:sz w:val="24"/>
                <w:szCs w:val="24"/>
                <w:lang w:val="en-US" w:eastAsia="zh-CN"/>
              </w:rPr>
              <w:t>1.8t/d（540t/a）。冷却水循环水使用一段时间后，水中盐分升高，容易结构腐蚀设备。为保证冷却塔稳定运行，建设单位拟对冷却塔废水定期更换，更换频率为3个月/次（4次/年），项目中频炉设6座冷却塔，每座冷却塔单次废水更换量为1.0m³（24m³/年），更换的废水拟作为粘土砂铸造混砂用水回用于生产，不外排。</w:t>
            </w:r>
          </w:p>
          <w:p w14:paraId="751AAACD">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④石蜡件冷却用水</w:t>
            </w:r>
          </w:p>
          <w:p w14:paraId="49DD2277">
            <w:pPr>
              <w:adjustRightInd w:val="0"/>
              <w:snapToGrid w:val="0"/>
              <w:spacing w:line="360" w:lineRule="auto"/>
              <w:ind w:firstLine="480" w:firstLineChars="200"/>
              <w:rPr>
                <w:rFonts w:hint="eastAsia" w:cs="Times New Roman"/>
                <w:color w:val="auto"/>
                <w:sz w:val="24"/>
                <w:szCs w:val="24"/>
                <w:lang w:val="en-US" w:eastAsia="zh-CN"/>
              </w:rPr>
            </w:pPr>
            <w:r>
              <w:rPr>
                <w:rFonts w:hint="default" w:ascii="Times New Roman" w:hAnsi="Times New Roman" w:cs="Times New Roman"/>
                <w:color w:val="auto"/>
                <w:sz w:val="24"/>
                <w:szCs w:val="24"/>
                <w:lang w:val="en-US" w:eastAsia="zh-CN"/>
              </w:rPr>
              <w:t>石蜡件冷却水循环利用，定期补充，根据建设单位提供资料，石蜡件冷却补充水量约0.</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t/d</w:t>
            </w:r>
            <w:r>
              <w:rPr>
                <w:rFonts w:hint="eastAsia" w:cs="Times New Roman"/>
                <w:color w:val="auto"/>
                <w:sz w:val="24"/>
                <w:szCs w:val="24"/>
                <w:lang w:val="en-US" w:eastAsia="zh-CN"/>
              </w:rPr>
              <w:t>（150t/d）</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石蜡件冷却水循环水使用一段时间后，水中吸附灰尘、且盐分升高，影响蜡模表面清洁度。为保证蜡模清洁度，建设单位拟对石蜡件冷却水定期更换，更换频率为2个月/次（6次/年），石蜡件冷却水槽共3个，每个水槽单次废水更换量为2.0m³（36m³/年），更换的废水拟作为粘土砂铸造混砂用水回用于生产，不外排。</w:t>
            </w:r>
          </w:p>
          <w:p w14:paraId="3EE91A34">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⑤</w:t>
            </w:r>
            <w:r>
              <w:rPr>
                <w:rFonts w:hint="default" w:ascii="Times New Roman" w:hAnsi="Times New Roman" w:cs="Times New Roman"/>
                <w:color w:val="auto"/>
                <w:sz w:val="24"/>
                <w:szCs w:val="24"/>
                <w:lang w:val="en-US" w:eastAsia="zh-CN"/>
              </w:rPr>
              <w:t>粘土砂混砂用水</w:t>
            </w:r>
          </w:p>
          <w:p w14:paraId="00E41907">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粘土砂铸造以海砂、膨润土、红煤粉、水为型砂原料，根据建设单位提供资料，粘土砂铸造用砂量约27t砂/t铸件，型砂制备时砂与水的混合比例为50：1。项目粘土砂铸造的产能为</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0t/d，则项目混砂用水量为</w:t>
            </w:r>
            <w:r>
              <w:rPr>
                <w:rFonts w:hint="eastAsia" w:cs="Times New Roman"/>
                <w:color w:val="auto"/>
                <w:sz w:val="24"/>
                <w:szCs w:val="24"/>
                <w:lang w:val="en-US" w:eastAsia="zh-CN"/>
              </w:rPr>
              <w:t>10.8</w:t>
            </w:r>
            <w:r>
              <w:rPr>
                <w:rFonts w:hint="default" w:ascii="Times New Roman" w:hAnsi="Times New Roman" w:cs="Times New Roman"/>
                <w:color w:val="auto"/>
                <w:sz w:val="24"/>
                <w:szCs w:val="24"/>
                <w:lang w:val="en-US" w:eastAsia="zh-CN"/>
              </w:rPr>
              <w:t>t/d</w:t>
            </w:r>
            <w:r>
              <w:rPr>
                <w:rFonts w:hint="eastAsia" w:cs="Times New Roman"/>
                <w:color w:val="auto"/>
                <w:sz w:val="24"/>
                <w:szCs w:val="24"/>
                <w:lang w:val="en-US" w:eastAsia="zh-CN"/>
              </w:rPr>
              <w:t>（3240t/a）</w:t>
            </w:r>
            <w:r>
              <w:rPr>
                <w:rFonts w:hint="default" w:ascii="Times New Roman" w:hAnsi="Times New Roman" w:cs="Times New Roman"/>
                <w:color w:val="auto"/>
                <w:sz w:val="24"/>
                <w:szCs w:val="24"/>
                <w:lang w:val="en-US" w:eastAsia="zh-CN"/>
              </w:rPr>
              <w:t>，该部分水在造型、浇注和落砂等过程蒸发损耗。</w:t>
            </w:r>
          </w:p>
          <w:p w14:paraId="2C20DE7B">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⑥</w:t>
            </w:r>
            <w:r>
              <w:rPr>
                <w:rFonts w:hint="default" w:ascii="Times New Roman" w:hAnsi="Times New Roman" w:cs="Times New Roman"/>
                <w:color w:val="auto"/>
                <w:sz w:val="24"/>
                <w:szCs w:val="24"/>
                <w:lang w:val="en-US" w:eastAsia="zh-CN"/>
              </w:rPr>
              <w:t>石墨乳制备用水</w:t>
            </w:r>
          </w:p>
          <w:p w14:paraId="715BE86B">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本项目红冲铜件生产过程冲压成型工艺采用石墨乳作为热变形保护润滑剂，石墨乳中石墨与水的比例为1:15，根据建设单位提供资料，石墨用量为0.1t/a，则相应的水用量为</w:t>
            </w:r>
            <w:r>
              <w:rPr>
                <w:rFonts w:hint="eastAsia" w:cs="Times New Roman"/>
                <w:color w:val="auto"/>
                <w:sz w:val="24"/>
                <w:szCs w:val="24"/>
                <w:lang w:val="en-US" w:eastAsia="zh-CN"/>
              </w:rPr>
              <w:t>1.5</w:t>
            </w:r>
            <w:r>
              <w:rPr>
                <w:rFonts w:hint="default" w:ascii="Times New Roman" w:hAnsi="Times New Roman" w:cs="Times New Roman"/>
                <w:color w:val="auto"/>
                <w:sz w:val="24"/>
                <w:szCs w:val="24"/>
                <w:lang w:val="en-US" w:eastAsia="zh-CN"/>
              </w:rPr>
              <w:t>t/a（0.005t/d）。</w:t>
            </w:r>
          </w:p>
          <w:p w14:paraId="64E5A9E7">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⑦</w:t>
            </w:r>
            <w:r>
              <w:rPr>
                <w:rFonts w:hint="default" w:ascii="Times New Roman" w:hAnsi="Times New Roman" w:cs="Times New Roman"/>
                <w:color w:val="auto"/>
                <w:sz w:val="24"/>
                <w:szCs w:val="24"/>
                <w:lang w:val="en-US" w:eastAsia="zh-CN"/>
              </w:rPr>
              <w:t>压铸机冷却用水</w:t>
            </w:r>
          </w:p>
          <w:p w14:paraId="5D6EF840">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本项目压铸机冷却用水循环使用不外排，冷却循环系统因蒸发损耗需补充一定量的新鲜水。根据建设单位提供资料，项目压铸机冷却循环水量约30t/d，损耗量按2%计，则新鲜水补充量约0.6t/d</w:t>
            </w:r>
            <w:r>
              <w:rPr>
                <w:rFonts w:hint="eastAsia" w:cs="Times New Roman"/>
                <w:color w:val="auto"/>
                <w:sz w:val="24"/>
                <w:szCs w:val="24"/>
                <w:lang w:val="en-US" w:eastAsia="zh-CN"/>
              </w:rPr>
              <w:t>（180t/a）</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冷却水循环水使用一段时间后，水中盐分升高，容易结构腐蚀设备。为保证冷却塔稳定运行，建设单位拟对冷却塔废水定期更换，更换频率为3个月/次（4次/年），项目压铸机设3座冷却塔，每座单次废水更换量为1.0m³（12m³/年），更换的废水拟作为粘土砂铸造混砂用水回用于生产，不外排。</w:t>
            </w:r>
          </w:p>
          <w:p w14:paraId="6354956B">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⑧</w:t>
            </w:r>
            <w:r>
              <w:rPr>
                <w:rFonts w:hint="default" w:ascii="Times New Roman" w:hAnsi="Times New Roman" w:cs="Times New Roman"/>
                <w:color w:val="auto"/>
                <w:sz w:val="24"/>
                <w:szCs w:val="24"/>
                <w:lang w:val="en-US" w:eastAsia="zh-CN"/>
              </w:rPr>
              <w:t>造粒机冷却用水</w:t>
            </w:r>
          </w:p>
          <w:p w14:paraId="4EA97F44">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本项目造粒机冷却水循环使用不外排，冷却循环系统因蒸发损耗需补充一定量的新鲜水。根据建设单位提供资料，项目造粒机冷却循环水量约40t/d，损耗量按2%计，则新鲜水补充量约为0.8t/d</w:t>
            </w:r>
            <w:r>
              <w:rPr>
                <w:rFonts w:hint="eastAsia" w:cs="Times New Roman"/>
                <w:color w:val="auto"/>
                <w:sz w:val="24"/>
                <w:szCs w:val="24"/>
                <w:lang w:val="en-US" w:eastAsia="zh-CN"/>
              </w:rPr>
              <w:t>（240t/a）</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造粒机冷却水循环水使用一段时间后，水中吸附灰尘、且盐分升高，影响塑料颗粒清洁度。为保证塑料颗粒清洁度，建设单位拟对造粒机冷却水定期更换，更换频率为2个月/次（6次/年），造粒机冷却水槽共2个，每个水槽单次废水更换量为0.8m³（9.6m³/年），更换的废水拟作为粘土砂铸造混砂用水回用于生产，不外排。</w:t>
            </w:r>
          </w:p>
          <w:p w14:paraId="1EE0C903">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⑨</w:t>
            </w:r>
            <w:r>
              <w:rPr>
                <w:rFonts w:hint="default" w:ascii="Times New Roman" w:hAnsi="Times New Roman" w:cs="Times New Roman"/>
                <w:color w:val="auto"/>
                <w:sz w:val="24"/>
                <w:szCs w:val="24"/>
                <w:lang w:val="en-US" w:eastAsia="zh-CN"/>
              </w:rPr>
              <w:t>挤出冷却用水</w:t>
            </w:r>
          </w:p>
          <w:p w14:paraId="5579FFC5">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消防软管、消防水带</w:t>
            </w:r>
            <w:r>
              <w:rPr>
                <w:rFonts w:hint="default" w:ascii="Times New Roman" w:hAnsi="Times New Roman" w:cs="Times New Roman"/>
                <w:color w:val="auto"/>
                <w:sz w:val="24"/>
                <w:szCs w:val="24"/>
                <w:lang w:val="en-US" w:eastAsia="zh-CN"/>
              </w:rPr>
              <w:t>挤管后采用冷却槽进行冷却，</w:t>
            </w:r>
            <w:r>
              <w:rPr>
                <w:rFonts w:hint="eastAsia" w:cs="Times New Roman"/>
                <w:color w:val="auto"/>
                <w:sz w:val="24"/>
                <w:szCs w:val="24"/>
                <w:lang w:val="en-US" w:eastAsia="zh-CN"/>
              </w:rPr>
              <w:t>配备1台冷却塔，循环水量为40</w:t>
            </w:r>
            <w:r>
              <w:rPr>
                <w:rFonts w:hint="default" w:ascii="Times New Roman" w:hAnsi="Times New Roman" w:cs="Times New Roman"/>
                <w:color w:val="auto"/>
                <w:sz w:val="24"/>
                <w:szCs w:val="24"/>
                <w:lang w:val="en-US" w:eastAsia="zh-CN"/>
              </w:rPr>
              <w:t>t/d，损耗量按2%计，则新鲜水补充量约为0.8t/d</w:t>
            </w:r>
            <w:r>
              <w:rPr>
                <w:rFonts w:hint="eastAsia" w:cs="Times New Roman"/>
                <w:color w:val="auto"/>
                <w:sz w:val="24"/>
                <w:szCs w:val="24"/>
                <w:lang w:val="en-US" w:eastAsia="zh-CN"/>
              </w:rPr>
              <w:t>（240t/a）</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挤出机冷却水循环水使用一段时间后，水中吸附灰尘、且盐分升高，影响消防软管和消防水带清洁度。为保证消防软管和消防水带清洁度，建设单位拟对挤出机冷却水定期更换，更换频率为2个月/次（6次/年），挤出机冷却水槽共8个，每个水槽单次废水更换量为1.0m³（48m³/年），更换的废水拟作为粘土砂铸造混砂用水回用于生产，不外排。</w:t>
            </w:r>
          </w:p>
          <w:p w14:paraId="60573D85">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⑩</w:t>
            </w:r>
            <w:r>
              <w:rPr>
                <w:rFonts w:hint="default" w:ascii="Times New Roman" w:hAnsi="Times New Roman" w:cs="Times New Roman"/>
                <w:color w:val="auto"/>
                <w:sz w:val="24"/>
                <w:szCs w:val="24"/>
                <w:lang w:val="en-US" w:eastAsia="zh-CN"/>
              </w:rPr>
              <w:t>锅炉</w:t>
            </w:r>
            <w:r>
              <w:rPr>
                <w:rFonts w:hint="eastAsia" w:cs="Times New Roman"/>
                <w:color w:val="auto"/>
                <w:sz w:val="24"/>
                <w:szCs w:val="24"/>
                <w:lang w:val="en-US" w:eastAsia="zh-CN"/>
              </w:rPr>
              <w:t>用水</w:t>
            </w:r>
          </w:p>
          <w:p w14:paraId="210D9DCB">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消防水带黏合</w:t>
            </w:r>
            <w:r>
              <w:rPr>
                <w:rFonts w:hint="default" w:ascii="Times New Roman" w:hAnsi="Times New Roman" w:cs="Times New Roman"/>
                <w:color w:val="auto"/>
                <w:sz w:val="24"/>
                <w:szCs w:val="24"/>
                <w:lang w:val="en-US" w:eastAsia="zh-CN"/>
              </w:rPr>
              <w:t>工序采用锅炉蒸汽的热量将内胆与管坯紧密贴合。本项目配备1台1t/h天然气锅炉，平均每天使用时间约16h，项目锅炉用水量约20t/d，锅炉蒸汽产生量约16t/d，由于</w:t>
            </w:r>
            <w:r>
              <w:rPr>
                <w:rFonts w:hint="eastAsia" w:cs="Times New Roman"/>
                <w:color w:val="auto"/>
                <w:sz w:val="24"/>
                <w:szCs w:val="24"/>
                <w:lang w:val="en-US" w:eastAsia="zh-CN"/>
              </w:rPr>
              <w:t>黏合</w:t>
            </w:r>
            <w:r>
              <w:rPr>
                <w:rFonts w:hint="default" w:ascii="Times New Roman" w:hAnsi="Times New Roman" w:cs="Times New Roman"/>
                <w:color w:val="auto"/>
                <w:sz w:val="24"/>
                <w:szCs w:val="24"/>
                <w:lang w:val="en-US" w:eastAsia="zh-CN"/>
              </w:rPr>
              <w:t>过程充气、泄压等损耗约20%、蒸汽蒸发损耗约20%，</w:t>
            </w:r>
            <w:r>
              <w:rPr>
                <w:rFonts w:hint="eastAsia" w:cs="Times New Roman"/>
                <w:color w:val="auto"/>
                <w:sz w:val="24"/>
                <w:szCs w:val="24"/>
                <w:lang w:val="en-US" w:eastAsia="zh-CN"/>
              </w:rPr>
              <w:t>损耗量为6.4t/d（1920t/a），</w:t>
            </w:r>
            <w:r>
              <w:rPr>
                <w:rFonts w:hint="default" w:ascii="Times New Roman" w:hAnsi="Times New Roman" w:cs="Times New Roman"/>
                <w:color w:val="auto"/>
                <w:sz w:val="24"/>
                <w:szCs w:val="24"/>
                <w:lang w:val="en-US" w:eastAsia="zh-CN"/>
              </w:rPr>
              <w:t>蒸汽冷凝水产生量约9.6t/d</w:t>
            </w:r>
            <w:r>
              <w:rPr>
                <w:rFonts w:hint="eastAsia" w:cs="Times New Roman"/>
                <w:color w:val="auto"/>
                <w:sz w:val="24"/>
                <w:szCs w:val="24"/>
                <w:lang w:val="en-US" w:eastAsia="zh-CN"/>
              </w:rPr>
              <w:t>（2880t/a），全部回用于锅炉</w:t>
            </w:r>
            <w:r>
              <w:rPr>
                <w:rFonts w:hint="default" w:ascii="Times New Roman" w:hAnsi="Times New Roman" w:cs="Times New Roman"/>
                <w:color w:val="auto"/>
                <w:sz w:val="24"/>
                <w:szCs w:val="24"/>
                <w:lang w:val="en-US" w:eastAsia="zh-CN"/>
              </w:rPr>
              <w:t>。</w:t>
            </w:r>
          </w:p>
          <w:p w14:paraId="5675107F">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⑪试压用水</w:t>
            </w:r>
          </w:p>
          <w:p w14:paraId="47A5AB31">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消防软管、消防水带</w:t>
            </w:r>
            <w:r>
              <w:rPr>
                <w:rFonts w:hint="default" w:ascii="Times New Roman" w:hAnsi="Times New Roman" w:cs="Times New Roman"/>
                <w:color w:val="auto"/>
                <w:sz w:val="24"/>
                <w:szCs w:val="24"/>
                <w:lang w:val="en-US" w:eastAsia="zh-CN"/>
              </w:rPr>
              <w:t>试压用</w:t>
            </w:r>
            <w:r>
              <w:rPr>
                <w:rFonts w:hint="eastAsia" w:cs="Times New Roman"/>
                <w:color w:val="auto"/>
                <w:sz w:val="24"/>
                <w:szCs w:val="24"/>
                <w:lang w:val="en-US" w:eastAsia="zh-CN"/>
              </w:rPr>
              <w:t>水</w:t>
            </w:r>
            <w:r>
              <w:rPr>
                <w:rFonts w:hint="default" w:ascii="Times New Roman" w:hAnsi="Times New Roman" w:cs="Times New Roman"/>
                <w:color w:val="auto"/>
                <w:sz w:val="24"/>
                <w:szCs w:val="24"/>
                <w:lang w:val="en-US" w:eastAsia="zh-CN"/>
              </w:rPr>
              <w:t>循环使用不外排，由于试压过程损耗等因素需定期补充新鲜水，根据建设单位提供资料，试压用水量</w:t>
            </w:r>
            <w:r>
              <w:rPr>
                <w:rFonts w:hint="eastAsia" w:cs="Times New Roman"/>
                <w:color w:val="auto"/>
                <w:sz w:val="24"/>
                <w:szCs w:val="24"/>
                <w:lang w:val="en-US" w:eastAsia="zh-CN"/>
              </w:rPr>
              <w:t>补充量</w:t>
            </w:r>
            <w:r>
              <w:rPr>
                <w:rFonts w:hint="default" w:ascii="Times New Roman" w:hAnsi="Times New Roman" w:cs="Times New Roman"/>
                <w:color w:val="auto"/>
                <w:sz w:val="24"/>
                <w:szCs w:val="24"/>
                <w:lang w:val="en-US" w:eastAsia="zh-CN"/>
              </w:rPr>
              <w:t>约为</w:t>
            </w:r>
            <w:r>
              <w:rPr>
                <w:rFonts w:hint="eastAsia" w:cs="Times New Roman"/>
                <w:color w:val="auto"/>
                <w:sz w:val="24"/>
                <w:szCs w:val="24"/>
                <w:lang w:val="en-US" w:eastAsia="zh-CN"/>
              </w:rPr>
              <w:t>0.5</w:t>
            </w:r>
            <w:r>
              <w:rPr>
                <w:rFonts w:hint="default" w:ascii="Times New Roman" w:hAnsi="Times New Roman" w:cs="Times New Roman"/>
                <w:color w:val="auto"/>
                <w:sz w:val="24"/>
                <w:szCs w:val="24"/>
                <w:lang w:val="en-US" w:eastAsia="zh-CN"/>
              </w:rPr>
              <w:t>t/d</w:t>
            </w:r>
            <w:r>
              <w:rPr>
                <w:rFonts w:hint="eastAsia" w:cs="Times New Roman"/>
                <w:color w:val="auto"/>
                <w:sz w:val="24"/>
                <w:szCs w:val="24"/>
                <w:lang w:val="en-US" w:eastAsia="zh-CN"/>
              </w:rPr>
              <w:t>（150t/a）</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试压用水循环水使用一段时间后，水中吸附灰尘、且盐分升高，影响消防软管和消防水带清洁度。为保证消防软管和消防水带清洁度，建设单位拟对试压用水定期更换，更换频率为2个月/次（6次/年），消防软管试压水槽共5个，每个单次废水更换量为1.2m³（36m³/年），消防水带试压水槽共5个，每个水槽单次废水更换量为2.0m³（60m³/年），更换的废水拟作为粘土砂铸造混砂用水回用于生产，不外排。</w:t>
            </w:r>
          </w:p>
          <w:p w14:paraId="66F48293">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⑫灭火器检验用水</w:t>
            </w:r>
          </w:p>
          <w:p w14:paraId="7F70589E">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w:t>
            </w:r>
            <w:r>
              <w:rPr>
                <w:rFonts w:hint="eastAsia" w:cs="Times New Roman"/>
                <w:color w:val="auto"/>
                <w:sz w:val="24"/>
                <w:szCs w:val="24"/>
                <w:lang w:val="en-US" w:eastAsia="zh-CN"/>
              </w:rPr>
              <w:t>灭火器</w:t>
            </w:r>
            <w:r>
              <w:rPr>
                <w:rFonts w:hint="default" w:ascii="Times New Roman" w:hAnsi="Times New Roman" w:cs="Times New Roman"/>
                <w:color w:val="auto"/>
                <w:sz w:val="24"/>
                <w:szCs w:val="24"/>
                <w:lang w:val="en-US" w:eastAsia="zh-CN"/>
              </w:rPr>
              <w:t>产品气密性检验使用自来水，循环用水，</w:t>
            </w:r>
            <w:r>
              <w:rPr>
                <w:rFonts w:hint="eastAsia" w:cs="Times New Roman"/>
                <w:color w:val="auto"/>
                <w:sz w:val="24"/>
                <w:szCs w:val="24"/>
                <w:lang w:val="en-US" w:eastAsia="zh-CN"/>
              </w:rPr>
              <w:t>每日补充损耗</w:t>
            </w:r>
            <w:r>
              <w:rPr>
                <w:rFonts w:hint="default" w:ascii="Times New Roman" w:hAnsi="Times New Roman" w:cs="Times New Roman"/>
                <w:color w:val="auto"/>
                <w:sz w:val="24"/>
                <w:szCs w:val="24"/>
                <w:lang w:val="en-US" w:eastAsia="zh-CN"/>
              </w:rPr>
              <w:t>，不外排。</w:t>
            </w:r>
            <w:r>
              <w:rPr>
                <w:rFonts w:hint="eastAsia" w:cs="Times New Roman"/>
                <w:color w:val="auto"/>
                <w:sz w:val="24"/>
                <w:szCs w:val="24"/>
                <w:lang w:val="en-US" w:eastAsia="zh-CN"/>
              </w:rPr>
              <w:t>根据建设单位提供</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灭火器气密性检验</w:t>
            </w:r>
            <w:r>
              <w:rPr>
                <w:rFonts w:hint="default" w:ascii="Times New Roman" w:hAnsi="Times New Roman" w:cs="Times New Roman"/>
                <w:color w:val="auto"/>
                <w:sz w:val="24"/>
                <w:szCs w:val="24"/>
                <w:lang w:val="en-US" w:eastAsia="zh-CN"/>
              </w:rPr>
              <w:t>每天需补给蒸发损耗水量为</w:t>
            </w:r>
            <w:r>
              <w:rPr>
                <w:rFonts w:hint="eastAsia" w:cs="Times New Roman"/>
                <w:color w:val="auto"/>
                <w:sz w:val="24"/>
                <w:szCs w:val="24"/>
                <w:lang w:val="en-US" w:eastAsia="zh-CN"/>
              </w:rPr>
              <w:t>0.4t/d（120t/a）</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试压用水循环水使用一段时间后，水中吸附灰尘，影响工人操作。为检验效率，建设单位拟对灭火器检验用水定期更换，更换频率为1个月/次（12次/年），检验水槽共2个，每个水槽单次废水更换量为2.0m³（48m³/年），更换的废水拟作为粘土砂铸造混砂用水回用于生产，不外排。</w:t>
            </w:r>
          </w:p>
          <w:p w14:paraId="2FEE35C0">
            <w:pPr>
              <w:adjustRightInd w:val="0"/>
              <w:snapToGrid w:val="0"/>
              <w:spacing w:line="360" w:lineRule="auto"/>
              <w:ind w:firstLine="480" w:firstLineChars="200"/>
              <w:rPr>
                <w:rFonts w:hint="default"/>
                <w:color w:val="auto"/>
                <w:sz w:val="24"/>
                <w:szCs w:val="24"/>
                <w:lang w:val="en-US"/>
              </w:rPr>
            </w:pP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）生</w:t>
            </w:r>
            <w:r>
              <w:rPr>
                <w:rFonts w:hint="eastAsia" w:ascii="宋体" w:hAnsi="宋体"/>
                <w:color w:val="auto"/>
                <w:sz w:val="24"/>
                <w:szCs w:val="24"/>
                <w:lang w:val="en-US" w:eastAsia="zh-CN"/>
              </w:rPr>
              <w:t>活污水</w:t>
            </w:r>
          </w:p>
          <w:p w14:paraId="6090CF5B">
            <w:pPr>
              <w:adjustRightInd w:val="0"/>
              <w:snapToGrid w:val="0"/>
              <w:spacing w:line="360" w:lineRule="auto"/>
              <w:ind w:firstLine="480" w:firstLineChars="200"/>
              <w:rPr>
                <w:color w:val="auto"/>
                <w:sz w:val="24"/>
                <w:szCs w:val="24"/>
              </w:rPr>
            </w:pPr>
            <w:r>
              <w:rPr>
                <w:rFonts w:hint="eastAsia"/>
                <w:color w:val="auto"/>
                <w:kern w:val="18"/>
                <w:sz w:val="24"/>
                <w:szCs w:val="24"/>
              </w:rPr>
              <w:t>本项目</w:t>
            </w:r>
            <w:r>
              <w:rPr>
                <w:rFonts w:hint="eastAsia"/>
                <w:color w:val="auto"/>
                <w:kern w:val="18"/>
                <w:sz w:val="24"/>
                <w:szCs w:val="24"/>
                <w:lang w:val="en-US" w:eastAsia="zh-CN"/>
              </w:rPr>
              <w:t>拟招聘职工150人，其中100人住厂，参考《建筑给水排水设计标准》（GB50015-2019），住厂员工生活用水量以人均150L/d，不住厂职工生活用水量50150L/d，则项目生活用水量为17.5t/d（5250t/a），污水排放系数为0.85，排水量为14.875t/d（4462.5t/a）。</w:t>
            </w:r>
            <w:r>
              <w:rPr>
                <w:rFonts w:hAnsi="宋体"/>
                <w:color w:val="auto"/>
                <w:sz w:val="24"/>
                <w:szCs w:val="24"/>
              </w:rPr>
              <w:t>生活污水经</w:t>
            </w:r>
            <w:r>
              <w:rPr>
                <w:rFonts w:hint="eastAsia" w:hAnsi="宋体"/>
                <w:color w:val="auto"/>
                <w:sz w:val="24"/>
                <w:szCs w:val="24"/>
              </w:rPr>
              <w:t>厂区化粪池</w:t>
            </w:r>
            <w:r>
              <w:rPr>
                <w:rFonts w:hAnsi="宋体"/>
                <w:color w:val="auto"/>
                <w:sz w:val="24"/>
                <w:szCs w:val="24"/>
              </w:rPr>
              <w:t>处理</w:t>
            </w:r>
            <w:r>
              <w:rPr>
                <w:rFonts w:hint="eastAsia"/>
                <w:color w:val="auto"/>
                <w:kern w:val="18"/>
                <w:sz w:val="24"/>
                <w:szCs w:val="24"/>
              </w:rPr>
              <w:t>后通过污水管网</w:t>
            </w:r>
            <w:r>
              <w:rPr>
                <w:rFonts w:hint="eastAsia"/>
                <w:color w:val="auto"/>
                <w:kern w:val="18"/>
                <w:sz w:val="24"/>
                <w:szCs w:val="24"/>
                <w:lang w:val="en-US" w:eastAsia="zh-CN"/>
              </w:rPr>
              <w:t>汇入</w:t>
            </w:r>
            <w:r>
              <w:rPr>
                <w:rFonts w:hint="eastAsia"/>
                <w:color w:val="auto"/>
                <w:sz w:val="24"/>
                <w:szCs w:val="24"/>
                <w:lang w:eastAsia="zh-CN"/>
              </w:rPr>
              <w:t>大田经济开发区上京工业园污水处理厂</w:t>
            </w:r>
            <w:r>
              <w:rPr>
                <w:rFonts w:hint="eastAsia"/>
                <w:color w:val="auto"/>
                <w:kern w:val="18"/>
                <w:sz w:val="24"/>
                <w:szCs w:val="24"/>
                <w:lang w:val="en-US" w:eastAsia="zh-CN"/>
              </w:rPr>
              <w:t>进一步</w:t>
            </w:r>
            <w:r>
              <w:rPr>
                <w:rFonts w:hint="eastAsia"/>
                <w:color w:val="auto"/>
                <w:kern w:val="18"/>
                <w:sz w:val="24"/>
                <w:szCs w:val="24"/>
              </w:rPr>
              <w:t>处理</w:t>
            </w:r>
            <w:r>
              <w:rPr>
                <w:color w:val="auto"/>
                <w:sz w:val="24"/>
                <w:szCs w:val="24"/>
              </w:rPr>
              <w:t>。</w:t>
            </w:r>
          </w:p>
          <w:p w14:paraId="2E6FB046">
            <w:pPr>
              <w:adjustRightInd w:val="0"/>
              <w:snapToGrid w:val="0"/>
              <w:spacing w:line="360" w:lineRule="auto"/>
              <w:ind w:firstLine="480" w:firstLineChars="200"/>
              <w:rPr>
                <w:color w:val="auto"/>
                <w:sz w:val="24"/>
                <w:szCs w:val="24"/>
              </w:rPr>
            </w:pPr>
            <w:r>
              <w:rPr>
                <w:color w:val="auto"/>
                <w:sz w:val="24"/>
                <w:szCs w:val="24"/>
              </w:rPr>
              <w:t>根据给水排水设计手册（第5册）中§4.2城镇污水水质，生活污水中各主要污染物浓度COD：</w:t>
            </w:r>
            <w:r>
              <w:rPr>
                <w:rFonts w:hint="eastAsia"/>
                <w:color w:val="auto"/>
                <w:sz w:val="24"/>
                <w:szCs w:val="24"/>
              </w:rPr>
              <w:t>25</w:t>
            </w:r>
            <w:r>
              <w:rPr>
                <w:color w:val="auto"/>
                <w:sz w:val="24"/>
                <w:szCs w:val="24"/>
              </w:rPr>
              <w:t>0mg/L，BOD</w:t>
            </w:r>
            <w:r>
              <w:rPr>
                <w:color w:val="auto"/>
                <w:sz w:val="24"/>
                <w:szCs w:val="24"/>
                <w:vertAlign w:val="subscript"/>
              </w:rPr>
              <w:t>5</w:t>
            </w:r>
            <w:r>
              <w:rPr>
                <w:color w:val="auto"/>
                <w:sz w:val="24"/>
                <w:szCs w:val="24"/>
              </w:rPr>
              <w:t>：</w:t>
            </w:r>
            <w:r>
              <w:rPr>
                <w:rFonts w:hint="eastAsia"/>
                <w:color w:val="auto"/>
                <w:sz w:val="24"/>
                <w:szCs w:val="24"/>
              </w:rPr>
              <w:t>15</w:t>
            </w:r>
            <w:r>
              <w:rPr>
                <w:color w:val="auto"/>
                <w:sz w:val="24"/>
                <w:szCs w:val="24"/>
              </w:rPr>
              <w:t>0mg/L，SS：200mg/L，NH</w:t>
            </w:r>
            <w:r>
              <w:rPr>
                <w:color w:val="auto"/>
                <w:sz w:val="24"/>
                <w:szCs w:val="24"/>
                <w:vertAlign w:val="subscript"/>
              </w:rPr>
              <w:t>3</w:t>
            </w:r>
            <w:r>
              <w:rPr>
                <w:color w:val="auto"/>
                <w:sz w:val="24"/>
                <w:szCs w:val="24"/>
              </w:rPr>
              <w:t>-N：</w:t>
            </w:r>
            <w:r>
              <w:rPr>
                <w:rFonts w:hint="eastAsia"/>
                <w:color w:val="auto"/>
                <w:sz w:val="24"/>
                <w:szCs w:val="24"/>
              </w:rPr>
              <w:t>2</w:t>
            </w:r>
            <w:r>
              <w:rPr>
                <w:color w:val="auto"/>
                <w:sz w:val="24"/>
                <w:szCs w:val="24"/>
              </w:rPr>
              <w:t>5mg/L，</w:t>
            </w:r>
            <w:r>
              <w:rPr>
                <w:rFonts w:hint="eastAsia"/>
                <w:color w:val="auto"/>
                <w:sz w:val="24"/>
                <w:szCs w:val="24"/>
              </w:rPr>
              <w:t>TP</w:t>
            </w:r>
            <w:r>
              <w:rPr>
                <w:color w:val="auto"/>
                <w:sz w:val="24"/>
                <w:szCs w:val="24"/>
              </w:rPr>
              <w:t>：</w:t>
            </w:r>
            <w:r>
              <w:rPr>
                <w:rFonts w:hint="eastAsia"/>
                <w:color w:val="auto"/>
                <w:sz w:val="24"/>
                <w:szCs w:val="24"/>
              </w:rPr>
              <w:t>4</w:t>
            </w:r>
            <w:r>
              <w:rPr>
                <w:color w:val="auto"/>
                <w:sz w:val="24"/>
                <w:szCs w:val="24"/>
              </w:rPr>
              <w:t>mg/L，</w:t>
            </w:r>
            <w:r>
              <w:rPr>
                <w:rFonts w:hint="eastAsia"/>
                <w:color w:val="auto"/>
                <w:sz w:val="24"/>
                <w:szCs w:val="24"/>
              </w:rPr>
              <w:t>T</w:t>
            </w:r>
            <w:r>
              <w:rPr>
                <w:color w:val="auto"/>
                <w:sz w:val="24"/>
                <w:szCs w:val="24"/>
              </w:rPr>
              <w:t>N：</w:t>
            </w:r>
            <w:r>
              <w:rPr>
                <w:rFonts w:hint="eastAsia"/>
                <w:color w:val="auto"/>
                <w:sz w:val="24"/>
                <w:szCs w:val="24"/>
              </w:rPr>
              <w:t>30</w:t>
            </w:r>
            <w:r>
              <w:rPr>
                <w:color w:val="auto"/>
                <w:sz w:val="24"/>
                <w:szCs w:val="24"/>
              </w:rPr>
              <w:t>mg/L</w:t>
            </w:r>
            <w:r>
              <w:rPr>
                <w:rFonts w:hint="eastAsia"/>
                <w:color w:val="auto"/>
                <w:sz w:val="24"/>
                <w:szCs w:val="24"/>
              </w:rPr>
              <w:t>。</w:t>
            </w:r>
          </w:p>
          <w:p w14:paraId="0DCA3B95">
            <w:pPr>
              <w:adjustRightInd w:val="0"/>
              <w:snapToGrid w:val="0"/>
              <w:spacing w:line="360" w:lineRule="auto"/>
              <w:ind w:firstLine="480" w:firstLineChars="200"/>
              <w:rPr>
                <w:color w:val="auto"/>
                <w:sz w:val="24"/>
                <w:szCs w:val="24"/>
              </w:rPr>
            </w:pPr>
            <w:r>
              <w:rPr>
                <w:rFonts w:hint="eastAsia"/>
                <w:color w:val="auto"/>
                <w:sz w:val="24"/>
                <w:szCs w:val="24"/>
              </w:rPr>
              <w:t>化粪池对COD</w:t>
            </w:r>
            <w:r>
              <w:rPr>
                <w:rFonts w:hint="eastAsia"/>
                <w:color w:val="auto"/>
                <w:sz w:val="24"/>
                <w:szCs w:val="24"/>
                <w:vertAlign w:val="subscript"/>
              </w:rPr>
              <w:t>Cr</w:t>
            </w:r>
            <w:r>
              <w:rPr>
                <w:rFonts w:hint="eastAsia"/>
                <w:color w:val="auto"/>
                <w:sz w:val="24"/>
                <w:szCs w:val="24"/>
              </w:rPr>
              <w:t>、BOD</w:t>
            </w:r>
            <w:r>
              <w:rPr>
                <w:rFonts w:hint="eastAsia"/>
                <w:color w:val="auto"/>
                <w:sz w:val="24"/>
                <w:szCs w:val="24"/>
                <w:vertAlign w:val="subscript"/>
              </w:rPr>
              <w:t>5</w:t>
            </w:r>
            <w:r>
              <w:rPr>
                <w:rFonts w:hint="eastAsia"/>
                <w:color w:val="auto"/>
                <w:sz w:val="24"/>
                <w:szCs w:val="24"/>
              </w:rPr>
              <w:t>、氨氮的去除率参照2019年4月生态环境部华南环境科学研究所发布的《第二次全国污染源普查城镇生活污染源产排污系数手册》表6-4中“四区二类区生活污水污染物产生及排放系数”，经初级处理排放系数(化粪池预处理后)去除效率分别为19.3%、12.7%、0%，SS参照原环境保护局发布的文件《村镇生活污染防治最佳可行技术指南(试行)》(HJ-BAT-9)中化粪池对SS的去除率为60%～70%，本评价按60%计算。</w:t>
            </w:r>
          </w:p>
          <w:p w14:paraId="225C87EA">
            <w:pPr>
              <w:adjustRightInd w:val="0"/>
              <w:snapToGrid w:val="0"/>
              <w:spacing w:line="360" w:lineRule="auto"/>
              <w:ind w:firstLine="480" w:firstLineChars="200"/>
              <w:rPr>
                <w:rFonts w:hint="eastAsia"/>
                <w:color w:val="auto"/>
                <w:sz w:val="24"/>
                <w:szCs w:val="24"/>
              </w:rPr>
            </w:pPr>
            <w:r>
              <w:rPr>
                <w:rFonts w:hint="eastAsia"/>
                <w:color w:val="auto"/>
                <w:sz w:val="24"/>
                <w:szCs w:val="24"/>
              </w:rPr>
              <w:t>生活污水经化粪池处理后可满足</w:t>
            </w:r>
            <w:r>
              <w:rPr>
                <w:rFonts w:hint="eastAsia"/>
                <w:color w:val="auto"/>
                <w:sz w:val="24"/>
                <w:szCs w:val="24"/>
                <w:lang w:eastAsia="zh-CN"/>
              </w:rPr>
              <w:t>大田经济开发区上京工业园污水处理厂</w:t>
            </w:r>
            <w:r>
              <w:rPr>
                <w:rFonts w:hint="eastAsia"/>
                <w:color w:val="auto"/>
                <w:sz w:val="24"/>
                <w:szCs w:val="24"/>
              </w:rPr>
              <w:t>纳管水质要求，</w:t>
            </w:r>
            <w:r>
              <w:rPr>
                <w:rFonts w:hint="eastAsia"/>
                <w:color w:val="auto"/>
                <w:sz w:val="24"/>
                <w:szCs w:val="24"/>
                <w:highlight w:val="none"/>
              </w:rPr>
              <w:t>生活污水产排情况详见下表4-</w:t>
            </w:r>
            <w:r>
              <w:rPr>
                <w:rFonts w:hint="eastAsia"/>
                <w:color w:val="auto"/>
                <w:sz w:val="24"/>
                <w:szCs w:val="24"/>
                <w:highlight w:val="none"/>
                <w:lang w:val="en-US" w:eastAsia="zh-CN"/>
              </w:rPr>
              <w:t>33</w:t>
            </w:r>
            <w:r>
              <w:rPr>
                <w:rFonts w:hint="eastAsia"/>
                <w:color w:val="auto"/>
                <w:sz w:val="24"/>
                <w:szCs w:val="24"/>
                <w:highlight w:val="none"/>
              </w:rPr>
              <w:t>。</w:t>
            </w:r>
          </w:p>
          <w:p w14:paraId="52D6EC1B">
            <w:pPr>
              <w:pStyle w:val="82"/>
              <w:rPr>
                <w:color w:val="auto"/>
                <w:sz w:val="24"/>
                <w:szCs w:val="24"/>
              </w:rPr>
            </w:pPr>
            <w:r>
              <w:rPr>
                <w:rFonts w:hint="eastAsia"/>
                <w:color w:val="auto"/>
                <w:sz w:val="24"/>
                <w:szCs w:val="24"/>
              </w:rPr>
              <w:t>2</w:t>
            </w:r>
            <w:r>
              <w:rPr>
                <w:color w:val="auto"/>
                <w:sz w:val="24"/>
                <w:szCs w:val="24"/>
              </w:rPr>
              <w:t>.2</w:t>
            </w:r>
            <w:r>
              <w:rPr>
                <w:rFonts w:hint="eastAsia"/>
                <w:color w:val="auto"/>
                <w:sz w:val="24"/>
                <w:szCs w:val="24"/>
              </w:rPr>
              <w:t>污水处理设施可行性分析</w:t>
            </w:r>
          </w:p>
          <w:p w14:paraId="22F6E05A">
            <w:pPr>
              <w:spacing w:line="360" w:lineRule="auto"/>
              <w:ind w:firstLine="480" w:firstLineChars="200"/>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rPr>
              <w:t>1）</w:t>
            </w:r>
            <w:r>
              <w:rPr>
                <w:rFonts w:hint="eastAsia"/>
                <w:color w:val="auto"/>
                <w:sz w:val="24"/>
                <w:szCs w:val="24"/>
                <w:lang w:val="en-US" w:eastAsia="zh-CN"/>
              </w:rPr>
              <w:t>生产废水</w:t>
            </w:r>
          </w:p>
          <w:p w14:paraId="0219C926">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项目冷却塔、喷淋塔、冷却水槽、管道试压、灭火器检验等工序循环水更换产生的废水含盐、悬浮物浓度较高，定期更换产生的废水</w:t>
            </w:r>
            <w:r>
              <w:rPr>
                <w:rFonts w:hint="eastAsia" w:cs="Times New Roman"/>
                <w:color w:val="auto"/>
                <w:sz w:val="24"/>
                <w:szCs w:val="24"/>
                <w:lang w:val="en-US" w:eastAsia="zh-CN"/>
              </w:rPr>
              <w:t>作为粘土砂铸造混砂用水回用于生产，不外排</w:t>
            </w:r>
            <w:r>
              <w:rPr>
                <w:rFonts w:hint="eastAsia"/>
                <w:color w:val="auto"/>
                <w:sz w:val="24"/>
                <w:szCs w:val="24"/>
                <w:lang w:val="en-US" w:eastAsia="zh-CN"/>
              </w:rPr>
              <w:t>。经计算，废水量为240.4t/a（0.881t/d）。</w:t>
            </w:r>
          </w:p>
          <w:p w14:paraId="701B7E66">
            <w:pPr>
              <w:spacing w:line="360" w:lineRule="auto"/>
              <w:ind w:firstLine="480" w:firstLineChars="200"/>
              <w:rPr>
                <w:rFonts w:hint="default"/>
                <w:color w:val="auto"/>
                <w:sz w:val="24"/>
                <w:szCs w:val="24"/>
                <w:lang w:val="en-US" w:eastAsia="zh-CN"/>
              </w:rPr>
            </w:pPr>
            <w:r>
              <w:rPr>
                <w:rFonts w:hint="eastAsia" w:cs="Times New Roman"/>
                <w:color w:val="auto"/>
                <w:sz w:val="24"/>
                <w:szCs w:val="24"/>
                <w:lang w:val="en-US" w:eastAsia="zh-CN"/>
              </w:rPr>
              <w:t>粘土砂铸造混砂工序对混砂配料用水水质无要求，项目各设备循环水更换产生的废水回用粘土砂混砂配料是可行的。</w:t>
            </w:r>
          </w:p>
          <w:p w14:paraId="1A2CA852">
            <w:pPr>
              <w:spacing w:line="360" w:lineRule="auto"/>
              <w:ind w:firstLine="480" w:firstLineChars="200"/>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rPr>
              <w:t>）</w:t>
            </w:r>
            <w:r>
              <w:rPr>
                <w:rFonts w:hint="eastAsia"/>
                <w:color w:val="auto"/>
                <w:sz w:val="24"/>
                <w:szCs w:val="24"/>
                <w:lang w:val="en-US" w:eastAsia="zh-CN"/>
              </w:rPr>
              <w:t>生活污水</w:t>
            </w:r>
          </w:p>
          <w:p w14:paraId="3E420378">
            <w:pPr>
              <w:spacing w:line="360" w:lineRule="auto"/>
              <w:ind w:firstLine="480" w:firstLineChars="200"/>
              <w:rPr>
                <w:color w:val="auto"/>
                <w:kern w:val="18"/>
                <w:sz w:val="24"/>
                <w:szCs w:val="24"/>
              </w:rPr>
            </w:pPr>
            <w:r>
              <w:rPr>
                <w:color w:val="auto"/>
                <w:kern w:val="18"/>
                <w:sz w:val="24"/>
                <w:szCs w:val="24"/>
              </w:rPr>
              <w:t>根据</w:t>
            </w:r>
            <w:r>
              <w:rPr>
                <w:rFonts w:hint="eastAsia"/>
                <w:color w:val="auto"/>
                <w:kern w:val="18"/>
                <w:sz w:val="24"/>
                <w:szCs w:val="24"/>
              </w:rPr>
              <w:t>“</w:t>
            </w:r>
            <w:r>
              <w:rPr>
                <w:color w:val="auto"/>
                <w:kern w:val="18"/>
                <w:sz w:val="24"/>
                <w:szCs w:val="24"/>
              </w:rPr>
              <w:t>《排污许可证申请与核发技术规范 总则》（HJ 942-2018）中4.5.3.1</w:t>
            </w:r>
            <w:r>
              <w:rPr>
                <w:rFonts w:hint="eastAsia"/>
                <w:color w:val="auto"/>
                <w:kern w:val="18"/>
                <w:sz w:val="24"/>
                <w:szCs w:val="24"/>
              </w:rPr>
              <w:t>”</w:t>
            </w:r>
            <w:r>
              <w:rPr>
                <w:color w:val="auto"/>
                <w:kern w:val="18"/>
                <w:sz w:val="24"/>
                <w:szCs w:val="24"/>
              </w:rPr>
              <w:t>，生活污水防治工艺为“过滤、沉淀-活性污泥法、生物接触氧化、其他”等处理技术或其他。</w:t>
            </w:r>
            <w:r>
              <w:rPr>
                <w:rFonts w:hint="eastAsia"/>
                <w:color w:val="auto"/>
                <w:kern w:val="18"/>
                <w:sz w:val="24"/>
                <w:szCs w:val="24"/>
              </w:rPr>
              <w:t>本项目</w:t>
            </w:r>
            <w:r>
              <w:rPr>
                <w:color w:val="auto"/>
                <w:kern w:val="18"/>
                <w:sz w:val="24"/>
                <w:szCs w:val="24"/>
              </w:rPr>
              <w:t>生活污水</w:t>
            </w:r>
            <w:r>
              <w:rPr>
                <w:rFonts w:hint="eastAsia"/>
                <w:color w:val="auto"/>
                <w:kern w:val="18"/>
                <w:sz w:val="24"/>
                <w:szCs w:val="24"/>
              </w:rPr>
              <w:t>经</w:t>
            </w:r>
            <w:r>
              <w:rPr>
                <w:rFonts w:hint="eastAsia"/>
                <w:color w:val="auto"/>
                <w:sz w:val="24"/>
                <w:szCs w:val="24"/>
              </w:rPr>
              <w:t>厂区现有</w:t>
            </w:r>
            <w:r>
              <w:rPr>
                <w:color w:val="auto"/>
                <w:kern w:val="18"/>
                <w:sz w:val="24"/>
                <w:szCs w:val="24"/>
              </w:rPr>
              <w:t>化粪池</w:t>
            </w:r>
            <w:r>
              <w:rPr>
                <w:rFonts w:hint="eastAsia"/>
                <w:color w:val="auto"/>
                <w:kern w:val="18"/>
                <w:sz w:val="24"/>
                <w:szCs w:val="24"/>
              </w:rPr>
              <w:t>处理后排入污水处理厂进行深度处理。</w:t>
            </w:r>
            <w:r>
              <w:rPr>
                <w:color w:val="auto"/>
                <w:kern w:val="18"/>
                <w:sz w:val="24"/>
                <w:szCs w:val="24"/>
              </w:rPr>
              <w:t>化粪池是一种利用沉淀和厌氧发酵的原理，去除生活污水中悬浮性有机物的处理设施，属于初级的过渡性生活处理构筑物，属于可行性技术。</w:t>
            </w:r>
          </w:p>
          <w:p w14:paraId="058BD67C">
            <w:pPr>
              <w:pStyle w:val="151"/>
              <w:spacing w:line="360" w:lineRule="auto"/>
              <w:ind w:firstLine="480" w:firstLineChars="200"/>
              <w:rPr>
                <w:color w:val="auto"/>
                <w:kern w:val="0"/>
                <w:sz w:val="24"/>
                <w:szCs w:val="24"/>
                <w:lang w:bidi="ar"/>
              </w:rPr>
            </w:pPr>
            <w:r>
              <w:rPr>
                <w:color w:val="auto"/>
                <w:kern w:val="0"/>
                <w:sz w:val="24"/>
                <w:szCs w:val="24"/>
                <w:lang w:bidi="ar"/>
              </w:rPr>
              <w:t>根据现场调查及业主提供资料，</w:t>
            </w:r>
            <w:r>
              <w:rPr>
                <w:rFonts w:hint="eastAsia"/>
                <w:color w:val="auto"/>
                <w:kern w:val="0"/>
                <w:sz w:val="24"/>
                <w:szCs w:val="24"/>
                <w:lang w:val="en-US" w:eastAsia="zh-CN" w:bidi="ar"/>
              </w:rPr>
              <w:t>项目</w:t>
            </w:r>
            <w:r>
              <w:rPr>
                <w:color w:val="auto"/>
                <w:kern w:val="0"/>
                <w:sz w:val="24"/>
                <w:szCs w:val="24"/>
                <w:lang w:bidi="ar"/>
              </w:rPr>
              <w:t>采用“清污分流、雨污分流”设计，</w:t>
            </w:r>
            <w:r>
              <w:rPr>
                <w:rFonts w:hint="eastAsia"/>
                <w:color w:val="auto"/>
                <w:kern w:val="0"/>
                <w:sz w:val="24"/>
                <w:szCs w:val="24"/>
                <w:lang w:bidi="ar"/>
              </w:rPr>
              <w:t>厂区</w:t>
            </w:r>
            <w:r>
              <w:rPr>
                <w:color w:val="auto"/>
                <w:kern w:val="0"/>
                <w:sz w:val="24"/>
                <w:szCs w:val="24"/>
                <w:lang w:bidi="ar"/>
              </w:rPr>
              <w:t>配套化粪池容积约</w:t>
            </w:r>
            <w:r>
              <w:rPr>
                <w:rFonts w:hint="eastAsia"/>
                <w:color w:val="auto"/>
                <w:kern w:val="0"/>
                <w:sz w:val="24"/>
                <w:szCs w:val="24"/>
                <w:lang w:val="en-US" w:eastAsia="zh-CN" w:bidi="ar"/>
              </w:rPr>
              <w:t>30</w:t>
            </w:r>
            <w:r>
              <w:rPr>
                <w:color w:val="auto"/>
                <w:kern w:val="0"/>
                <w:sz w:val="24"/>
                <w:szCs w:val="24"/>
                <w:lang w:bidi="ar"/>
              </w:rPr>
              <w:t>m</w:t>
            </w:r>
            <w:r>
              <w:rPr>
                <w:color w:val="auto"/>
                <w:kern w:val="0"/>
                <w:sz w:val="24"/>
                <w:szCs w:val="24"/>
                <w:vertAlign w:val="superscript"/>
                <w:lang w:bidi="ar"/>
              </w:rPr>
              <w:t>3</w:t>
            </w:r>
            <w:r>
              <w:rPr>
                <w:color w:val="auto"/>
                <w:kern w:val="0"/>
                <w:sz w:val="24"/>
                <w:szCs w:val="24"/>
                <w:lang w:bidi="ar"/>
              </w:rPr>
              <w:t>，本项目生活污水排放量</w:t>
            </w:r>
            <w:r>
              <w:rPr>
                <w:rFonts w:hint="eastAsia"/>
                <w:color w:val="auto"/>
                <w:kern w:val="0"/>
                <w:sz w:val="24"/>
                <w:szCs w:val="24"/>
                <w:lang w:val="en-US" w:eastAsia="zh-CN" w:bidi="ar"/>
              </w:rPr>
              <w:t>14.875</w:t>
            </w:r>
            <w:r>
              <w:rPr>
                <w:rFonts w:hint="eastAsia"/>
                <w:bCs/>
                <w:snapToGrid w:val="0"/>
                <w:color w:val="auto"/>
                <w:sz w:val="24"/>
                <w:szCs w:val="24"/>
                <w:lang w:val="en-US" w:eastAsia="zh-CN"/>
              </w:rPr>
              <w:t>t</w:t>
            </w:r>
            <w:r>
              <w:rPr>
                <w:bCs/>
                <w:snapToGrid w:val="0"/>
                <w:color w:val="auto"/>
                <w:sz w:val="24"/>
                <w:szCs w:val="24"/>
              </w:rPr>
              <w:t>/d</w:t>
            </w:r>
            <w:r>
              <w:rPr>
                <w:rFonts w:hint="eastAsia"/>
                <w:bCs/>
                <w:snapToGrid w:val="0"/>
                <w:color w:val="auto"/>
                <w:sz w:val="24"/>
                <w:szCs w:val="24"/>
                <w:lang w:eastAsia="zh-CN"/>
              </w:rPr>
              <w:t>（</w:t>
            </w:r>
            <w:r>
              <w:rPr>
                <w:rFonts w:hint="eastAsia"/>
                <w:bCs/>
                <w:snapToGrid w:val="0"/>
                <w:color w:val="auto"/>
                <w:sz w:val="24"/>
                <w:szCs w:val="24"/>
                <w:lang w:val="en-US" w:eastAsia="zh-CN"/>
              </w:rPr>
              <w:t>4462.5t/a</w:t>
            </w:r>
            <w:r>
              <w:rPr>
                <w:rFonts w:hint="eastAsia"/>
                <w:bCs/>
                <w:snapToGrid w:val="0"/>
                <w:color w:val="auto"/>
                <w:sz w:val="24"/>
                <w:szCs w:val="24"/>
                <w:lang w:eastAsia="zh-CN"/>
              </w:rPr>
              <w:t>）</w:t>
            </w:r>
            <w:r>
              <w:rPr>
                <w:color w:val="auto"/>
                <w:kern w:val="0"/>
                <w:sz w:val="24"/>
                <w:szCs w:val="24"/>
                <w:lang w:bidi="ar"/>
              </w:rPr>
              <w:t>，</w:t>
            </w:r>
            <w:r>
              <w:rPr>
                <w:rFonts w:hint="eastAsia"/>
                <w:color w:val="auto"/>
                <w:sz w:val="24"/>
                <w:szCs w:val="24"/>
              </w:rPr>
              <w:t>一般要求生活污水在化粪池中停留的时间不小于12小时</w:t>
            </w:r>
            <w:r>
              <w:rPr>
                <w:rFonts w:hint="eastAsia"/>
                <w:color w:val="auto"/>
                <w:kern w:val="0"/>
                <w:sz w:val="24"/>
                <w:szCs w:val="24"/>
                <w:lang w:bidi="ar"/>
              </w:rPr>
              <w:t>，</w:t>
            </w:r>
            <w:r>
              <w:rPr>
                <w:rFonts w:hint="eastAsia"/>
                <w:color w:val="auto"/>
                <w:kern w:val="0"/>
                <w:sz w:val="24"/>
                <w:szCs w:val="24"/>
                <w:lang w:val="en-US" w:eastAsia="zh-CN" w:bidi="ar"/>
              </w:rPr>
              <w:t>项目</w:t>
            </w:r>
            <w:r>
              <w:rPr>
                <w:rFonts w:hint="eastAsia"/>
                <w:color w:val="auto"/>
                <w:kern w:val="0"/>
                <w:sz w:val="24"/>
                <w:szCs w:val="24"/>
                <w:lang w:bidi="ar"/>
              </w:rPr>
              <w:t>化粪池处理能力完全</w:t>
            </w:r>
            <w:r>
              <w:rPr>
                <w:color w:val="auto"/>
                <w:kern w:val="0"/>
                <w:sz w:val="24"/>
                <w:szCs w:val="24"/>
                <w:lang w:bidi="ar"/>
              </w:rPr>
              <w:t>可满足本项目生活污水处理需求</w:t>
            </w:r>
            <w:r>
              <w:rPr>
                <w:rFonts w:hint="eastAsia"/>
                <w:color w:val="auto"/>
                <w:kern w:val="0"/>
                <w:sz w:val="24"/>
                <w:szCs w:val="24"/>
                <w:lang w:bidi="ar"/>
              </w:rPr>
              <w:t>（废水停留时间超过</w:t>
            </w:r>
            <w:r>
              <w:rPr>
                <w:rFonts w:hint="eastAsia"/>
                <w:color w:val="auto"/>
                <w:kern w:val="0"/>
                <w:sz w:val="24"/>
                <w:szCs w:val="24"/>
                <w:lang w:val="en-US" w:eastAsia="zh-CN" w:bidi="ar"/>
              </w:rPr>
              <w:t>2</w:t>
            </w:r>
            <w:r>
              <w:rPr>
                <w:rFonts w:hint="eastAsia"/>
                <w:color w:val="auto"/>
                <w:kern w:val="0"/>
                <w:sz w:val="24"/>
                <w:szCs w:val="24"/>
                <w:lang w:bidi="ar"/>
              </w:rPr>
              <w:t>d）</w:t>
            </w:r>
            <w:r>
              <w:rPr>
                <w:color w:val="auto"/>
                <w:kern w:val="0"/>
                <w:sz w:val="24"/>
                <w:szCs w:val="24"/>
                <w:lang w:bidi="ar"/>
              </w:rPr>
              <w:t>。</w:t>
            </w:r>
          </w:p>
          <w:p w14:paraId="60AFF5E3">
            <w:pPr>
              <w:spacing w:line="360" w:lineRule="auto"/>
              <w:ind w:firstLine="480" w:firstLineChars="200"/>
              <w:rPr>
                <w:color w:val="auto"/>
                <w:sz w:val="24"/>
                <w:szCs w:val="24"/>
              </w:rPr>
            </w:pPr>
            <w:r>
              <w:rPr>
                <w:color w:val="auto"/>
                <w:kern w:val="18"/>
                <w:sz w:val="24"/>
                <w:szCs w:val="24"/>
              </w:rPr>
              <w:t>本项目生活</w:t>
            </w:r>
            <w:r>
              <w:rPr>
                <w:rFonts w:hint="eastAsia"/>
                <w:color w:val="auto"/>
                <w:kern w:val="18"/>
                <w:sz w:val="24"/>
                <w:szCs w:val="24"/>
              </w:rPr>
              <w:t>污水</w:t>
            </w:r>
            <w:r>
              <w:rPr>
                <w:color w:val="auto"/>
                <w:kern w:val="18"/>
                <w:sz w:val="24"/>
                <w:szCs w:val="24"/>
              </w:rPr>
              <w:t>排放量为</w:t>
            </w:r>
            <w:r>
              <w:rPr>
                <w:rFonts w:hint="eastAsia"/>
                <w:color w:val="auto"/>
                <w:kern w:val="18"/>
                <w:sz w:val="24"/>
                <w:szCs w:val="24"/>
                <w:lang w:val="en-US" w:eastAsia="zh-CN"/>
              </w:rPr>
              <w:t>4462.5t</w:t>
            </w:r>
            <w:r>
              <w:rPr>
                <w:color w:val="auto"/>
                <w:kern w:val="18"/>
                <w:sz w:val="24"/>
                <w:szCs w:val="24"/>
              </w:rPr>
              <w:t>/a</w:t>
            </w:r>
            <w:r>
              <w:rPr>
                <w:rFonts w:hint="eastAsia"/>
                <w:color w:val="auto"/>
                <w:sz w:val="24"/>
                <w:szCs w:val="24"/>
              </w:rPr>
              <w:t>，</w:t>
            </w:r>
            <w:r>
              <w:rPr>
                <w:color w:val="auto"/>
                <w:sz w:val="24"/>
                <w:szCs w:val="24"/>
              </w:rPr>
              <w:t>主要污染物为</w:t>
            </w:r>
            <w:r>
              <w:rPr>
                <w:rFonts w:hint="eastAsia"/>
                <w:color w:val="auto"/>
                <w:kern w:val="18"/>
                <w:sz w:val="24"/>
                <w:szCs w:val="24"/>
              </w:rPr>
              <w:t>CODcr</w:t>
            </w:r>
            <w:r>
              <w:rPr>
                <w:color w:val="auto"/>
                <w:kern w:val="18"/>
                <w:sz w:val="24"/>
                <w:szCs w:val="24"/>
              </w:rPr>
              <w:t>、BOD</w:t>
            </w:r>
            <w:r>
              <w:rPr>
                <w:rFonts w:hint="eastAsia"/>
                <w:color w:val="auto"/>
                <w:kern w:val="18"/>
                <w:sz w:val="24"/>
                <w:szCs w:val="24"/>
                <w:vertAlign w:val="subscript"/>
              </w:rPr>
              <w:t>5</w:t>
            </w:r>
            <w:r>
              <w:rPr>
                <w:color w:val="auto"/>
                <w:kern w:val="18"/>
                <w:sz w:val="24"/>
                <w:szCs w:val="24"/>
              </w:rPr>
              <w:t>、SS、NH</w:t>
            </w:r>
            <w:r>
              <w:rPr>
                <w:color w:val="auto"/>
                <w:kern w:val="18"/>
                <w:sz w:val="24"/>
                <w:szCs w:val="24"/>
                <w:vertAlign w:val="subscript"/>
              </w:rPr>
              <w:t>3</w:t>
            </w:r>
            <w:r>
              <w:rPr>
                <w:color w:val="auto"/>
                <w:kern w:val="18"/>
                <w:sz w:val="24"/>
                <w:szCs w:val="24"/>
              </w:rPr>
              <w:t>-N</w:t>
            </w:r>
            <w:r>
              <w:rPr>
                <w:rFonts w:hint="eastAsia"/>
                <w:color w:val="auto"/>
                <w:kern w:val="18"/>
                <w:sz w:val="24"/>
                <w:szCs w:val="24"/>
              </w:rPr>
              <w:t>、TP、TN</w:t>
            </w:r>
            <w:r>
              <w:rPr>
                <w:color w:val="auto"/>
                <w:sz w:val="24"/>
                <w:szCs w:val="24"/>
              </w:rPr>
              <w:t>等</w:t>
            </w:r>
            <w:r>
              <w:rPr>
                <w:rFonts w:hint="eastAsia"/>
                <w:color w:val="auto"/>
                <w:sz w:val="24"/>
                <w:szCs w:val="24"/>
              </w:rPr>
              <w:t>，</w:t>
            </w:r>
            <w:r>
              <w:rPr>
                <w:rFonts w:hAnsi="宋体"/>
                <w:color w:val="auto"/>
                <w:sz w:val="24"/>
                <w:szCs w:val="24"/>
              </w:rPr>
              <w:t>经</w:t>
            </w:r>
            <w:r>
              <w:rPr>
                <w:rFonts w:hint="eastAsia" w:hAnsi="宋体"/>
                <w:color w:val="auto"/>
                <w:sz w:val="24"/>
                <w:szCs w:val="24"/>
              </w:rPr>
              <w:t>厂区化粪池预</w:t>
            </w:r>
            <w:r>
              <w:rPr>
                <w:rFonts w:hAnsi="宋体"/>
                <w:color w:val="auto"/>
                <w:sz w:val="24"/>
                <w:szCs w:val="24"/>
              </w:rPr>
              <w:t>处理</w:t>
            </w:r>
            <w:r>
              <w:rPr>
                <w:rFonts w:hint="eastAsia"/>
                <w:color w:val="auto"/>
                <w:kern w:val="18"/>
                <w:sz w:val="24"/>
                <w:szCs w:val="24"/>
              </w:rPr>
              <w:t>后通过污水管网</w:t>
            </w:r>
            <w:r>
              <w:rPr>
                <w:rFonts w:hint="eastAsia"/>
                <w:color w:val="auto"/>
                <w:kern w:val="18"/>
                <w:sz w:val="24"/>
                <w:szCs w:val="24"/>
                <w:lang w:val="en-US" w:eastAsia="zh-CN"/>
              </w:rPr>
              <w:t>汇</w:t>
            </w:r>
            <w:r>
              <w:rPr>
                <w:rFonts w:hint="eastAsia"/>
                <w:color w:val="auto"/>
                <w:kern w:val="18"/>
                <w:sz w:val="24"/>
                <w:szCs w:val="24"/>
              </w:rPr>
              <w:t>入</w:t>
            </w:r>
            <w:r>
              <w:rPr>
                <w:rFonts w:hint="eastAsia"/>
                <w:color w:val="auto"/>
                <w:sz w:val="24"/>
                <w:szCs w:val="24"/>
                <w:lang w:eastAsia="zh-CN"/>
              </w:rPr>
              <w:t>大田经济开发区上京工业园污水处理厂</w:t>
            </w:r>
            <w:r>
              <w:rPr>
                <w:rFonts w:hint="eastAsia"/>
                <w:color w:val="auto"/>
                <w:kern w:val="18"/>
                <w:sz w:val="24"/>
                <w:szCs w:val="24"/>
                <w:lang w:val="en-US" w:eastAsia="zh-CN"/>
              </w:rPr>
              <w:t>进一步</w:t>
            </w:r>
            <w:r>
              <w:rPr>
                <w:rFonts w:hint="eastAsia"/>
                <w:color w:val="auto"/>
                <w:kern w:val="18"/>
                <w:sz w:val="24"/>
                <w:szCs w:val="24"/>
              </w:rPr>
              <w:t>处理</w:t>
            </w:r>
            <w:r>
              <w:rPr>
                <w:color w:val="auto"/>
                <w:sz w:val="24"/>
                <w:szCs w:val="24"/>
              </w:rPr>
              <w:t>。根据工程分析可知，</w:t>
            </w:r>
            <w:r>
              <w:rPr>
                <w:rFonts w:hint="eastAsia"/>
                <w:color w:val="auto"/>
                <w:sz w:val="24"/>
                <w:szCs w:val="24"/>
              </w:rPr>
              <w:t>生活污水</w:t>
            </w:r>
            <w:r>
              <w:rPr>
                <w:color w:val="auto"/>
                <w:sz w:val="24"/>
                <w:szCs w:val="24"/>
              </w:rPr>
              <w:t>经</w:t>
            </w:r>
            <w:r>
              <w:rPr>
                <w:rFonts w:hint="eastAsia"/>
                <w:color w:val="auto"/>
                <w:sz w:val="24"/>
                <w:szCs w:val="24"/>
              </w:rPr>
              <w:t>化粪池处理后</w:t>
            </w:r>
            <w:r>
              <w:rPr>
                <w:color w:val="auto"/>
                <w:sz w:val="24"/>
                <w:szCs w:val="24"/>
              </w:rPr>
              <w:t>可达</w:t>
            </w:r>
            <w:r>
              <w:rPr>
                <w:rFonts w:hint="eastAsia"/>
                <w:color w:val="auto"/>
                <w:sz w:val="24"/>
                <w:szCs w:val="24"/>
              </w:rPr>
              <w:t>《污水综合排放标准》（GB8978-1996）中三级标准</w:t>
            </w:r>
            <w:r>
              <w:rPr>
                <w:color w:val="auto"/>
                <w:sz w:val="24"/>
                <w:szCs w:val="24"/>
              </w:rPr>
              <w:t>要求，NH</w:t>
            </w:r>
            <w:r>
              <w:rPr>
                <w:color w:val="auto"/>
                <w:sz w:val="24"/>
                <w:szCs w:val="24"/>
                <w:vertAlign w:val="subscript"/>
              </w:rPr>
              <w:t>3</w:t>
            </w:r>
            <w:r>
              <w:rPr>
                <w:color w:val="auto"/>
                <w:sz w:val="24"/>
                <w:szCs w:val="24"/>
              </w:rPr>
              <w:t>-N</w:t>
            </w:r>
            <w:r>
              <w:rPr>
                <w:rFonts w:hint="eastAsia"/>
                <w:color w:val="auto"/>
                <w:sz w:val="24"/>
                <w:szCs w:val="24"/>
                <w:lang w:eastAsia="zh-CN"/>
              </w:rPr>
              <w:t>、</w:t>
            </w:r>
            <w:r>
              <w:rPr>
                <w:rFonts w:hint="eastAsia"/>
                <w:color w:val="auto"/>
                <w:sz w:val="24"/>
                <w:szCs w:val="24"/>
                <w:lang w:val="en-US" w:eastAsia="zh-CN"/>
              </w:rPr>
              <w:t>总磷、总氮</w:t>
            </w:r>
            <w:r>
              <w:rPr>
                <w:color w:val="auto"/>
                <w:sz w:val="24"/>
                <w:szCs w:val="24"/>
              </w:rPr>
              <w:t>排放浓度</w:t>
            </w:r>
            <w:r>
              <w:rPr>
                <w:rFonts w:hint="eastAsia"/>
                <w:color w:val="auto"/>
                <w:sz w:val="24"/>
                <w:szCs w:val="24"/>
              </w:rPr>
              <w:t>可满足</w:t>
            </w:r>
            <w:r>
              <w:rPr>
                <w:color w:val="auto"/>
                <w:sz w:val="24"/>
                <w:szCs w:val="24"/>
              </w:rPr>
              <w:t>《污水排入城镇下水道水质标准》（GB/T31962-2015）中B级标准</w:t>
            </w:r>
            <w:r>
              <w:rPr>
                <w:rFonts w:hint="eastAsia"/>
                <w:color w:val="auto"/>
                <w:sz w:val="24"/>
                <w:szCs w:val="24"/>
              </w:rPr>
              <w:t>，</w:t>
            </w:r>
            <w:r>
              <w:rPr>
                <w:color w:val="auto"/>
                <w:sz w:val="24"/>
                <w:szCs w:val="24"/>
              </w:rPr>
              <w:t>项目废水处理可行。项目废水</w:t>
            </w:r>
            <w:r>
              <w:rPr>
                <w:rFonts w:hint="eastAsia"/>
                <w:color w:val="auto"/>
                <w:sz w:val="24"/>
                <w:szCs w:val="24"/>
                <w:lang w:val="en-US" w:eastAsia="zh-CN"/>
              </w:rPr>
              <w:t>经化粪池</w:t>
            </w:r>
            <w:r>
              <w:rPr>
                <w:color w:val="auto"/>
                <w:sz w:val="24"/>
                <w:szCs w:val="24"/>
              </w:rPr>
              <w:t>预处理后纳管进入污水处理厂集中处理，不会</w:t>
            </w:r>
            <w:r>
              <w:rPr>
                <w:rFonts w:hint="eastAsia"/>
                <w:color w:val="auto"/>
                <w:sz w:val="24"/>
                <w:szCs w:val="24"/>
                <w:lang w:val="en-US" w:eastAsia="zh-CN"/>
              </w:rPr>
              <w:t>直接</w:t>
            </w:r>
            <w:r>
              <w:rPr>
                <w:color w:val="auto"/>
                <w:sz w:val="24"/>
                <w:szCs w:val="24"/>
              </w:rPr>
              <w:t>进入周边河道，故不会对项目附近河道水质带来不利影响。</w:t>
            </w:r>
          </w:p>
          <w:p w14:paraId="5978F110">
            <w:pPr>
              <w:pStyle w:val="82"/>
              <w:rPr>
                <w:color w:val="auto"/>
                <w:sz w:val="24"/>
                <w:szCs w:val="24"/>
              </w:rPr>
            </w:pPr>
            <w:r>
              <w:rPr>
                <w:rFonts w:hint="eastAsia"/>
                <w:color w:val="auto"/>
                <w:sz w:val="24"/>
                <w:szCs w:val="24"/>
              </w:rPr>
              <w:t>2</w:t>
            </w:r>
            <w:r>
              <w:rPr>
                <w:color w:val="auto"/>
                <w:sz w:val="24"/>
                <w:szCs w:val="24"/>
              </w:rPr>
              <w:t>.3</w:t>
            </w:r>
            <w:r>
              <w:rPr>
                <w:rFonts w:hint="eastAsia"/>
                <w:color w:val="auto"/>
                <w:sz w:val="24"/>
                <w:szCs w:val="24"/>
              </w:rPr>
              <w:t>污水处理厂依托可行性</w:t>
            </w:r>
          </w:p>
          <w:p w14:paraId="22E289CB">
            <w:pPr>
              <w:wordWrap w:val="0"/>
              <w:spacing w:line="360" w:lineRule="auto"/>
              <w:ind w:firstLine="480" w:firstLineChars="200"/>
              <w:rPr>
                <w:rFonts w:hint="default"/>
                <w:b w:val="0"/>
                <w:bCs/>
                <w:color w:val="auto"/>
                <w:sz w:val="24"/>
                <w:szCs w:val="24"/>
                <w:highlight w:val="none"/>
                <w:lang w:val="en-US" w:eastAsia="zh-CN"/>
              </w:rPr>
            </w:pPr>
            <w:r>
              <w:rPr>
                <w:rFonts w:hint="eastAsia"/>
                <w:b w:val="0"/>
                <w:bCs/>
                <w:color w:val="auto"/>
                <w:sz w:val="24"/>
                <w:szCs w:val="24"/>
                <w:highlight w:val="none"/>
                <w:lang w:eastAsia="zh-CN"/>
              </w:rPr>
              <w:t>（</w:t>
            </w:r>
            <w:r>
              <w:rPr>
                <w:rFonts w:hint="eastAsia"/>
                <w:b w:val="0"/>
                <w:bCs/>
                <w:color w:val="auto"/>
                <w:sz w:val="24"/>
                <w:szCs w:val="24"/>
                <w:highlight w:val="none"/>
                <w:lang w:val="en-US" w:eastAsia="zh-CN"/>
              </w:rPr>
              <w:t>1</w:t>
            </w:r>
            <w:r>
              <w:rPr>
                <w:rFonts w:hint="eastAsia"/>
                <w:b w:val="0"/>
                <w:bCs/>
                <w:color w:val="auto"/>
                <w:sz w:val="24"/>
                <w:szCs w:val="24"/>
                <w:highlight w:val="none"/>
                <w:lang w:eastAsia="zh-CN"/>
              </w:rPr>
              <w:t>）大田经济开发区上京工业园污水处理厂</w:t>
            </w:r>
            <w:r>
              <w:rPr>
                <w:rFonts w:hint="eastAsia"/>
                <w:b w:val="0"/>
                <w:bCs/>
                <w:color w:val="auto"/>
                <w:sz w:val="24"/>
                <w:szCs w:val="24"/>
                <w:highlight w:val="none"/>
                <w:lang w:val="en-US" w:eastAsia="zh-CN"/>
              </w:rPr>
              <w:t>基本情况</w:t>
            </w:r>
          </w:p>
          <w:p w14:paraId="1C67F75D">
            <w:pPr>
              <w:wordWrap w:val="0"/>
              <w:spacing w:line="360" w:lineRule="auto"/>
              <w:ind w:firstLine="480" w:firstLineChars="200"/>
              <w:rPr>
                <w:rFonts w:hint="eastAsia"/>
                <w:b w:val="0"/>
                <w:bCs/>
                <w:color w:val="auto"/>
                <w:sz w:val="24"/>
                <w:szCs w:val="24"/>
                <w:highlight w:val="none"/>
                <w:lang w:eastAsia="zh-CN"/>
              </w:rPr>
            </w:pPr>
            <w:r>
              <w:rPr>
                <w:rFonts w:hint="eastAsia"/>
                <w:b w:val="0"/>
                <w:bCs/>
                <w:color w:val="auto"/>
                <w:sz w:val="24"/>
                <w:szCs w:val="24"/>
                <w:highlight w:val="none"/>
                <w:lang w:eastAsia="zh-CN"/>
              </w:rPr>
              <w:t>大田经济开发区上京工业园污水处理厂位于大田县上京镇清水坑，总占地面积17899.95m</w:t>
            </w:r>
            <w:r>
              <w:rPr>
                <w:rFonts w:hint="eastAsia"/>
                <w:b w:val="0"/>
                <w:bCs/>
                <w:color w:val="auto"/>
                <w:sz w:val="24"/>
                <w:szCs w:val="24"/>
                <w:highlight w:val="none"/>
                <w:vertAlign w:val="superscript"/>
                <w:lang w:eastAsia="zh-CN"/>
              </w:rPr>
              <w:t>2</w:t>
            </w:r>
            <w:r>
              <w:rPr>
                <w:rFonts w:hint="eastAsia"/>
                <w:b w:val="0"/>
                <w:bCs/>
                <w:color w:val="auto"/>
                <w:sz w:val="24"/>
                <w:szCs w:val="24"/>
                <w:highlight w:val="none"/>
                <w:lang w:eastAsia="zh-CN"/>
              </w:rPr>
              <w:t>，设计污水处理总规模1万m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/d，分两期建设，一期设计处理规模为2000m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/d、二期设计处理规模为8000m</w:t>
            </w:r>
            <w:r>
              <w:rPr>
                <w:rFonts w:hint="eastAsia"/>
                <w:b w:val="0"/>
                <w:bCs/>
                <w:color w:val="auto"/>
                <w:sz w:val="24"/>
                <w:szCs w:val="24"/>
                <w:highlight w:val="none"/>
                <w:vertAlign w:val="superscript"/>
                <w:lang w:eastAsia="zh-CN"/>
              </w:rPr>
              <w:t>3</w:t>
            </w:r>
            <w:r>
              <w:rPr>
                <w:rFonts w:hint="eastAsia"/>
                <w:b w:val="0"/>
                <w:bCs/>
                <w:color w:val="auto"/>
                <w:sz w:val="24"/>
                <w:szCs w:val="24"/>
                <w:highlight w:val="none"/>
                <w:lang w:eastAsia="zh-CN"/>
              </w:rPr>
              <w:t>/d，服务范围为大田经济开发区上京工业园（包含福建（大田）机械铸造产业集聚区）内企业的工业废水、生活污水和三阳村居民生活污水。2021年，福建省大田县京口工业园开发建设有限公司委托编制了《大田经济开发区上京工业园污水处理厂建设项目环境影响报告书》，并通过三明市大田生态环境局的审批(明环评田〔2021〕5号)。大田经济开发区上京工业园污水处理厂一期工程采用“预处理(粗格栅+细格栅及沉砂池)+生化处理(AAO生化池)+深度处理(二沉池+高效沉淀池+转盘滤池+次氯酸钠消毒)”工艺；二期投入运行后，全厂工艺调整为“预处理(粗格栅+细格栅及沉砂池)+生化处理(AAO生化池+MBR池)+深度处理(高效沉淀池+转盘滤池+次氯酸钠消毒)”工艺。</w:t>
            </w:r>
          </w:p>
          <w:p w14:paraId="4C021592">
            <w:pPr>
              <w:wordWrap w:val="0"/>
              <w:spacing w:line="360" w:lineRule="auto"/>
              <w:ind w:firstLine="480" w:firstLineChars="200"/>
              <w:rPr>
                <w:rFonts w:hint="eastAsia"/>
                <w:b w:val="0"/>
                <w:bCs/>
                <w:color w:val="auto"/>
                <w:sz w:val="24"/>
                <w:szCs w:val="24"/>
                <w:highlight w:val="none"/>
                <w:lang w:eastAsia="zh-CN"/>
              </w:rPr>
            </w:pPr>
            <w:r>
              <w:rPr>
                <w:rFonts w:hint="eastAsia"/>
                <w:b w:val="0"/>
                <w:bCs/>
                <w:color w:val="auto"/>
                <w:sz w:val="24"/>
                <w:szCs w:val="24"/>
                <w:highlight w:val="none"/>
                <w:lang w:eastAsia="zh-CN"/>
              </w:rPr>
              <w:t>根据现场调查，一期工程</w:t>
            </w:r>
            <w:r>
              <w:rPr>
                <w:rFonts w:hint="eastAsia"/>
                <w:b w:val="0"/>
                <w:bCs/>
                <w:color w:val="auto"/>
                <w:sz w:val="24"/>
                <w:szCs w:val="24"/>
                <w:highlight w:val="none"/>
                <w:lang w:val="en-US" w:eastAsia="zh-CN"/>
              </w:rPr>
              <w:t>于2024年9月投入运营。</w:t>
            </w:r>
          </w:p>
          <w:p w14:paraId="59F0FE7A">
            <w:pPr>
              <w:wordWrap w:val="0"/>
              <w:spacing w:line="360" w:lineRule="auto"/>
              <w:ind w:firstLine="480" w:firstLineChars="200"/>
              <w:rPr>
                <w:rFonts w:hint="eastAsia"/>
                <w:color w:val="auto"/>
                <w:sz w:val="24"/>
                <w:szCs w:val="24"/>
                <w:lang w:eastAsia="zh-CN"/>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3</w:t>
            </w:r>
            <w:r>
              <w:rPr>
                <w:rFonts w:hint="eastAsia"/>
                <w:b w:val="0"/>
                <w:bCs w:val="0"/>
                <w:color w:val="auto"/>
                <w:sz w:val="24"/>
                <w:szCs w:val="24"/>
                <w:highlight w:val="none"/>
                <w:lang w:eastAsia="zh-CN"/>
              </w:rPr>
              <w:t>）接管可行性</w:t>
            </w:r>
          </w:p>
          <w:p w14:paraId="4290C332">
            <w:pPr>
              <w:wordWrap w:val="0"/>
              <w:spacing w:line="360" w:lineRule="auto"/>
              <w:ind w:firstLine="480" w:firstLineChars="200"/>
              <w:rPr>
                <w:rFonts w:hint="eastAsia"/>
                <w:b w:val="0"/>
                <w:bCs w:val="0"/>
                <w:color w:val="auto"/>
                <w:sz w:val="24"/>
                <w:szCs w:val="24"/>
                <w:highlight w:val="none"/>
                <w:lang w:eastAsia="zh-CN"/>
              </w:rPr>
            </w:pPr>
            <w:r>
              <w:rPr>
                <w:rFonts w:hint="eastAsia"/>
                <w:b w:val="0"/>
                <w:bCs w:val="0"/>
                <w:color w:val="auto"/>
                <w:sz w:val="24"/>
                <w:szCs w:val="24"/>
                <w:highlight w:val="none"/>
                <w:lang w:eastAsia="zh-CN"/>
              </w:rPr>
              <w:t>本项目位于福建省三明市大田县福建（大田）机械铸造产业集聚区内，属于大田经济开发区上京工业园污水处理厂服务范围内，且项目选址于污水厂</w:t>
            </w:r>
            <w:r>
              <w:rPr>
                <w:rFonts w:hint="eastAsia"/>
                <w:b w:val="0"/>
                <w:bCs w:val="0"/>
                <w:color w:val="auto"/>
                <w:sz w:val="24"/>
                <w:szCs w:val="24"/>
                <w:highlight w:val="none"/>
                <w:lang w:val="en-US" w:eastAsia="zh-CN"/>
              </w:rPr>
              <w:t>东北</w:t>
            </w:r>
            <w:r>
              <w:rPr>
                <w:rFonts w:hint="eastAsia"/>
                <w:b w:val="0"/>
                <w:bCs w:val="0"/>
                <w:color w:val="auto"/>
                <w:sz w:val="24"/>
                <w:szCs w:val="24"/>
                <w:highlight w:val="none"/>
                <w:lang w:eastAsia="zh-CN"/>
              </w:rPr>
              <w:t>侧</w:t>
            </w:r>
            <w:r>
              <w:rPr>
                <w:rFonts w:hint="eastAsia"/>
                <w:b w:val="0"/>
                <w:bCs w:val="0"/>
                <w:color w:val="auto"/>
                <w:sz w:val="24"/>
                <w:szCs w:val="24"/>
                <w:highlight w:val="none"/>
                <w:lang w:val="en-US" w:eastAsia="zh-CN"/>
              </w:rPr>
              <w:t>37</w:t>
            </w:r>
            <w:r>
              <w:rPr>
                <w:rFonts w:hint="eastAsia"/>
                <w:b w:val="0"/>
                <w:bCs w:val="0"/>
                <w:color w:val="auto"/>
                <w:sz w:val="24"/>
                <w:szCs w:val="24"/>
                <w:highlight w:val="none"/>
                <w:lang w:eastAsia="zh-CN"/>
              </w:rPr>
              <w:t>0m处，</w:t>
            </w:r>
            <w:r>
              <w:rPr>
                <w:rFonts w:hint="eastAsia"/>
                <w:b w:val="0"/>
                <w:bCs w:val="0"/>
                <w:color w:val="auto"/>
                <w:sz w:val="24"/>
                <w:szCs w:val="24"/>
                <w:highlight w:val="none"/>
                <w:lang w:val="en-US" w:eastAsia="zh-CN"/>
              </w:rPr>
              <w:t>项目西侧道路</w:t>
            </w:r>
            <w:r>
              <w:rPr>
                <w:rFonts w:hint="eastAsia"/>
                <w:b w:val="0"/>
                <w:bCs w:val="0"/>
                <w:color w:val="auto"/>
                <w:sz w:val="24"/>
                <w:szCs w:val="24"/>
                <w:highlight w:val="none"/>
                <w:lang w:eastAsia="zh-CN"/>
              </w:rPr>
              <w:t>污水管网已建成</w:t>
            </w:r>
            <w:r>
              <w:rPr>
                <w:rFonts w:hint="eastAsia"/>
                <w:b w:val="0"/>
                <w:bCs w:val="0"/>
                <w:color w:val="auto"/>
                <w:sz w:val="24"/>
                <w:szCs w:val="24"/>
                <w:highlight w:val="none"/>
                <w:lang w:val="en-US" w:eastAsia="zh-CN"/>
              </w:rPr>
              <w:t>并连接至污水处理厂</w:t>
            </w:r>
            <w:r>
              <w:rPr>
                <w:rFonts w:hint="eastAsia"/>
                <w:b w:val="0"/>
                <w:bCs w:val="0"/>
                <w:color w:val="auto"/>
                <w:sz w:val="24"/>
                <w:szCs w:val="24"/>
                <w:highlight w:val="none"/>
                <w:lang w:eastAsia="zh-CN"/>
              </w:rPr>
              <w:t>，故本项目生活污水通过园区污水管网排入大田经济开发区上京工业园污水处理厂处理可行。</w:t>
            </w:r>
          </w:p>
          <w:p w14:paraId="5E687B1E">
            <w:pPr>
              <w:wordWrap w:val="0"/>
              <w:spacing w:line="360" w:lineRule="auto"/>
              <w:ind w:firstLine="480" w:firstLineChars="200"/>
              <w:rPr>
                <w:rFonts w:hint="eastAsia" w:eastAsia="宋体"/>
                <w:b w:val="0"/>
                <w:bCs w:val="0"/>
                <w:color w:val="auto"/>
                <w:sz w:val="24"/>
                <w:szCs w:val="24"/>
                <w:highlight w:val="none"/>
                <w:lang w:eastAsia="zh-CN"/>
              </w:rPr>
            </w:pPr>
            <w:r>
              <w:rPr>
                <w:rFonts w:hint="eastAsia"/>
                <w:b w:val="0"/>
                <w:bCs w:val="0"/>
                <w:color w:val="auto"/>
                <w:sz w:val="24"/>
                <w:szCs w:val="24"/>
                <w:highlight w:val="none"/>
                <w:lang w:val="en-US" w:eastAsia="zh-CN"/>
              </w:rPr>
              <w:t>①</w:t>
            </w:r>
            <w:r>
              <w:rPr>
                <w:rFonts w:hint="eastAsia"/>
                <w:b w:val="0"/>
                <w:bCs w:val="0"/>
                <w:color w:val="auto"/>
                <w:sz w:val="24"/>
                <w:szCs w:val="24"/>
                <w:highlight w:val="none"/>
                <w:lang w:eastAsia="zh-CN"/>
              </w:rPr>
              <w:t>水质负荷可行性</w:t>
            </w:r>
          </w:p>
          <w:p w14:paraId="222546FE">
            <w:pPr>
              <w:wordWrap w:val="0"/>
              <w:spacing w:line="360" w:lineRule="auto"/>
              <w:ind w:firstLine="480" w:firstLineChars="200"/>
              <w:rPr>
                <w:rFonts w:hint="default" w:eastAsia="宋体"/>
                <w:b w:val="0"/>
                <w:bCs w:val="0"/>
                <w:color w:val="auto"/>
                <w:sz w:val="24"/>
                <w:szCs w:val="24"/>
                <w:highlight w:val="none"/>
                <w:lang w:val="en-US" w:eastAsia="zh-CN"/>
              </w:rPr>
            </w:pPr>
            <w:r>
              <w:rPr>
                <w:rFonts w:hint="eastAsia"/>
                <w:b w:val="0"/>
                <w:bCs w:val="0"/>
                <w:color w:val="auto"/>
                <w:sz w:val="24"/>
                <w:szCs w:val="24"/>
                <w:highlight w:val="none"/>
                <w:lang w:eastAsia="zh-CN"/>
              </w:rPr>
              <w:t>根据表</w:t>
            </w:r>
            <w:r>
              <w:rPr>
                <w:rFonts w:hint="eastAsia"/>
                <w:b w:val="0"/>
                <w:bCs w:val="0"/>
                <w:color w:val="auto"/>
                <w:sz w:val="24"/>
                <w:szCs w:val="24"/>
                <w:highlight w:val="none"/>
                <w:lang w:val="en-US" w:eastAsia="zh-CN"/>
              </w:rPr>
              <w:t>4-28可知，企业外排生活污水满足《污水综合排放标准》（GB8978-1996）表4三级标准及《污水排入城镇下水道水质标准》(GB/T 31962-2015)表1中B级标准限值。项目外排生活污水不涉及有毒有害污染物，不涉及持久性、重金属，也不含有腐蚀成分。因此，从水质方面分析，项目生活污水经处理达标后，大田经济开发区上京工业园污水处理厂可接纳项目污水，不会对污水处理厂工艺造成冲击。</w:t>
            </w:r>
          </w:p>
          <w:p w14:paraId="1536D3F3">
            <w:pPr>
              <w:wordWrap w:val="0"/>
              <w:spacing w:line="360" w:lineRule="auto"/>
              <w:ind w:firstLine="480" w:firstLineChars="200"/>
              <w:rPr>
                <w:rFonts w:hint="eastAsia" w:eastAsia="宋体"/>
                <w:b w:val="0"/>
                <w:bCs w:val="0"/>
                <w:color w:val="auto"/>
                <w:sz w:val="24"/>
                <w:szCs w:val="24"/>
                <w:highlight w:val="none"/>
                <w:lang w:eastAsia="zh-CN"/>
              </w:rPr>
            </w:pPr>
            <w:r>
              <w:rPr>
                <w:rFonts w:hint="eastAsia"/>
                <w:b w:val="0"/>
                <w:bCs w:val="0"/>
                <w:color w:val="auto"/>
                <w:sz w:val="24"/>
                <w:szCs w:val="24"/>
                <w:highlight w:val="none"/>
                <w:lang w:val="en-US" w:eastAsia="zh-CN"/>
              </w:rPr>
              <w:t>②</w:t>
            </w:r>
            <w:r>
              <w:rPr>
                <w:rFonts w:hint="eastAsia"/>
                <w:b w:val="0"/>
                <w:bCs w:val="0"/>
                <w:color w:val="auto"/>
                <w:sz w:val="24"/>
                <w:szCs w:val="24"/>
                <w:highlight w:val="none"/>
                <w:lang w:eastAsia="zh-CN"/>
              </w:rPr>
              <w:t>水量负荷</w:t>
            </w:r>
          </w:p>
          <w:p w14:paraId="2AEA6062">
            <w:pPr>
              <w:wordWrap w:val="0"/>
              <w:spacing w:line="360" w:lineRule="auto"/>
              <w:ind w:firstLine="480" w:firstLineChars="200"/>
              <w:rPr>
                <w:rFonts w:hint="eastAsia"/>
                <w:b w:val="0"/>
                <w:bCs/>
                <w:color w:val="auto"/>
                <w:sz w:val="24"/>
                <w:szCs w:val="24"/>
                <w:highlight w:val="none"/>
                <w:lang w:eastAsia="zh-CN"/>
              </w:rPr>
            </w:pPr>
            <w:r>
              <w:rPr>
                <w:rFonts w:hint="eastAsia"/>
                <w:b w:val="0"/>
                <w:bCs/>
                <w:color w:val="auto"/>
                <w:sz w:val="24"/>
                <w:szCs w:val="24"/>
                <w:highlight w:val="none"/>
                <w:lang w:eastAsia="zh-CN"/>
              </w:rPr>
              <w:t>本项目生活污水排放量为</w:t>
            </w:r>
            <w:r>
              <w:rPr>
                <w:rFonts w:hint="eastAsia"/>
                <w:b w:val="0"/>
                <w:bCs/>
                <w:color w:val="auto"/>
                <w:sz w:val="24"/>
                <w:szCs w:val="24"/>
                <w:highlight w:val="none"/>
                <w:lang w:val="en-US" w:eastAsia="zh-CN"/>
              </w:rPr>
              <w:t>14.875t</w:t>
            </w:r>
            <w:r>
              <w:rPr>
                <w:rFonts w:hint="eastAsia"/>
                <w:b w:val="0"/>
                <w:bCs/>
                <w:color w:val="auto"/>
                <w:sz w:val="24"/>
                <w:szCs w:val="24"/>
                <w:highlight w:val="none"/>
                <w:lang w:eastAsia="zh-CN"/>
              </w:rPr>
              <w:t>/d，仅占大田经济开发区上京工业园污水处理厂一期处理规模的0.</w:t>
            </w:r>
            <w:r>
              <w:rPr>
                <w:rFonts w:hint="eastAsia"/>
                <w:b w:val="0"/>
                <w:bCs/>
                <w:color w:val="auto"/>
                <w:sz w:val="24"/>
                <w:szCs w:val="24"/>
                <w:highlight w:val="none"/>
                <w:lang w:val="en-US" w:eastAsia="zh-CN"/>
              </w:rPr>
              <w:t>74</w:t>
            </w:r>
            <w:r>
              <w:rPr>
                <w:rFonts w:hint="eastAsia"/>
                <w:b w:val="0"/>
                <w:bCs/>
                <w:color w:val="auto"/>
                <w:sz w:val="24"/>
                <w:szCs w:val="24"/>
                <w:highlight w:val="none"/>
                <w:lang w:eastAsia="zh-CN"/>
              </w:rPr>
              <w:t>%，项目污水排入污水处理厂后对污水处理厂影响极小，不会影响污水处理厂的正常运行。</w:t>
            </w:r>
          </w:p>
          <w:p w14:paraId="3C38115E">
            <w:pPr>
              <w:spacing w:line="360" w:lineRule="auto"/>
              <w:ind w:firstLine="480" w:firstLineChars="200"/>
              <w:rPr>
                <w:rFonts w:hint="eastAsia"/>
                <w:color w:val="auto"/>
                <w:sz w:val="24"/>
                <w:szCs w:val="24"/>
                <w:highlight w:val="none"/>
              </w:rPr>
            </w:pPr>
            <w:r>
              <w:rPr>
                <w:rFonts w:hint="eastAsia"/>
                <w:color w:val="auto"/>
                <w:sz w:val="24"/>
                <w:szCs w:val="24"/>
                <w:highlight w:val="none"/>
              </w:rPr>
              <w:t>综上分析，项目位于</w:t>
            </w:r>
            <w:r>
              <w:rPr>
                <w:rFonts w:hint="eastAsia" w:cs="Times New Roman"/>
                <w:color w:val="auto"/>
                <w:kern w:val="2"/>
                <w:sz w:val="24"/>
                <w:szCs w:val="24"/>
                <w:highlight w:val="none"/>
                <w:lang w:val="en-US" w:eastAsia="zh-CN" w:bidi="ar-SA"/>
              </w:rPr>
              <w:t>大田经济开发区上京工业园污水处理厂</w:t>
            </w:r>
            <w:r>
              <w:rPr>
                <w:rFonts w:hint="eastAsia"/>
                <w:color w:val="auto"/>
                <w:sz w:val="24"/>
                <w:szCs w:val="24"/>
                <w:highlight w:val="none"/>
              </w:rPr>
              <w:t>服务范围内，所在区域污水管网建设完善</w:t>
            </w:r>
            <w:r>
              <w:rPr>
                <w:rFonts w:hint="eastAsia"/>
                <w:color w:val="auto"/>
                <w:sz w:val="24"/>
                <w:szCs w:val="24"/>
                <w:highlight w:val="none"/>
                <w:lang w:eastAsia="zh-CN"/>
              </w:rPr>
              <w:t>；</w:t>
            </w:r>
            <w:r>
              <w:rPr>
                <w:rFonts w:hint="eastAsia"/>
                <w:color w:val="auto"/>
                <w:sz w:val="24"/>
                <w:szCs w:val="24"/>
                <w:highlight w:val="none"/>
              </w:rPr>
              <w:t>项目</w:t>
            </w:r>
            <w:r>
              <w:rPr>
                <w:rFonts w:hint="eastAsia"/>
                <w:color w:val="auto"/>
                <w:sz w:val="24"/>
                <w:szCs w:val="24"/>
                <w:highlight w:val="none"/>
                <w:lang w:eastAsia="zh-CN"/>
              </w:rPr>
              <w:t>外排废水</w:t>
            </w:r>
            <w:r>
              <w:rPr>
                <w:rFonts w:hint="eastAsia"/>
                <w:color w:val="auto"/>
                <w:sz w:val="24"/>
                <w:szCs w:val="24"/>
                <w:highlight w:val="none"/>
              </w:rPr>
              <w:t>水质简单，</w:t>
            </w:r>
            <w:r>
              <w:rPr>
                <w:rFonts w:hint="eastAsia"/>
                <w:color w:val="auto"/>
                <w:sz w:val="24"/>
                <w:szCs w:val="24"/>
                <w:highlight w:val="none"/>
                <w:lang w:eastAsia="zh-CN"/>
              </w:rPr>
              <w:t>能做到达标排放。</w:t>
            </w:r>
            <w:r>
              <w:rPr>
                <w:rFonts w:hint="eastAsia"/>
                <w:color w:val="auto"/>
                <w:sz w:val="24"/>
                <w:szCs w:val="24"/>
                <w:highlight w:val="none"/>
              </w:rPr>
              <w:t>从区域污水管网建设情况以及项目外排废水水质、水量分析，项目</w:t>
            </w:r>
            <w:r>
              <w:rPr>
                <w:rFonts w:hint="eastAsia"/>
                <w:color w:val="auto"/>
                <w:sz w:val="24"/>
                <w:szCs w:val="24"/>
                <w:highlight w:val="none"/>
                <w:lang w:eastAsia="zh-CN"/>
              </w:rPr>
              <w:t>外排废水</w:t>
            </w:r>
            <w:r>
              <w:rPr>
                <w:rFonts w:hint="eastAsia"/>
                <w:color w:val="auto"/>
                <w:sz w:val="24"/>
                <w:szCs w:val="24"/>
                <w:highlight w:val="none"/>
              </w:rPr>
              <w:t>纳入</w:t>
            </w:r>
            <w:r>
              <w:rPr>
                <w:rFonts w:hint="eastAsia" w:ascii="Times New Roman" w:hAnsi="Times New Roman" w:eastAsia="宋体" w:cs="Times New Roman"/>
                <w:color w:val="auto"/>
                <w:kern w:val="2"/>
                <w:sz w:val="24"/>
                <w:szCs w:val="24"/>
                <w:highlight w:val="none"/>
                <w:lang w:val="en-US" w:eastAsia="zh-CN" w:bidi="ar-SA"/>
              </w:rPr>
              <w:t>马尾</w:t>
            </w:r>
            <w:r>
              <w:rPr>
                <w:rFonts w:hint="eastAsia" w:cs="Times New Roman"/>
                <w:color w:val="auto"/>
                <w:kern w:val="2"/>
                <w:sz w:val="24"/>
                <w:szCs w:val="24"/>
                <w:highlight w:val="none"/>
                <w:lang w:val="en-US" w:eastAsia="zh-CN" w:bidi="ar-SA"/>
              </w:rPr>
              <w:t>大田经济开发区上京工业园污水处理厂</w:t>
            </w:r>
            <w:r>
              <w:rPr>
                <w:rFonts w:hint="eastAsia"/>
                <w:color w:val="auto"/>
                <w:sz w:val="24"/>
                <w:szCs w:val="24"/>
                <w:highlight w:val="none"/>
              </w:rPr>
              <w:t>集中处理可行，不会影响污水处理厂的正常运行。</w:t>
            </w:r>
          </w:p>
          <w:p w14:paraId="460FFA6F">
            <w:pPr>
              <w:pStyle w:val="82"/>
              <w:rPr>
                <w:color w:val="auto"/>
                <w:sz w:val="24"/>
                <w:szCs w:val="24"/>
              </w:rPr>
            </w:pPr>
            <w:r>
              <w:rPr>
                <w:rFonts w:hint="eastAsia"/>
                <w:color w:val="auto"/>
                <w:sz w:val="24"/>
                <w:szCs w:val="24"/>
              </w:rPr>
              <w:t>2</w:t>
            </w:r>
            <w:r>
              <w:rPr>
                <w:color w:val="auto"/>
                <w:sz w:val="24"/>
                <w:szCs w:val="24"/>
              </w:rPr>
              <w:t>.</w:t>
            </w:r>
            <w:r>
              <w:rPr>
                <w:rFonts w:hint="eastAsia"/>
                <w:color w:val="auto"/>
                <w:sz w:val="24"/>
                <w:szCs w:val="24"/>
              </w:rPr>
              <w:t>4废水监测计划</w:t>
            </w:r>
          </w:p>
          <w:p w14:paraId="07CB6A82">
            <w:pPr>
              <w:pStyle w:val="54"/>
              <w:spacing w:line="360" w:lineRule="auto"/>
              <w:ind w:firstLine="482"/>
              <w:rPr>
                <w:b/>
                <w:bCs/>
                <w:color w:val="auto"/>
                <w:spacing w:val="4"/>
                <w:kern w:val="18"/>
                <w:sz w:val="24"/>
                <w:szCs w:val="24"/>
              </w:rPr>
            </w:pPr>
            <w:r>
              <w:rPr>
                <w:rFonts w:hint="eastAsia"/>
                <w:color w:val="auto"/>
                <w:sz w:val="24"/>
                <w:szCs w:val="24"/>
              </w:rPr>
              <w:t>本项目仅</w:t>
            </w:r>
            <w:r>
              <w:rPr>
                <w:rFonts w:hint="eastAsia"/>
                <w:color w:val="auto"/>
                <w:sz w:val="24"/>
                <w:szCs w:val="24"/>
                <w:lang w:val="en-US" w:eastAsia="zh-CN"/>
              </w:rPr>
              <w:t>涉及</w:t>
            </w:r>
            <w:r>
              <w:rPr>
                <w:rFonts w:hint="eastAsia"/>
                <w:color w:val="auto"/>
                <w:sz w:val="24"/>
                <w:szCs w:val="24"/>
              </w:rPr>
              <w:t>生活污水排放，经厂区化粪池预处理后通过污水管网</w:t>
            </w:r>
            <w:r>
              <w:rPr>
                <w:rFonts w:hint="eastAsia"/>
                <w:color w:val="auto"/>
                <w:sz w:val="24"/>
                <w:szCs w:val="24"/>
                <w:lang w:val="en-US" w:eastAsia="zh-CN"/>
              </w:rPr>
              <w:t>汇入</w:t>
            </w:r>
            <w:r>
              <w:rPr>
                <w:rFonts w:hint="eastAsia" w:cs="Times New Roman"/>
                <w:color w:val="auto"/>
                <w:kern w:val="2"/>
                <w:sz w:val="24"/>
                <w:szCs w:val="24"/>
                <w:highlight w:val="none"/>
                <w:lang w:val="en-US" w:eastAsia="zh-CN" w:bidi="ar-SA"/>
              </w:rPr>
              <w:t>大田经济开发区上京工业园污水处理厂</w:t>
            </w:r>
            <w:r>
              <w:rPr>
                <w:rFonts w:hint="eastAsia"/>
                <w:color w:val="auto"/>
                <w:sz w:val="24"/>
                <w:szCs w:val="24"/>
              </w:rPr>
              <w:t>深度处理</w:t>
            </w:r>
            <w:r>
              <w:rPr>
                <w:rFonts w:hint="default" w:ascii="Times New Roman" w:hAnsi="Times New Roman" w:cs="Times New Roman"/>
                <w:color w:val="auto"/>
                <w:sz w:val="24"/>
                <w:szCs w:val="24"/>
              </w:rPr>
              <w:t>，为间接排放，参考根据《排污单位自行监测技术指南 总则》（HJ 819-2017）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《排污单位自行监测技术指南 </w:t>
            </w:r>
            <w:r>
              <w:rPr>
                <w:rFonts w:hint="default" w:ascii="Times New Roman" w:hAnsi="Times New Roman" w:cs="Times New Roman"/>
                <w:color w:val="auto"/>
                <w:sz w:val="24"/>
                <w:szCs w:val="24"/>
                <w:lang w:val="en-US" w:eastAsia="zh-CN"/>
              </w:rPr>
              <w:t>金属铸造工业</w:t>
            </w:r>
            <w:r>
              <w:rPr>
                <w:rFonts w:hint="default" w:ascii="Times New Roman" w:hAnsi="Times New Roman" w:cs="Times New Roman"/>
                <w:color w:val="auto"/>
                <w:sz w:val="24"/>
                <w:szCs w:val="24"/>
              </w:rPr>
              <w:t>》（HJ1</w:t>
            </w:r>
            <w:r>
              <w:rPr>
                <w:rFonts w:hint="default" w:ascii="Times New Roman" w:hAnsi="Times New Roman" w:cs="Times New Roman"/>
                <w:color w:val="auto"/>
                <w:sz w:val="24"/>
                <w:szCs w:val="24"/>
                <w:lang w:val="en-US" w:eastAsia="zh-CN"/>
              </w:rPr>
              <w:t>251</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），排污单位生活污水单独排入城</w:t>
            </w:r>
            <w:r>
              <w:rPr>
                <w:rFonts w:hint="eastAsia"/>
                <w:color w:val="auto"/>
                <w:sz w:val="24"/>
                <w:szCs w:val="24"/>
              </w:rPr>
              <w:t>镇集中污水处理设施的不需展开例行监测。</w:t>
            </w:r>
          </w:p>
        </w:tc>
      </w:tr>
    </w:tbl>
    <w:p w14:paraId="7D3FF6CA">
      <w:pPr>
        <w:rPr>
          <w:color w:val="auto"/>
          <w:sz w:val="24"/>
          <w:szCs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356D9F1">
      <w:pPr>
        <w:pStyle w:val="76"/>
        <w:rPr>
          <w:color w:val="auto"/>
          <w:sz w:val="24"/>
          <w:szCs w:val="24"/>
          <w:lang w:val="zh-CN"/>
        </w:rPr>
      </w:pPr>
      <w:r>
        <w:rPr>
          <w:rFonts w:hint="eastAsia"/>
          <w:color w:val="auto"/>
          <w:sz w:val="24"/>
          <w:szCs w:val="24"/>
          <w:lang w:val="zh-CN"/>
        </w:rPr>
        <w:t>表</w:t>
      </w:r>
      <w:r>
        <w:rPr>
          <w:rFonts w:hint="eastAsia"/>
          <w:color w:val="auto"/>
          <w:sz w:val="24"/>
          <w:szCs w:val="24"/>
        </w:rPr>
        <w:t>4-</w:t>
      </w:r>
      <w:r>
        <w:rPr>
          <w:rFonts w:hint="eastAsia"/>
          <w:color w:val="auto"/>
          <w:sz w:val="24"/>
          <w:szCs w:val="24"/>
          <w:lang w:val="en-US" w:eastAsia="zh-CN"/>
        </w:rPr>
        <w:t>33</w:t>
      </w:r>
      <w:r>
        <w:rPr>
          <w:rFonts w:hint="eastAsia"/>
          <w:color w:val="auto"/>
          <w:sz w:val="24"/>
          <w:szCs w:val="24"/>
        </w:rPr>
        <w:t xml:space="preserve"> </w:t>
      </w:r>
      <w:r>
        <w:rPr>
          <w:rFonts w:hint="eastAsia"/>
          <w:color w:val="auto"/>
          <w:sz w:val="24"/>
          <w:szCs w:val="24"/>
          <w:lang w:val="zh-CN"/>
        </w:rPr>
        <w:t xml:space="preserve"> </w:t>
      </w:r>
      <w:r>
        <w:rPr>
          <w:rFonts w:hint="eastAsia"/>
          <w:color w:val="auto"/>
          <w:sz w:val="24"/>
          <w:szCs w:val="24"/>
          <w:lang w:val="en-US" w:eastAsia="zh-CN"/>
        </w:rPr>
        <w:t>新增</w:t>
      </w:r>
      <w:r>
        <w:rPr>
          <w:rFonts w:hint="eastAsia"/>
          <w:color w:val="auto"/>
          <w:sz w:val="24"/>
          <w:szCs w:val="24"/>
          <w:lang w:val="zh-CN"/>
        </w:rPr>
        <w:t>废水污染源产生、排放汇总表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4"/>
        <w:gridCol w:w="597"/>
        <w:gridCol w:w="812"/>
        <w:gridCol w:w="615"/>
        <w:gridCol w:w="697"/>
        <w:gridCol w:w="642"/>
        <w:gridCol w:w="654"/>
        <w:gridCol w:w="506"/>
        <w:gridCol w:w="663"/>
        <w:gridCol w:w="549"/>
        <w:gridCol w:w="581"/>
        <w:gridCol w:w="675"/>
        <w:gridCol w:w="636"/>
        <w:gridCol w:w="472"/>
        <w:gridCol w:w="689"/>
        <w:gridCol w:w="830"/>
        <w:gridCol w:w="814"/>
        <w:gridCol w:w="612"/>
        <w:gridCol w:w="1102"/>
        <w:gridCol w:w="697"/>
      </w:tblGrid>
      <w:tr w14:paraId="5F813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restart"/>
            <w:vAlign w:val="center"/>
          </w:tcPr>
          <w:p w14:paraId="65F3EA36">
            <w:pPr>
              <w:adjustRightInd w:val="0"/>
              <w:snapToGrid w:val="0"/>
              <w:spacing w:line="240" w:lineRule="atLeast"/>
              <w:jc w:val="center"/>
              <w:rPr>
                <w:b/>
                <w:bCs/>
                <w:color w:val="auto"/>
                <w:sz w:val="21"/>
                <w:szCs w:val="21"/>
              </w:rPr>
            </w:pPr>
            <w:r>
              <w:rPr>
                <w:b/>
                <w:bCs/>
                <w:color w:val="auto"/>
                <w:sz w:val="21"/>
                <w:szCs w:val="21"/>
              </w:rPr>
              <w:t>产排污环节</w:t>
            </w:r>
          </w:p>
        </w:tc>
        <w:tc>
          <w:tcPr>
            <w:tcW w:w="222" w:type="pct"/>
            <w:vMerge w:val="restart"/>
            <w:vAlign w:val="center"/>
          </w:tcPr>
          <w:p w14:paraId="596CF69A">
            <w:pPr>
              <w:adjustRightInd w:val="0"/>
              <w:snapToGrid w:val="0"/>
              <w:spacing w:line="240" w:lineRule="atLeast"/>
              <w:jc w:val="center"/>
              <w:rPr>
                <w:b/>
                <w:bCs/>
                <w:color w:val="auto"/>
                <w:sz w:val="21"/>
                <w:szCs w:val="21"/>
              </w:rPr>
            </w:pPr>
            <w:r>
              <w:rPr>
                <w:b/>
                <w:bCs/>
                <w:color w:val="auto"/>
                <w:sz w:val="21"/>
                <w:szCs w:val="21"/>
              </w:rPr>
              <w:t>类别</w:t>
            </w:r>
          </w:p>
        </w:tc>
        <w:tc>
          <w:tcPr>
            <w:tcW w:w="302" w:type="pct"/>
            <w:vMerge w:val="restart"/>
            <w:vAlign w:val="center"/>
          </w:tcPr>
          <w:p w14:paraId="443D5BBE">
            <w:pPr>
              <w:adjustRightInd w:val="0"/>
              <w:snapToGrid w:val="0"/>
              <w:spacing w:line="240" w:lineRule="atLeast"/>
              <w:jc w:val="center"/>
              <w:rPr>
                <w:b/>
                <w:bCs/>
                <w:color w:val="auto"/>
                <w:sz w:val="21"/>
                <w:szCs w:val="21"/>
              </w:rPr>
            </w:pPr>
            <w:r>
              <w:rPr>
                <w:b/>
                <w:bCs/>
                <w:color w:val="auto"/>
                <w:sz w:val="21"/>
                <w:szCs w:val="21"/>
              </w:rPr>
              <w:t>污染物</w:t>
            </w:r>
          </w:p>
          <w:p w14:paraId="00F57426">
            <w:pPr>
              <w:adjustRightInd w:val="0"/>
              <w:snapToGrid w:val="0"/>
              <w:spacing w:line="240" w:lineRule="atLeast"/>
              <w:jc w:val="center"/>
              <w:rPr>
                <w:b/>
                <w:bCs/>
                <w:color w:val="auto"/>
                <w:sz w:val="21"/>
                <w:szCs w:val="21"/>
              </w:rPr>
            </w:pPr>
            <w:r>
              <w:rPr>
                <w:b/>
                <w:bCs/>
                <w:color w:val="auto"/>
                <w:sz w:val="21"/>
                <w:szCs w:val="21"/>
              </w:rPr>
              <w:t>种类</w:t>
            </w:r>
          </w:p>
        </w:tc>
        <w:tc>
          <w:tcPr>
            <w:tcW w:w="727" w:type="pct"/>
            <w:gridSpan w:val="3"/>
            <w:vAlign w:val="center"/>
          </w:tcPr>
          <w:p w14:paraId="63758D66">
            <w:pPr>
              <w:adjustRightInd w:val="0"/>
              <w:snapToGrid w:val="0"/>
              <w:spacing w:line="240" w:lineRule="atLeast"/>
              <w:jc w:val="center"/>
              <w:rPr>
                <w:b/>
                <w:bCs/>
                <w:color w:val="auto"/>
                <w:sz w:val="21"/>
                <w:szCs w:val="21"/>
              </w:rPr>
            </w:pPr>
            <w:r>
              <w:rPr>
                <w:b/>
                <w:bCs/>
                <w:color w:val="auto"/>
                <w:sz w:val="21"/>
                <w:szCs w:val="21"/>
              </w:rPr>
              <w:t>污染物产生量和浓度</w:t>
            </w:r>
          </w:p>
        </w:tc>
        <w:tc>
          <w:tcPr>
            <w:tcW w:w="883" w:type="pct"/>
            <w:gridSpan w:val="4"/>
            <w:vAlign w:val="center"/>
          </w:tcPr>
          <w:p w14:paraId="2FBE79B8">
            <w:pPr>
              <w:adjustRightInd w:val="0"/>
              <w:snapToGrid w:val="0"/>
              <w:spacing w:line="240" w:lineRule="atLeast"/>
              <w:jc w:val="center"/>
              <w:rPr>
                <w:b/>
                <w:bCs/>
                <w:color w:val="auto"/>
                <w:sz w:val="21"/>
                <w:szCs w:val="21"/>
              </w:rPr>
            </w:pPr>
            <w:r>
              <w:rPr>
                <w:b/>
                <w:bCs/>
                <w:color w:val="auto"/>
                <w:sz w:val="21"/>
                <w:szCs w:val="21"/>
              </w:rPr>
              <w:t>污染治理设施</w:t>
            </w:r>
          </w:p>
        </w:tc>
        <w:tc>
          <w:tcPr>
            <w:tcW w:w="703" w:type="pct"/>
            <w:gridSpan w:val="3"/>
            <w:vAlign w:val="center"/>
          </w:tcPr>
          <w:p w14:paraId="395049DB">
            <w:pPr>
              <w:adjustRightInd w:val="0"/>
              <w:snapToGrid w:val="0"/>
              <w:spacing w:line="240" w:lineRule="atLeast"/>
              <w:jc w:val="center"/>
              <w:rPr>
                <w:b/>
                <w:bCs/>
                <w:color w:val="auto"/>
                <w:sz w:val="21"/>
                <w:szCs w:val="21"/>
              </w:rPr>
            </w:pPr>
            <w:r>
              <w:rPr>
                <w:b/>
                <w:bCs/>
                <w:color w:val="auto"/>
                <w:sz w:val="21"/>
                <w:szCs w:val="21"/>
              </w:rPr>
              <w:t>污染物排放量和浓度</w:t>
            </w:r>
          </w:p>
        </w:tc>
        <w:tc>
          <w:tcPr>
            <w:tcW w:w="1682" w:type="pct"/>
            <w:gridSpan w:val="6"/>
            <w:vAlign w:val="center"/>
          </w:tcPr>
          <w:p w14:paraId="582E315F">
            <w:pPr>
              <w:adjustRightInd w:val="0"/>
              <w:snapToGrid w:val="0"/>
              <w:spacing w:line="240" w:lineRule="atLeast"/>
              <w:jc w:val="center"/>
              <w:rPr>
                <w:b/>
                <w:bCs/>
                <w:color w:val="auto"/>
                <w:sz w:val="21"/>
                <w:szCs w:val="21"/>
              </w:rPr>
            </w:pPr>
            <w:r>
              <w:rPr>
                <w:b/>
                <w:bCs/>
                <w:color w:val="auto"/>
                <w:sz w:val="21"/>
                <w:szCs w:val="21"/>
              </w:rPr>
              <w:t>排放口基本情况</w:t>
            </w:r>
          </w:p>
        </w:tc>
        <w:tc>
          <w:tcPr>
            <w:tcW w:w="259" w:type="pct"/>
            <w:vAlign w:val="center"/>
          </w:tcPr>
          <w:p w14:paraId="7F28E90B">
            <w:pPr>
              <w:adjustRightInd w:val="0"/>
              <w:snapToGrid w:val="0"/>
              <w:spacing w:line="240" w:lineRule="atLeast"/>
              <w:jc w:val="center"/>
              <w:rPr>
                <w:b/>
                <w:bCs/>
                <w:color w:val="auto"/>
                <w:sz w:val="21"/>
                <w:szCs w:val="21"/>
              </w:rPr>
            </w:pPr>
            <w:r>
              <w:rPr>
                <w:b/>
                <w:bCs/>
                <w:color w:val="auto"/>
                <w:sz w:val="21"/>
                <w:szCs w:val="21"/>
              </w:rPr>
              <w:t>排放标准</w:t>
            </w:r>
          </w:p>
        </w:tc>
      </w:tr>
      <w:tr w14:paraId="5FA52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17" w:type="pct"/>
            <w:vMerge w:val="continue"/>
            <w:vAlign w:val="center"/>
          </w:tcPr>
          <w:p w14:paraId="7BD5F060">
            <w:pPr>
              <w:adjustRightInd w:val="0"/>
              <w:snapToGrid w:val="0"/>
              <w:spacing w:line="240" w:lineRule="atLeast"/>
              <w:jc w:val="center"/>
              <w:rPr>
                <w:b/>
                <w:bCs/>
                <w:color w:val="auto"/>
                <w:sz w:val="21"/>
                <w:szCs w:val="21"/>
              </w:rPr>
            </w:pPr>
          </w:p>
        </w:tc>
        <w:tc>
          <w:tcPr>
            <w:tcW w:w="222" w:type="pct"/>
            <w:vMerge w:val="continue"/>
            <w:vAlign w:val="center"/>
          </w:tcPr>
          <w:p w14:paraId="59738B82">
            <w:pPr>
              <w:adjustRightInd w:val="0"/>
              <w:snapToGrid w:val="0"/>
              <w:spacing w:line="240" w:lineRule="atLeast"/>
              <w:jc w:val="center"/>
              <w:rPr>
                <w:b/>
                <w:bCs/>
                <w:color w:val="auto"/>
                <w:sz w:val="21"/>
                <w:szCs w:val="21"/>
              </w:rPr>
            </w:pPr>
          </w:p>
        </w:tc>
        <w:tc>
          <w:tcPr>
            <w:tcW w:w="302" w:type="pct"/>
            <w:vMerge w:val="continue"/>
            <w:vAlign w:val="center"/>
          </w:tcPr>
          <w:p w14:paraId="40BBE526">
            <w:pPr>
              <w:adjustRightInd w:val="0"/>
              <w:snapToGrid w:val="0"/>
              <w:spacing w:line="240" w:lineRule="atLeast"/>
              <w:jc w:val="center"/>
              <w:rPr>
                <w:b/>
                <w:bCs/>
                <w:color w:val="auto"/>
                <w:sz w:val="21"/>
                <w:szCs w:val="21"/>
              </w:rPr>
            </w:pPr>
          </w:p>
        </w:tc>
        <w:tc>
          <w:tcPr>
            <w:tcW w:w="229" w:type="pct"/>
            <w:vAlign w:val="center"/>
          </w:tcPr>
          <w:p w14:paraId="0352C45E">
            <w:pPr>
              <w:adjustRightInd w:val="0"/>
              <w:snapToGrid w:val="0"/>
              <w:spacing w:line="240" w:lineRule="atLeast"/>
              <w:jc w:val="center"/>
              <w:rPr>
                <w:b/>
                <w:bCs/>
                <w:color w:val="auto"/>
                <w:sz w:val="21"/>
                <w:szCs w:val="21"/>
              </w:rPr>
            </w:pPr>
            <w:r>
              <w:rPr>
                <w:b/>
                <w:bCs/>
                <w:color w:val="auto"/>
                <w:sz w:val="21"/>
                <w:szCs w:val="21"/>
              </w:rPr>
              <w:t>废水量</w:t>
            </w:r>
          </w:p>
        </w:tc>
        <w:tc>
          <w:tcPr>
            <w:tcW w:w="259" w:type="pct"/>
            <w:vAlign w:val="center"/>
          </w:tcPr>
          <w:p w14:paraId="1943EA4C">
            <w:pPr>
              <w:adjustRightInd w:val="0"/>
              <w:snapToGrid w:val="0"/>
              <w:spacing w:line="240" w:lineRule="atLeast"/>
              <w:jc w:val="center"/>
              <w:rPr>
                <w:b/>
                <w:bCs/>
                <w:color w:val="auto"/>
                <w:sz w:val="21"/>
                <w:szCs w:val="21"/>
              </w:rPr>
            </w:pPr>
            <w:r>
              <w:rPr>
                <w:b/>
                <w:bCs/>
                <w:color w:val="auto"/>
                <w:sz w:val="21"/>
                <w:szCs w:val="21"/>
              </w:rPr>
              <w:t>产生浓度</w:t>
            </w:r>
          </w:p>
        </w:tc>
        <w:tc>
          <w:tcPr>
            <w:tcW w:w="239" w:type="pct"/>
            <w:vAlign w:val="center"/>
          </w:tcPr>
          <w:p w14:paraId="5D80162A">
            <w:pPr>
              <w:adjustRightInd w:val="0"/>
              <w:snapToGrid w:val="0"/>
              <w:spacing w:line="240" w:lineRule="atLeast"/>
              <w:jc w:val="center"/>
              <w:rPr>
                <w:b/>
                <w:bCs/>
                <w:color w:val="auto"/>
                <w:sz w:val="21"/>
                <w:szCs w:val="21"/>
              </w:rPr>
            </w:pPr>
            <w:r>
              <w:rPr>
                <w:b/>
                <w:bCs/>
                <w:color w:val="auto"/>
                <w:sz w:val="21"/>
                <w:szCs w:val="21"/>
              </w:rPr>
              <w:t>产生量</w:t>
            </w:r>
          </w:p>
        </w:tc>
        <w:tc>
          <w:tcPr>
            <w:tcW w:w="243" w:type="pct"/>
            <w:vAlign w:val="center"/>
          </w:tcPr>
          <w:p w14:paraId="15DF2EB7">
            <w:pPr>
              <w:adjustRightInd w:val="0"/>
              <w:snapToGrid w:val="0"/>
              <w:spacing w:line="240" w:lineRule="atLeast"/>
              <w:jc w:val="center"/>
              <w:rPr>
                <w:b/>
                <w:bCs/>
                <w:color w:val="auto"/>
                <w:sz w:val="21"/>
                <w:szCs w:val="21"/>
              </w:rPr>
            </w:pPr>
            <w:r>
              <w:rPr>
                <w:b/>
                <w:bCs/>
                <w:color w:val="auto"/>
                <w:sz w:val="21"/>
                <w:szCs w:val="21"/>
              </w:rPr>
              <w:t>处理能力</w:t>
            </w:r>
          </w:p>
        </w:tc>
        <w:tc>
          <w:tcPr>
            <w:tcW w:w="188" w:type="pct"/>
            <w:vMerge w:val="restart"/>
            <w:vAlign w:val="center"/>
          </w:tcPr>
          <w:p w14:paraId="2E0FD3B6">
            <w:pPr>
              <w:adjustRightInd w:val="0"/>
              <w:snapToGrid w:val="0"/>
              <w:spacing w:line="240" w:lineRule="atLeast"/>
              <w:jc w:val="center"/>
              <w:rPr>
                <w:b/>
                <w:bCs/>
                <w:color w:val="auto"/>
                <w:sz w:val="21"/>
                <w:szCs w:val="21"/>
              </w:rPr>
            </w:pPr>
            <w:r>
              <w:rPr>
                <w:b/>
                <w:bCs/>
                <w:color w:val="auto"/>
                <w:sz w:val="21"/>
                <w:szCs w:val="21"/>
              </w:rPr>
              <w:t>主要治理工艺</w:t>
            </w:r>
          </w:p>
        </w:tc>
        <w:tc>
          <w:tcPr>
            <w:tcW w:w="247" w:type="pct"/>
            <w:vAlign w:val="center"/>
          </w:tcPr>
          <w:p w14:paraId="3039AD8F">
            <w:pPr>
              <w:adjustRightInd w:val="0"/>
              <w:snapToGrid w:val="0"/>
              <w:spacing w:line="240" w:lineRule="atLeast"/>
              <w:jc w:val="center"/>
              <w:rPr>
                <w:b/>
                <w:bCs/>
                <w:color w:val="auto"/>
                <w:sz w:val="21"/>
                <w:szCs w:val="21"/>
              </w:rPr>
            </w:pPr>
            <w:r>
              <w:rPr>
                <w:b/>
                <w:bCs/>
                <w:color w:val="auto"/>
                <w:sz w:val="21"/>
                <w:szCs w:val="21"/>
              </w:rPr>
              <w:t>去除效率</w:t>
            </w:r>
          </w:p>
        </w:tc>
        <w:tc>
          <w:tcPr>
            <w:tcW w:w="204" w:type="pct"/>
            <w:vMerge w:val="restart"/>
            <w:vAlign w:val="center"/>
          </w:tcPr>
          <w:p w14:paraId="2FC40285">
            <w:pPr>
              <w:adjustRightInd w:val="0"/>
              <w:snapToGrid w:val="0"/>
              <w:spacing w:line="240" w:lineRule="atLeast"/>
              <w:jc w:val="center"/>
              <w:rPr>
                <w:b/>
                <w:bCs/>
                <w:color w:val="auto"/>
                <w:sz w:val="21"/>
                <w:szCs w:val="21"/>
              </w:rPr>
            </w:pPr>
            <w:r>
              <w:rPr>
                <w:b/>
                <w:bCs/>
                <w:color w:val="auto"/>
                <w:sz w:val="21"/>
                <w:szCs w:val="21"/>
              </w:rPr>
              <w:t>是否可行技术</w:t>
            </w:r>
          </w:p>
        </w:tc>
        <w:tc>
          <w:tcPr>
            <w:tcW w:w="215" w:type="pct"/>
            <w:vAlign w:val="center"/>
          </w:tcPr>
          <w:p w14:paraId="0DA16B4E">
            <w:pPr>
              <w:adjustRightInd w:val="0"/>
              <w:snapToGrid w:val="0"/>
              <w:spacing w:line="240" w:lineRule="atLeast"/>
              <w:jc w:val="center"/>
              <w:rPr>
                <w:b/>
                <w:bCs/>
                <w:color w:val="auto"/>
                <w:sz w:val="21"/>
                <w:szCs w:val="21"/>
              </w:rPr>
            </w:pPr>
            <w:r>
              <w:rPr>
                <w:b/>
                <w:bCs/>
                <w:color w:val="auto"/>
                <w:sz w:val="21"/>
                <w:szCs w:val="21"/>
              </w:rPr>
              <w:t>废水量</w:t>
            </w:r>
          </w:p>
        </w:tc>
        <w:tc>
          <w:tcPr>
            <w:tcW w:w="251" w:type="pct"/>
            <w:vAlign w:val="center"/>
          </w:tcPr>
          <w:p w14:paraId="049E51A7">
            <w:pPr>
              <w:adjustRightInd w:val="0"/>
              <w:snapToGrid w:val="0"/>
              <w:spacing w:line="240" w:lineRule="atLeast"/>
              <w:jc w:val="center"/>
              <w:rPr>
                <w:b/>
                <w:bCs/>
                <w:color w:val="auto"/>
                <w:sz w:val="21"/>
                <w:szCs w:val="21"/>
              </w:rPr>
            </w:pPr>
            <w:r>
              <w:rPr>
                <w:b/>
                <w:bCs/>
                <w:color w:val="auto"/>
                <w:sz w:val="21"/>
                <w:szCs w:val="21"/>
              </w:rPr>
              <w:t>排放浓度</w:t>
            </w:r>
          </w:p>
        </w:tc>
        <w:tc>
          <w:tcPr>
            <w:tcW w:w="236" w:type="pct"/>
            <w:vAlign w:val="center"/>
          </w:tcPr>
          <w:p w14:paraId="48AF1DA1">
            <w:pPr>
              <w:adjustRightInd w:val="0"/>
              <w:snapToGrid w:val="0"/>
              <w:spacing w:line="240" w:lineRule="atLeast"/>
              <w:jc w:val="center"/>
              <w:rPr>
                <w:b/>
                <w:bCs/>
                <w:color w:val="auto"/>
                <w:sz w:val="21"/>
                <w:szCs w:val="21"/>
              </w:rPr>
            </w:pPr>
            <w:r>
              <w:rPr>
                <w:b/>
                <w:bCs/>
                <w:color w:val="auto"/>
                <w:sz w:val="21"/>
                <w:szCs w:val="21"/>
              </w:rPr>
              <w:t>排放量</w:t>
            </w:r>
          </w:p>
        </w:tc>
        <w:tc>
          <w:tcPr>
            <w:tcW w:w="176" w:type="pct"/>
            <w:vAlign w:val="center"/>
          </w:tcPr>
          <w:p w14:paraId="0110788B">
            <w:pPr>
              <w:adjustRightInd w:val="0"/>
              <w:snapToGrid w:val="0"/>
              <w:spacing w:line="240" w:lineRule="atLeast"/>
              <w:jc w:val="center"/>
              <w:rPr>
                <w:b/>
                <w:bCs/>
                <w:color w:val="auto"/>
                <w:spacing w:val="-10"/>
                <w:sz w:val="21"/>
                <w:szCs w:val="21"/>
              </w:rPr>
            </w:pPr>
            <w:r>
              <w:rPr>
                <w:b/>
                <w:bCs/>
                <w:color w:val="auto"/>
                <w:spacing w:val="-10"/>
                <w:sz w:val="21"/>
                <w:szCs w:val="21"/>
              </w:rPr>
              <w:t>排放</w:t>
            </w:r>
          </w:p>
          <w:p w14:paraId="6FED11CF">
            <w:pPr>
              <w:adjustRightInd w:val="0"/>
              <w:snapToGrid w:val="0"/>
              <w:spacing w:line="240" w:lineRule="atLeast"/>
              <w:jc w:val="center"/>
              <w:rPr>
                <w:b/>
                <w:bCs/>
                <w:color w:val="auto"/>
                <w:spacing w:val="-10"/>
                <w:sz w:val="21"/>
                <w:szCs w:val="21"/>
              </w:rPr>
            </w:pPr>
            <w:r>
              <w:rPr>
                <w:b/>
                <w:bCs/>
                <w:color w:val="auto"/>
                <w:spacing w:val="-10"/>
                <w:sz w:val="21"/>
                <w:szCs w:val="21"/>
              </w:rPr>
              <w:t>方式</w:t>
            </w:r>
          </w:p>
        </w:tc>
        <w:tc>
          <w:tcPr>
            <w:tcW w:w="256" w:type="pct"/>
            <w:vAlign w:val="center"/>
          </w:tcPr>
          <w:p w14:paraId="74D11D92">
            <w:pPr>
              <w:adjustRightInd w:val="0"/>
              <w:snapToGrid w:val="0"/>
              <w:spacing w:line="240" w:lineRule="atLeast"/>
              <w:jc w:val="center"/>
              <w:rPr>
                <w:b/>
                <w:bCs/>
                <w:color w:val="auto"/>
                <w:sz w:val="21"/>
                <w:szCs w:val="21"/>
              </w:rPr>
            </w:pPr>
            <w:r>
              <w:rPr>
                <w:b/>
                <w:bCs/>
                <w:color w:val="auto"/>
                <w:sz w:val="21"/>
                <w:szCs w:val="21"/>
              </w:rPr>
              <w:t>排放去向</w:t>
            </w:r>
          </w:p>
        </w:tc>
        <w:tc>
          <w:tcPr>
            <w:tcW w:w="308" w:type="pct"/>
            <w:vAlign w:val="center"/>
          </w:tcPr>
          <w:p w14:paraId="15685AA9">
            <w:pPr>
              <w:adjustRightInd w:val="0"/>
              <w:snapToGrid w:val="0"/>
              <w:spacing w:line="240" w:lineRule="atLeast"/>
              <w:jc w:val="center"/>
              <w:rPr>
                <w:b/>
                <w:bCs/>
                <w:color w:val="auto"/>
                <w:sz w:val="21"/>
                <w:szCs w:val="21"/>
              </w:rPr>
            </w:pPr>
            <w:r>
              <w:rPr>
                <w:b/>
                <w:bCs/>
                <w:color w:val="auto"/>
                <w:sz w:val="21"/>
                <w:szCs w:val="21"/>
              </w:rPr>
              <w:t>排放规律</w:t>
            </w:r>
          </w:p>
        </w:tc>
        <w:tc>
          <w:tcPr>
            <w:tcW w:w="303" w:type="pct"/>
            <w:vAlign w:val="center"/>
          </w:tcPr>
          <w:p w14:paraId="5F6AB92B">
            <w:pPr>
              <w:adjustRightInd w:val="0"/>
              <w:snapToGrid w:val="0"/>
              <w:spacing w:line="240" w:lineRule="atLeast"/>
              <w:jc w:val="center"/>
              <w:rPr>
                <w:b/>
                <w:bCs/>
                <w:color w:val="auto"/>
                <w:sz w:val="21"/>
                <w:szCs w:val="21"/>
              </w:rPr>
            </w:pPr>
            <w:r>
              <w:rPr>
                <w:b/>
                <w:bCs/>
                <w:color w:val="auto"/>
                <w:sz w:val="21"/>
                <w:szCs w:val="21"/>
              </w:rPr>
              <w:t>排放编号及名称</w:t>
            </w:r>
          </w:p>
        </w:tc>
        <w:tc>
          <w:tcPr>
            <w:tcW w:w="227" w:type="pct"/>
            <w:vAlign w:val="center"/>
          </w:tcPr>
          <w:p w14:paraId="1C4E942B">
            <w:pPr>
              <w:adjustRightInd w:val="0"/>
              <w:snapToGrid w:val="0"/>
              <w:spacing w:line="240" w:lineRule="atLeast"/>
              <w:jc w:val="center"/>
              <w:rPr>
                <w:b/>
                <w:bCs/>
                <w:color w:val="auto"/>
                <w:sz w:val="21"/>
                <w:szCs w:val="21"/>
              </w:rPr>
            </w:pPr>
            <w:r>
              <w:rPr>
                <w:b/>
                <w:bCs/>
                <w:color w:val="auto"/>
                <w:sz w:val="21"/>
                <w:szCs w:val="21"/>
              </w:rPr>
              <w:t>排放类型</w:t>
            </w:r>
          </w:p>
        </w:tc>
        <w:tc>
          <w:tcPr>
            <w:tcW w:w="410" w:type="pct"/>
            <w:vAlign w:val="center"/>
          </w:tcPr>
          <w:p w14:paraId="0D96FE88">
            <w:pPr>
              <w:adjustRightInd w:val="0"/>
              <w:snapToGrid w:val="0"/>
              <w:spacing w:line="240" w:lineRule="atLeast"/>
              <w:jc w:val="center"/>
              <w:rPr>
                <w:b/>
                <w:bCs/>
                <w:color w:val="auto"/>
                <w:sz w:val="21"/>
                <w:szCs w:val="21"/>
              </w:rPr>
            </w:pPr>
            <w:r>
              <w:rPr>
                <w:b/>
                <w:bCs/>
                <w:color w:val="auto"/>
                <w:sz w:val="21"/>
                <w:szCs w:val="21"/>
              </w:rPr>
              <w:t>地理</w:t>
            </w:r>
          </w:p>
          <w:p w14:paraId="74AF50C4">
            <w:pPr>
              <w:adjustRightInd w:val="0"/>
              <w:snapToGrid w:val="0"/>
              <w:spacing w:line="240" w:lineRule="atLeast"/>
              <w:jc w:val="center"/>
              <w:rPr>
                <w:b/>
                <w:bCs/>
                <w:color w:val="auto"/>
                <w:sz w:val="21"/>
                <w:szCs w:val="21"/>
              </w:rPr>
            </w:pPr>
            <w:r>
              <w:rPr>
                <w:b/>
                <w:bCs/>
                <w:color w:val="auto"/>
                <w:sz w:val="21"/>
                <w:szCs w:val="21"/>
              </w:rPr>
              <w:t>坐标</w:t>
            </w:r>
          </w:p>
        </w:tc>
        <w:tc>
          <w:tcPr>
            <w:tcW w:w="259" w:type="pct"/>
            <w:vMerge w:val="restart"/>
            <w:vAlign w:val="center"/>
          </w:tcPr>
          <w:p w14:paraId="04BA533D">
            <w:pPr>
              <w:adjustRightInd w:val="0"/>
              <w:snapToGrid w:val="0"/>
              <w:spacing w:line="240" w:lineRule="atLeast"/>
              <w:jc w:val="center"/>
              <w:rPr>
                <w:b/>
                <w:bCs/>
                <w:color w:val="auto"/>
                <w:sz w:val="21"/>
                <w:szCs w:val="21"/>
              </w:rPr>
            </w:pPr>
            <w:r>
              <w:rPr>
                <w:b/>
                <w:bCs/>
                <w:color w:val="auto"/>
                <w:sz w:val="21"/>
                <w:szCs w:val="21"/>
              </w:rPr>
              <w:t>浓度</w:t>
            </w:r>
          </w:p>
          <w:p w14:paraId="7B17EB27">
            <w:pPr>
              <w:adjustRightInd w:val="0"/>
              <w:snapToGrid w:val="0"/>
              <w:spacing w:line="240" w:lineRule="atLeast"/>
              <w:jc w:val="center"/>
              <w:rPr>
                <w:b/>
                <w:bCs/>
                <w:color w:val="auto"/>
                <w:sz w:val="21"/>
                <w:szCs w:val="21"/>
              </w:rPr>
            </w:pPr>
            <w:r>
              <w:rPr>
                <w:b/>
                <w:bCs/>
                <w:color w:val="auto"/>
                <w:sz w:val="21"/>
                <w:szCs w:val="21"/>
              </w:rPr>
              <w:t>mg/l</w:t>
            </w:r>
          </w:p>
        </w:tc>
      </w:tr>
      <w:tr w14:paraId="5B536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continue"/>
            <w:vAlign w:val="center"/>
          </w:tcPr>
          <w:p w14:paraId="5DC3466E">
            <w:pPr>
              <w:adjustRightInd w:val="0"/>
              <w:snapToGrid w:val="0"/>
              <w:spacing w:line="240" w:lineRule="atLeast"/>
              <w:jc w:val="center"/>
              <w:rPr>
                <w:bCs/>
                <w:color w:val="auto"/>
                <w:sz w:val="21"/>
                <w:szCs w:val="21"/>
              </w:rPr>
            </w:pPr>
          </w:p>
        </w:tc>
        <w:tc>
          <w:tcPr>
            <w:tcW w:w="222" w:type="pct"/>
            <w:vMerge w:val="continue"/>
            <w:vAlign w:val="center"/>
          </w:tcPr>
          <w:p w14:paraId="2771D7CF">
            <w:pPr>
              <w:adjustRightInd w:val="0"/>
              <w:snapToGrid w:val="0"/>
              <w:spacing w:line="240" w:lineRule="atLeast"/>
              <w:jc w:val="center"/>
              <w:rPr>
                <w:bCs/>
                <w:color w:val="auto"/>
                <w:sz w:val="21"/>
                <w:szCs w:val="21"/>
              </w:rPr>
            </w:pPr>
          </w:p>
        </w:tc>
        <w:tc>
          <w:tcPr>
            <w:tcW w:w="302" w:type="pct"/>
            <w:vMerge w:val="continue"/>
            <w:vAlign w:val="center"/>
          </w:tcPr>
          <w:p w14:paraId="5570DE9D">
            <w:pPr>
              <w:adjustRightInd w:val="0"/>
              <w:snapToGrid w:val="0"/>
              <w:spacing w:line="240" w:lineRule="atLeast"/>
              <w:jc w:val="center"/>
              <w:rPr>
                <w:bCs/>
                <w:color w:val="auto"/>
                <w:sz w:val="21"/>
                <w:szCs w:val="21"/>
              </w:rPr>
            </w:pPr>
          </w:p>
        </w:tc>
        <w:tc>
          <w:tcPr>
            <w:tcW w:w="229" w:type="pct"/>
            <w:vAlign w:val="center"/>
          </w:tcPr>
          <w:p w14:paraId="661912A3">
            <w:pPr>
              <w:adjustRightInd w:val="0"/>
              <w:snapToGrid w:val="0"/>
              <w:spacing w:line="240" w:lineRule="atLeast"/>
              <w:jc w:val="center"/>
              <w:rPr>
                <w:b/>
                <w:bCs/>
                <w:color w:val="auto"/>
                <w:sz w:val="21"/>
                <w:szCs w:val="21"/>
              </w:rPr>
            </w:pPr>
            <w:r>
              <w:rPr>
                <w:b/>
                <w:bCs/>
                <w:color w:val="auto"/>
                <w:sz w:val="21"/>
                <w:szCs w:val="21"/>
              </w:rPr>
              <w:t>m</w:t>
            </w:r>
            <w:r>
              <w:rPr>
                <w:b/>
                <w:bCs/>
                <w:color w:val="auto"/>
                <w:sz w:val="21"/>
                <w:szCs w:val="21"/>
                <w:vertAlign w:val="superscript"/>
              </w:rPr>
              <w:t>3</w:t>
            </w:r>
            <w:r>
              <w:rPr>
                <w:b/>
                <w:bCs/>
                <w:color w:val="auto"/>
                <w:sz w:val="21"/>
                <w:szCs w:val="21"/>
              </w:rPr>
              <w:t>/a</w:t>
            </w:r>
          </w:p>
        </w:tc>
        <w:tc>
          <w:tcPr>
            <w:tcW w:w="259" w:type="pct"/>
            <w:vAlign w:val="center"/>
          </w:tcPr>
          <w:p w14:paraId="6AECDCBE">
            <w:pPr>
              <w:adjustRightInd w:val="0"/>
              <w:snapToGrid w:val="0"/>
              <w:spacing w:line="240" w:lineRule="atLeast"/>
              <w:jc w:val="center"/>
              <w:rPr>
                <w:rFonts w:hint="eastAsia" w:eastAsia="宋体"/>
                <w:b/>
                <w:bCs/>
                <w:color w:val="auto"/>
                <w:sz w:val="21"/>
                <w:szCs w:val="21"/>
                <w:lang w:eastAsia="zh-CN"/>
              </w:rPr>
            </w:pPr>
            <w:r>
              <w:rPr>
                <w:b/>
                <w:bCs/>
                <w:color w:val="auto"/>
                <w:sz w:val="21"/>
                <w:szCs w:val="21"/>
              </w:rPr>
              <w:t>mg/</w:t>
            </w:r>
            <w:r>
              <w:rPr>
                <w:rFonts w:hint="eastAsia"/>
                <w:b/>
                <w:bCs/>
                <w:color w:val="auto"/>
                <w:sz w:val="21"/>
                <w:szCs w:val="21"/>
                <w:lang w:val="en-US" w:eastAsia="zh-CN"/>
              </w:rPr>
              <w:t>L</w:t>
            </w:r>
          </w:p>
        </w:tc>
        <w:tc>
          <w:tcPr>
            <w:tcW w:w="239" w:type="pct"/>
            <w:vAlign w:val="center"/>
          </w:tcPr>
          <w:p w14:paraId="1BDD4396">
            <w:pPr>
              <w:adjustRightInd w:val="0"/>
              <w:snapToGrid w:val="0"/>
              <w:spacing w:line="240" w:lineRule="atLeast"/>
              <w:jc w:val="center"/>
              <w:rPr>
                <w:b/>
                <w:bCs/>
                <w:color w:val="auto"/>
                <w:sz w:val="21"/>
                <w:szCs w:val="21"/>
              </w:rPr>
            </w:pPr>
            <w:r>
              <w:rPr>
                <w:b/>
                <w:bCs/>
                <w:color w:val="auto"/>
                <w:sz w:val="21"/>
                <w:szCs w:val="21"/>
              </w:rPr>
              <w:t>t/a</w:t>
            </w:r>
          </w:p>
        </w:tc>
        <w:tc>
          <w:tcPr>
            <w:tcW w:w="243" w:type="pct"/>
            <w:vAlign w:val="center"/>
          </w:tcPr>
          <w:p w14:paraId="12768DF6">
            <w:pPr>
              <w:adjustRightInd w:val="0"/>
              <w:snapToGrid w:val="0"/>
              <w:spacing w:line="240" w:lineRule="atLeast"/>
              <w:jc w:val="center"/>
              <w:rPr>
                <w:b/>
                <w:bCs/>
                <w:color w:val="auto"/>
                <w:sz w:val="21"/>
                <w:szCs w:val="21"/>
              </w:rPr>
            </w:pPr>
            <w:r>
              <w:rPr>
                <w:b/>
                <w:bCs/>
                <w:color w:val="auto"/>
                <w:sz w:val="21"/>
                <w:szCs w:val="21"/>
              </w:rPr>
              <w:t>m</w:t>
            </w:r>
            <w:r>
              <w:rPr>
                <w:b/>
                <w:bCs/>
                <w:color w:val="auto"/>
                <w:sz w:val="21"/>
                <w:szCs w:val="21"/>
                <w:vertAlign w:val="superscript"/>
              </w:rPr>
              <w:t>3</w:t>
            </w:r>
            <w:r>
              <w:rPr>
                <w:b/>
                <w:bCs/>
                <w:color w:val="auto"/>
                <w:sz w:val="21"/>
                <w:szCs w:val="21"/>
              </w:rPr>
              <w:t>/</w:t>
            </w:r>
            <w:r>
              <w:rPr>
                <w:rFonts w:hint="eastAsia"/>
                <w:b/>
                <w:bCs/>
                <w:color w:val="auto"/>
                <w:sz w:val="21"/>
                <w:szCs w:val="21"/>
              </w:rPr>
              <w:t>d</w:t>
            </w:r>
          </w:p>
        </w:tc>
        <w:tc>
          <w:tcPr>
            <w:tcW w:w="188" w:type="pct"/>
            <w:vMerge w:val="continue"/>
            <w:vAlign w:val="center"/>
          </w:tcPr>
          <w:p w14:paraId="6930E03F">
            <w:pPr>
              <w:adjustRightInd w:val="0"/>
              <w:snapToGrid w:val="0"/>
              <w:spacing w:line="240" w:lineRule="atLeast"/>
              <w:jc w:val="center"/>
              <w:rPr>
                <w:b/>
                <w:bCs/>
                <w:color w:val="auto"/>
                <w:sz w:val="21"/>
                <w:szCs w:val="21"/>
              </w:rPr>
            </w:pPr>
          </w:p>
        </w:tc>
        <w:tc>
          <w:tcPr>
            <w:tcW w:w="247" w:type="pct"/>
            <w:vAlign w:val="center"/>
          </w:tcPr>
          <w:p w14:paraId="1317AE7A">
            <w:pPr>
              <w:adjustRightInd w:val="0"/>
              <w:snapToGrid w:val="0"/>
              <w:spacing w:line="240" w:lineRule="atLeast"/>
              <w:jc w:val="center"/>
              <w:rPr>
                <w:b/>
                <w:bCs/>
                <w:color w:val="auto"/>
                <w:sz w:val="21"/>
                <w:szCs w:val="21"/>
              </w:rPr>
            </w:pPr>
            <w:r>
              <w:rPr>
                <w:b/>
                <w:bCs/>
                <w:color w:val="auto"/>
                <w:sz w:val="21"/>
                <w:szCs w:val="21"/>
              </w:rPr>
              <w:t>%</w:t>
            </w:r>
          </w:p>
        </w:tc>
        <w:tc>
          <w:tcPr>
            <w:tcW w:w="204" w:type="pct"/>
            <w:vMerge w:val="continue"/>
            <w:vAlign w:val="center"/>
          </w:tcPr>
          <w:p w14:paraId="0E8D2CC7">
            <w:pPr>
              <w:adjustRightInd w:val="0"/>
              <w:snapToGrid w:val="0"/>
              <w:spacing w:line="240" w:lineRule="atLeast"/>
              <w:jc w:val="center"/>
              <w:rPr>
                <w:bCs/>
                <w:color w:val="auto"/>
                <w:sz w:val="21"/>
                <w:szCs w:val="21"/>
              </w:rPr>
            </w:pPr>
          </w:p>
        </w:tc>
        <w:tc>
          <w:tcPr>
            <w:tcW w:w="215" w:type="pct"/>
            <w:vAlign w:val="center"/>
          </w:tcPr>
          <w:p w14:paraId="58FB9972">
            <w:pPr>
              <w:adjustRightInd w:val="0"/>
              <w:snapToGrid w:val="0"/>
              <w:spacing w:line="240" w:lineRule="atLeast"/>
              <w:jc w:val="center"/>
              <w:rPr>
                <w:b/>
                <w:bCs/>
                <w:color w:val="auto"/>
                <w:sz w:val="21"/>
                <w:szCs w:val="21"/>
              </w:rPr>
            </w:pPr>
            <w:r>
              <w:rPr>
                <w:b/>
                <w:bCs/>
                <w:color w:val="auto"/>
                <w:sz w:val="21"/>
                <w:szCs w:val="21"/>
              </w:rPr>
              <w:t>m</w:t>
            </w:r>
            <w:r>
              <w:rPr>
                <w:b/>
                <w:bCs/>
                <w:color w:val="auto"/>
                <w:sz w:val="21"/>
                <w:szCs w:val="21"/>
                <w:vertAlign w:val="superscript"/>
              </w:rPr>
              <w:t>3</w:t>
            </w:r>
            <w:r>
              <w:rPr>
                <w:b/>
                <w:bCs/>
                <w:color w:val="auto"/>
                <w:sz w:val="21"/>
                <w:szCs w:val="21"/>
              </w:rPr>
              <w:t>/a</w:t>
            </w:r>
          </w:p>
        </w:tc>
        <w:tc>
          <w:tcPr>
            <w:tcW w:w="251" w:type="pct"/>
            <w:vAlign w:val="center"/>
          </w:tcPr>
          <w:p w14:paraId="473A8B5F">
            <w:pPr>
              <w:adjustRightInd w:val="0"/>
              <w:snapToGrid w:val="0"/>
              <w:spacing w:line="240" w:lineRule="atLeast"/>
              <w:jc w:val="center"/>
              <w:rPr>
                <w:b/>
                <w:bCs/>
                <w:color w:val="auto"/>
                <w:sz w:val="21"/>
                <w:szCs w:val="21"/>
              </w:rPr>
            </w:pPr>
            <w:r>
              <w:rPr>
                <w:b/>
                <w:bCs/>
                <w:color w:val="auto"/>
                <w:sz w:val="21"/>
                <w:szCs w:val="21"/>
              </w:rPr>
              <w:t>mg/</w:t>
            </w:r>
            <w:r>
              <w:rPr>
                <w:rFonts w:hint="eastAsia"/>
                <w:b/>
                <w:bCs/>
                <w:color w:val="auto"/>
                <w:sz w:val="21"/>
                <w:szCs w:val="21"/>
                <w:lang w:val="en-US" w:eastAsia="zh-CN"/>
              </w:rPr>
              <w:t>L</w:t>
            </w:r>
          </w:p>
        </w:tc>
        <w:tc>
          <w:tcPr>
            <w:tcW w:w="236" w:type="pct"/>
            <w:vAlign w:val="center"/>
          </w:tcPr>
          <w:p w14:paraId="2C019700">
            <w:pPr>
              <w:adjustRightInd w:val="0"/>
              <w:snapToGrid w:val="0"/>
              <w:spacing w:line="240" w:lineRule="atLeast"/>
              <w:jc w:val="center"/>
              <w:rPr>
                <w:b/>
                <w:bCs/>
                <w:color w:val="auto"/>
                <w:sz w:val="21"/>
                <w:szCs w:val="21"/>
              </w:rPr>
            </w:pPr>
            <w:r>
              <w:rPr>
                <w:b/>
                <w:bCs/>
                <w:color w:val="auto"/>
                <w:sz w:val="21"/>
                <w:szCs w:val="21"/>
              </w:rPr>
              <w:t>t/a</w:t>
            </w:r>
          </w:p>
        </w:tc>
        <w:tc>
          <w:tcPr>
            <w:tcW w:w="176" w:type="pct"/>
            <w:vAlign w:val="center"/>
          </w:tcPr>
          <w:p w14:paraId="540AAC85">
            <w:pPr>
              <w:adjustRightInd w:val="0"/>
              <w:snapToGrid w:val="0"/>
              <w:spacing w:line="240" w:lineRule="atLeast"/>
              <w:jc w:val="center"/>
              <w:rPr>
                <w:b/>
                <w:bCs/>
                <w:color w:val="auto"/>
                <w:sz w:val="21"/>
                <w:szCs w:val="21"/>
              </w:rPr>
            </w:pPr>
            <w:r>
              <w:rPr>
                <w:b/>
                <w:bCs/>
                <w:color w:val="auto"/>
                <w:sz w:val="21"/>
                <w:szCs w:val="21"/>
              </w:rPr>
              <w:t>/</w:t>
            </w:r>
          </w:p>
        </w:tc>
        <w:tc>
          <w:tcPr>
            <w:tcW w:w="256" w:type="pct"/>
            <w:vAlign w:val="center"/>
          </w:tcPr>
          <w:p w14:paraId="38895C22">
            <w:pPr>
              <w:adjustRightInd w:val="0"/>
              <w:snapToGrid w:val="0"/>
              <w:spacing w:line="240" w:lineRule="atLeast"/>
              <w:jc w:val="center"/>
              <w:rPr>
                <w:b/>
                <w:bCs/>
                <w:color w:val="auto"/>
                <w:sz w:val="21"/>
                <w:szCs w:val="21"/>
              </w:rPr>
            </w:pPr>
            <w:r>
              <w:rPr>
                <w:rFonts w:hint="eastAsia"/>
                <w:b/>
                <w:bCs/>
                <w:color w:val="auto"/>
                <w:sz w:val="21"/>
                <w:szCs w:val="21"/>
              </w:rPr>
              <w:t>/</w:t>
            </w:r>
          </w:p>
        </w:tc>
        <w:tc>
          <w:tcPr>
            <w:tcW w:w="308" w:type="pct"/>
            <w:vAlign w:val="center"/>
          </w:tcPr>
          <w:p w14:paraId="08A05AD3">
            <w:pPr>
              <w:adjustRightInd w:val="0"/>
              <w:snapToGrid w:val="0"/>
              <w:spacing w:line="240" w:lineRule="atLeast"/>
              <w:jc w:val="center"/>
              <w:rPr>
                <w:b/>
                <w:bCs/>
                <w:color w:val="auto"/>
                <w:sz w:val="21"/>
                <w:szCs w:val="21"/>
              </w:rPr>
            </w:pPr>
            <w:r>
              <w:rPr>
                <w:rFonts w:hint="eastAsia"/>
                <w:b/>
                <w:bCs/>
                <w:color w:val="auto"/>
                <w:sz w:val="21"/>
                <w:szCs w:val="21"/>
              </w:rPr>
              <w:t>/</w:t>
            </w:r>
          </w:p>
        </w:tc>
        <w:tc>
          <w:tcPr>
            <w:tcW w:w="303" w:type="pct"/>
            <w:vAlign w:val="center"/>
          </w:tcPr>
          <w:p w14:paraId="0AC8F54C">
            <w:pPr>
              <w:adjustRightInd w:val="0"/>
              <w:snapToGrid w:val="0"/>
              <w:spacing w:line="240" w:lineRule="atLeast"/>
              <w:jc w:val="center"/>
              <w:rPr>
                <w:b/>
                <w:bCs/>
                <w:color w:val="auto"/>
                <w:sz w:val="21"/>
                <w:szCs w:val="21"/>
              </w:rPr>
            </w:pPr>
            <w:r>
              <w:rPr>
                <w:rFonts w:hint="eastAsia"/>
                <w:b/>
                <w:bCs/>
                <w:color w:val="auto"/>
                <w:sz w:val="21"/>
                <w:szCs w:val="21"/>
              </w:rPr>
              <w:t>/</w:t>
            </w:r>
          </w:p>
        </w:tc>
        <w:tc>
          <w:tcPr>
            <w:tcW w:w="227" w:type="pct"/>
            <w:vAlign w:val="center"/>
          </w:tcPr>
          <w:p w14:paraId="5A771144">
            <w:pPr>
              <w:adjustRightInd w:val="0"/>
              <w:snapToGrid w:val="0"/>
              <w:spacing w:line="240" w:lineRule="atLeast"/>
              <w:jc w:val="center"/>
              <w:rPr>
                <w:b/>
                <w:bCs/>
                <w:color w:val="auto"/>
                <w:sz w:val="21"/>
                <w:szCs w:val="21"/>
              </w:rPr>
            </w:pPr>
            <w:r>
              <w:rPr>
                <w:b/>
                <w:bCs/>
                <w:color w:val="auto"/>
                <w:sz w:val="21"/>
                <w:szCs w:val="21"/>
              </w:rPr>
              <w:t>/</w:t>
            </w:r>
          </w:p>
        </w:tc>
        <w:tc>
          <w:tcPr>
            <w:tcW w:w="410" w:type="pct"/>
            <w:vAlign w:val="center"/>
          </w:tcPr>
          <w:p w14:paraId="24DE416F">
            <w:pPr>
              <w:adjustRightInd w:val="0"/>
              <w:snapToGrid w:val="0"/>
              <w:spacing w:line="240" w:lineRule="atLeast"/>
              <w:jc w:val="center"/>
              <w:rPr>
                <w:b/>
                <w:bCs/>
                <w:color w:val="auto"/>
                <w:sz w:val="21"/>
                <w:szCs w:val="21"/>
              </w:rPr>
            </w:pPr>
            <w:r>
              <w:rPr>
                <w:b/>
                <w:bCs/>
                <w:color w:val="auto"/>
                <w:sz w:val="21"/>
                <w:szCs w:val="21"/>
              </w:rPr>
              <w:t>/</w:t>
            </w:r>
          </w:p>
        </w:tc>
        <w:tc>
          <w:tcPr>
            <w:tcW w:w="259" w:type="pct"/>
            <w:vMerge w:val="continue"/>
            <w:vAlign w:val="center"/>
          </w:tcPr>
          <w:p w14:paraId="7D811018">
            <w:pPr>
              <w:adjustRightInd w:val="0"/>
              <w:snapToGrid w:val="0"/>
              <w:spacing w:line="240" w:lineRule="atLeast"/>
              <w:jc w:val="center"/>
              <w:rPr>
                <w:bCs/>
                <w:color w:val="auto"/>
                <w:sz w:val="21"/>
                <w:szCs w:val="21"/>
              </w:rPr>
            </w:pPr>
          </w:p>
        </w:tc>
      </w:tr>
      <w:tr w14:paraId="00D1E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17" w:type="pct"/>
            <w:vMerge w:val="restart"/>
            <w:vAlign w:val="center"/>
          </w:tcPr>
          <w:p w14:paraId="28D34428">
            <w:pPr>
              <w:adjustRightInd w:val="0"/>
              <w:snapToGrid w:val="0"/>
              <w:spacing w:line="240" w:lineRule="atLeast"/>
              <w:jc w:val="center"/>
              <w:rPr>
                <w:bCs/>
                <w:color w:val="auto"/>
                <w:sz w:val="21"/>
                <w:szCs w:val="21"/>
              </w:rPr>
            </w:pPr>
            <w:r>
              <w:rPr>
                <w:rFonts w:hint="eastAsia"/>
                <w:bCs/>
                <w:color w:val="auto"/>
                <w:sz w:val="21"/>
                <w:szCs w:val="21"/>
              </w:rPr>
              <w:t>员工生活</w:t>
            </w:r>
          </w:p>
        </w:tc>
        <w:tc>
          <w:tcPr>
            <w:tcW w:w="222" w:type="pct"/>
            <w:vMerge w:val="restart"/>
            <w:vAlign w:val="center"/>
          </w:tcPr>
          <w:p w14:paraId="4BEA80C2">
            <w:pPr>
              <w:adjustRightInd w:val="0"/>
              <w:snapToGrid w:val="0"/>
              <w:spacing w:line="240" w:lineRule="atLeast"/>
              <w:jc w:val="center"/>
              <w:rPr>
                <w:bCs/>
                <w:color w:val="auto"/>
                <w:sz w:val="21"/>
                <w:szCs w:val="21"/>
              </w:rPr>
            </w:pPr>
            <w:r>
              <w:rPr>
                <w:rFonts w:hint="eastAsia"/>
                <w:bCs/>
                <w:color w:val="auto"/>
                <w:sz w:val="21"/>
                <w:szCs w:val="21"/>
              </w:rPr>
              <w:t>生活污水</w:t>
            </w:r>
          </w:p>
        </w:tc>
        <w:tc>
          <w:tcPr>
            <w:tcW w:w="302" w:type="pct"/>
            <w:vAlign w:val="center"/>
          </w:tcPr>
          <w:p w14:paraId="7E5A5E3A">
            <w:pPr>
              <w:adjustRightInd w:val="0"/>
              <w:snapToGrid w:val="0"/>
              <w:spacing w:line="240" w:lineRule="atLeast"/>
              <w:jc w:val="center"/>
              <w:rPr>
                <w:bCs/>
                <w:color w:val="auto"/>
                <w:sz w:val="21"/>
                <w:szCs w:val="21"/>
              </w:rPr>
            </w:pPr>
            <w:r>
              <w:rPr>
                <w:bCs/>
                <w:color w:val="auto"/>
                <w:sz w:val="21"/>
                <w:szCs w:val="21"/>
              </w:rPr>
              <w:t>pH</w:t>
            </w:r>
          </w:p>
        </w:tc>
        <w:tc>
          <w:tcPr>
            <w:tcW w:w="229" w:type="pct"/>
            <w:vMerge w:val="restart"/>
            <w:vAlign w:val="center"/>
          </w:tcPr>
          <w:p w14:paraId="6BDDC969">
            <w:pPr>
              <w:adjustRightInd w:val="0"/>
              <w:snapToGrid w:val="0"/>
              <w:spacing w:line="240" w:lineRule="atLeast"/>
              <w:jc w:val="center"/>
              <w:rPr>
                <w:rFonts w:hint="default" w:eastAsia="宋体"/>
                <w:bCs/>
                <w:color w:val="auto"/>
                <w:sz w:val="21"/>
                <w:szCs w:val="21"/>
                <w:lang w:val="en-US" w:eastAsia="zh-CN"/>
              </w:rPr>
            </w:pPr>
            <w:r>
              <w:rPr>
                <w:rFonts w:hint="eastAsia"/>
                <w:bCs/>
                <w:color w:val="auto"/>
                <w:sz w:val="21"/>
                <w:szCs w:val="21"/>
                <w:lang w:val="en-US" w:eastAsia="zh-CN"/>
              </w:rPr>
              <w:t>4462.5</w:t>
            </w:r>
          </w:p>
        </w:tc>
        <w:tc>
          <w:tcPr>
            <w:tcW w:w="259" w:type="pct"/>
            <w:vAlign w:val="center"/>
          </w:tcPr>
          <w:p w14:paraId="3684A22D">
            <w:pPr>
              <w:widowControl/>
              <w:snapToGrid w:val="0"/>
              <w:spacing w:line="240" w:lineRule="atLeast"/>
              <w:jc w:val="center"/>
              <w:textAlignment w:val="top"/>
              <w:rPr>
                <w:bCs/>
                <w:color w:val="auto"/>
                <w:sz w:val="21"/>
                <w:szCs w:val="21"/>
              </w:rPr>
            </w:pPr>
            <w:r>
              <w:rPr>
                <w:rFonts w:hint="eastAsia"/>
                <w:bCs/>
                <w:color w:val="auto"/>
                <w:sz w:val="21"/>
                <w:szCs w:val="21"/>
              </w:rPr>
              <w:t>6-9</w:t>
            </w:r>
          </w:p>
        </w:tc>
        <w:tc>
          <w:tcPr>
            <w:tcW w:w="239" w:type="pct"/>
            <w:vAlign w:val="center"/>
          </w:tcPr>
          <w:p w14:paraId="194E7AE2">
            <w:pPr>
              <w:widowControl/>
              <w:snapToGrid w:val="0"/>
              <w:spacing w:line="240" w:lineRule="atLeast"/>
              <w:jc w:val="center"/>
              <w:textAlignment w:val="top"/>
              <w:rPr>
                <w:bCs/>
                <w:color w:val="auto"/>
                <w:sz w:val="21"/>
                <w:szCs w:val="21"/>
              </w:rPr>
            </w:pPr>
            <w:r>
              <w:rPr>
                <w:rFonts w:hint="eastAsia"/>
                <w:bCs/>
                <w:color w:val="auto"/>
                <w:sz w:val="21"/>
                <w:szCs w:val="21"/>
              </w:rPr>
              <w:t>/</w:t>
            </w:r>
          </w:p>
        </w:tc>
        <w:tc>
          <w:tcPr>
            <w:tcW w:w="243" w:type="pct"/>
            <w:vMerge w:val="restart"/>
            <w:vAlign w:val="center"/>
          </w:tcPr>
          <w:p w14:paraId="72CCDE1B">
            <w:pPr>
              <w:adjustRightInd w:val="0"/>
              <w:snapToGrid w:val="0"/>
              <w:spacing w:line="240" w:lineRule="atLeast"/>
              <w:jc w:val="center"/>
              <w:rPr>
                <w:bCs/>
                <w:color w:val="auto"/>
                <w:sz w:val="21"/>
                <w:szCs w:val="21"/>
              </w:rPr>
            </w:pPr>
            <w:r>
              <w:rPr>
                <w:rFonts w:hint="eastAsia"/>
                <w:bCs/>
                <w:color w:val="auto"/>
                <w:sz w:val="21"/>
                <w:szCs w:val="21"/>
                <w:lang w:val="en-US" w:eastAsia="zh-CN"/>
              </w:rPr>
              <w:t>5</w:t>
            </w:r>
            <w:r>
              <w:rPr>
                <w:rFonts w:hint="eastAsia"/>
                <w:bCs/>
                <w:color w:val="auto"/>
                <w:sz w:val="21"/>
                <w:szCs w:val="21"/>
              </w:rPr>
              <w:t>0</w:t>
            </w:r>
          </w:p>
        </w:tc>
        <w:tc>
          <w:tcPr>
            <w:tcW w:w="188" w:type="pct"/>
            <w:vMerge w:val="restart"/>
            <w:vAlign w:val="center"/>
          </w:tcPr>
          <w:p w14:paraId="38719FE1">
            <w:pPr>
              <w:adjustRightInd w:val="0"/>
              <w:snapToGrid w:val="0"/>
              <w:spacing w:line="240" w:lineRule="atLeast"/>
              <w:jc w:val="center"/>
              <w:rPr>
                <w:bCs/>
                <w:color w:val="auto"/>
                <w:sz w:val="21"/>
                <w:szCs w:val="21"/>
              </w:rPr>
            </w:pPr>
            <w:r>
              <w:rPr>
                <w:bCs/>
                <w:color w:val="auto"/>
                <w:sz w:val="21"/>
                <w:szCs w:val="21"/>
              </w:rPr>
              <w:t>化粪池</w:t>
            </w:r>
          </w:p>
        </w:tc>
        <w:tc>
          <w:tcPr>
            <w:tcW w:w="247" w:type="pct"/>
            <w:vAlign w:val="center"/>
          </w:tcPr>
          <w:p w14:paraId="7A0F4E21">
            <w:pPr>
              <w:adjustRightInd w:val="0"/>
              <w:snapToGrid w:val="0"/>
              <w:spacing w:line="240" w:lineRule="atLeast"/>
              <w:jc w:val="center"/>
              <w:rPr>
                <w:bCs/>
                <w:color w:val="auto"/>
                <w:sz w:val="21"/>
                <w:szCs w:val="21"/>
              </w:rPr>
            </w:pPr>
            <w:r>
              <w:rPr>
                <w:rFonts w:hint="eastAsia"/>
                <w:bCs/>
                <w:color w:val="auto"/>
                <w:sz w:val="21"/>
                <w:szCs w:val="21"/>
              </w:rPr>
              <w:t>/</w:t>
            </w:r>
          </w:p>
        </w:tc>
        <w:tc>
          <w:tcPr>
            <w:tcW w:w="204" w:type="pct"/>
            <w:vMerge w:val="restart"/>
            <w:vAlign w:val="center"/>
          </w:tcPr>
          <w:p w14:paraId="38354E8F">
            <w:pPr>
              <w:adjustRightInd w:val="0"/>
              <w:snapToGrid w:val="0"/>
              <w:spacing w:line="240" w:lineRule="atLeast"/>
              <w:jc w:val="center"/>
              <w:rPr>
                <w:bCs/>
                <w:color w:val="auto"/>
                <w:sz w:val="21"/>
                <w:szCs w:val="21"/>
              </w:rPr>
            </w:pPr>
            <w:r>
              <w:rPr>
                <w:rFonts w:hint="eastAsia"/>
                <w:bCs/>
                <w:color w:val="auto"/>
                <w:sz w:val="21"/>
                <w:szCs w:val="21"/>
              </w:rPr>
              <w:t>是</w:t>
            </w:r>
          </w:p>
        </w:tc>
        <w:tc>
          <w:tcPr>
            <w:tcW w:w="215" w:type="pct"/>
            <w:vMerge w:val="restart"/>
            <w:vAlign w:val="center"/>
          </w:tcPr>
          <w:p w14:paraId="7013A67A">
            <w:pPr>
              <w:adjustRightInd w:val="0"/>
              <w:snapToGrid w:val="0"/>
              <w:spacing w:line="240" w:lineRule="atLeast"/>
              <w:jc w:val="center"/>
              <w:rPr>
                <w:bCs/>
                <w:color w:val="auto"/>
                <w:sz w:val="21"/>
                <w:szCs w:val="21"/>
              </w:rPr>
            </w:pPr>
            <w:r>
              <w:rPr>
                <w:rFonts w:hint="eastAsia"/>
                <w:bCs/>
                <w:color w:val="auto"/>
                <w:sz w:val="21"/>
                <w:szCs w:val="21"/>
                <w:lang w:val="en-US" w:eastAsia="zh-CN"/>
              </w:rPr>
              <w:t>4462.5</w:t>
            </w:r>
          </w:p>
        </w:tc>
        <w:tc>
          <w:tcPr>
            <w:tcW w:w="251" w:type="pct"/>
            <w:vAlign w:val="center"/>
          </w:tcPr>
          <w:p w14:paraId="3CE6910E">
            <w:pPr>
              <w:widowControl/>
              <w:snapToGrid w:val="0"/>
              <w:spacing w:line="240" w:lineRule="atLeast"/>
              <w:jc w:val="center"/>
              <w:textAlignment w:val="top"/>
              <w:rPr>
                <w:bCs/>
                <w:color w:val="auto"/>
                <w:sz w:val="21"/>
                <w:szCs w:val="21"/>
              </w:rPr>
            </w:pPr>
            <w:r>
              <w:rPr>
                <w:rFonts w:hint="eastAsia"/>
                <w:bCs/>
                <w:color w:val="auto"/>
                <w:sz w:val="21"/>
                <w:szCs w:val="21"/>
              </w:rPr>
              <w:t>6-9</w:t>
            </w:r>
          </w:p>
        </w:tc>
        <w:tc>
          <w:tcPr>
            <w:tcW w:w="236" w:type="pct"/>
            <w:vAlign w:val="center"/>
          </w:tcPr>
          <w:p w14:paraId="74578DF0">
            <w:pPr>
              <w:jc w:val="center"/>
              <w:rPr>
                <w:color w:val="auto"/>
                <w:sz w:val="21"/>
                <w:szCs w:val="21"/>
              </w:rPr>
            </w:pPr>
            <w:r>
              <w:rPr>
                <w:rFonts w:hint="eastAsia"/>
                <w:color w:val="auto"/>
                <w:sz w:val="21"/>
                <w:szCs w:val="21"/>
              </w:rPr>
              <w:t>/</w:t>
            </w:r>
          </w:p>
        </w:tc>
        <w:tc>
          <w:tcPr>
            <w:tcW w:w="176" w:type="pct"/>
            <w:vMerge w:val="restart"/>
            <w:vAlign w:val="center"/>
          </w:tcPr>
          <w:p w14:paraId="5DED37CE">
            <w:pPr>
              <w:adjustRightInd w:val="0"/>
              <w:snapToGrid w:val="0"/>
              <w:spacing w:line="240" w:lineRule="atLeast"/>
              <w:jc w:val="center"/>
              <w:rPr>
                <w:bCs/>
                <w:color w:val="auto"/>
                <w:sz w:val="21"/>
                <w:szCs w:val="21"/>
              </w:rPr>
            </w:pPr>
            <w:r>
              <w:rPr>
                <w:rFonts w:hint="eastAsia"/>
                <w:bCs/>
                <w:color w:val="auto"/>
                <w:sz w:val="21"/>
                <w:szCs w:val="21"/>
              </w:rPr>
              <w:t>间接排放</w:t>
            </w:r>
          </w:p>
        </w:tc>
        <w:tc>
          <w:tcPr>
            <w:tcW w:w="256" w:type="pct"/>
            <w:vMerge w:val="restart"/>
            <w:vAlign w:val="center"/>
          </w:tcPr>
          <w:p w14:paraId="7082D158">
            <w:pPr>
              <w:adjustRightInd w:val="0"/>
              <w:snapToGrid w:val="0"/>
              <w:spacing w:line="240" w:lineRule="atLeast"/>
              <w:jc w:val="center"/>
              <w:rPr>
                <w:rFonts w:hint="eastAsia" w:eastAsia="宋体"/>
                <w:bCs/>
                <w:color w:val="auto"/>
                <w:sz w:val="21"/>
                <w:szCs w:val="21"/>
                <w:lang w:eastAsia="zh-CN"/>
              </w:rPr>
            </w:pPr>
            <w:r>
              <w:rPr>
                <w:rFonts w:hint="eastAsia"/>
                <w:bCs/>
                <w:color w:val="auto"/>
                <w:sz w:val="21"/>
                <w:szCs w:val="21"/>
                <w:lang w:eastAsia="zh-CN"/>
              </w:rPr>
              <w:t>大田经济开发区上京工业园污水处理厂</w:t>
            </w:r>
          </w:p>
        </w:tc>
        <w:tc>
          <w:tcPr>
            <w:tcW w:w="308" w:type="pct"/>
            <w:vMerge w:val="restart"/>
            <w:vAlign w:val="center"/>
          </w:tcPr>
          <w:p w14:paraId="65A6124E">
            <w:pPr>
              <w:adjustRightInd w:val="0"/>
              <w:snapToGrid w:val="0"/>
              <w:spacing w:line="240" w:lineRule="atLeast"/>
              <w:jc w:val="center"/>
              <w:rPr>
                <w:bCs/>
                <w:color w:val="auto"/>
                <w:sz w:val="21"/>
                <w:szCs w:val="21"/>
              </w:rPr>
            </w:pPr>
            <w:r>
              <w:rPr>
                <w:bCs/>
                <w:color w:val="auto"/>
                <w:sz w:val="21"/>
                <w:szCs w:val="21"/>
              </w:rPr>
              <w:t>排放期间流量不稳定，但有周期性规律</w:t>
            </w:r>
          </w:p>
        </w:tc>
        <w:tc>
          <w:tcPr>
            <w:tcW w:w="303" w:type="pct"/>
            <w:vMerge w:val="restart"/>
            <w:vAlign w:val="center"/>
          </w:tcPr>
          <w:p w14:paraId="2F19258F">
            <w:pPr>
              <w:adjustRightInd w:val="0"/>
              <w:snapToGrid w:val="0"/>
              <w:spacing w:line="240" w:lineRule="atLeast"/>
              <w:jc w:val="center"/>
              <w:rPr>
                <w:bCs/>
                <w:color w:val="auto"/>
                <w:sz w:val="21"/>
                <w:szCs w:val="21"/>
              </w:rPr>
            </w:pPr>
            <w:r>
              <w:rPr>
                <w:rFonts w:hint="eastAsia"/>
                <w:bCs/>
                <w:color w:val="auto"/>
                <w:sz w:val="21"/>
                <w:szCs w:val="21"/>
              </w:rPr>
              <w:t>DW001，废水总排口</w:t>
            </w:r>
          </w:p>
        </w:tc>
        <w:tc>
          <w:tcPr>
            <w:tcW w:w="227" w:type="pct"/>
            <w:vMerge w:val="restart"/>
            <w:vAlign w:val="center"/>
          </w:tcPr>
          <w:p w14:paraId="72C2B603">
            <w:pPr>
              <w:adjustRightInd w:val="0"/>
              <w:snapToGrid w:val="0"/>
              <w:spacing w:line="240" w:lineRule="atLeas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一般排放口</w:t>
            </w:r>
          </w:p>
        </w:tc>
        <w:tc>
          <w:tcPr>
            <w:tcW w:w="410" w:type="pct"/>
            <w:vMerge w:val="restart"/>
            <w:vAlign w:val="center"/>
          </w:tcPr>
          <w:p w14:paraId="32CD93D7">
            <w:pPr>
              <w:adjustRightInd w:val="0"/>
              <w:snapToGrid w:val="0"/>
              <w:spacing w:line="240" w:lineRule="atLeas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E117°42′28.910″，N25°42′9.43</w:t>
            </w:r>
            <w:r>
              <w:rPr>
                <w:rFonts w:hint="eastAsia"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rPr>
              <w:t>″</w:t>
            </w:r>
          </w:p>
        </w:tc>
        <w:tc>
          <w:tcPr>
            <w:tcW w:w="259" w:type="pct"/>
            <w:vAlign w:val="center"/>
          </w:tcPr>
          <w:p w14:paraId="13AD7799">
            <w:pPr>
              <w:pStyle w:val="28"/>
              <w:tabs>
                <w:tab w:val="left" w:pos="420"/>
                <w:tab w:val="left" w:pos="870"/>
                <w:tab w:val="left" w:pos="3150"/>
              </w:tabs>
              <w:snapToGrid w:val="0"/>
              <w:spacing w:after="0" w:line="240" w:lineRule="atLeast"/>
              <w:ind w:left="0" w:leftChars="0" w:firstLine="0" w:firstLineChars="0"/>
              <w:jc w:val="center"/>
              <w:rPr>
                <w:bCs/>
                <w:color w:val="auto"/>
                <w:sz w:val="21"/>
                <w:szCs w:val="21"/>
              </w:rPr>
            </w:pPr>
            <w:r>
              <w:rPr>
                <w:color w:val="auto"/>
                <w:sz w:val="21"/>
                <w:szCs w:val="21"/>
              </w:rPr>
              <w:t>6~9</w:t>
            </w:r>
          </w:p>
        </w:tc>
      </w:tr>
      <w:tr w14:paraId="5612B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continue"/>
            <w:vAlign w:val="center"/>
          </w:tcPr>
          <w:p w14:paraId="10EDBADA">
            <w:pPr>
              <w:adjustRightInd w:val="0"/>
              <w:snapToGrid w:val="0"/>
              <w:spacing w:line="240" w:lineRule="atLeast"/>
              <w:jc w:val="center"/>
              <w:rPr>
                <w:bCs/>
                <w:color w:val="auto"/>
                <w:sz w:val="21"/>
                <w:szCs w:val="21"/>
              </w:rPr>
            </w:pPr>
          </w:p>
        </w:tc>
        <w:tc>
          <w:tcPr>
            <w:tcW w:w="222" w:type="pct"/>
            <w:vMerge w:val="continue"/>
            <w:vAlign w:val="center"/>
          </w:tcPr>
          <w:p w14:paraId="0B2604AE">
            <w:pPr>
              <w:adjustRightInd w:val="0"/>
              <w:snapToGrid w:val="0"/>
              <w:spacing w:line="240" w:lineRule="atLeast"/>
              <w:jc w:val="center"/>
              <w:rPr>
                <w:bCs/>
                <w:color w:val="auto"/>
                <w:sz w:val="21"/>
                <w:szCs w:val="21"/>
              </w:rPr>
            </w:pPr>
          </w:p>
        </w:tc>
        <w:tc>
          <w:tcPr>
            <w:tcW w:w="302" w:type="pct"/>
            <w:vAlign w:val="center"/>
          </w:tcPr>
          <w:p w14:paraId="4C8E5121">
            <w:pPr>
              <w:adjustRightInd w:val="0"/>
              <w:snapToGrid w:val="0"/>
              <w:spacing w:line="240" w:lineRule="atLeast"/>
              <w:jc w:val="center"/>
              <w:rPr>
                <w:bCs/>
                <w:color w:val="auto"/>
                <w:sz w:val="21"/>
                <w:szCs w:val="21"/>
              </w:rPr>
            </w:pPr>
            <w:r>
              <w:rPr>
                <w:bCs/>
                <w:color w:val="auto"/>
                <w:sz w:val="21"/>
                <w:szCs w:val="21"/>
              </w:rPr>
              <w:t>CODcr</w:t>
            </w:r>
          </w:p>
        </w:tc>
        <w:tc>
          <w:tcPr>
            <w:tcW w:w="229" w:type="pct"/>
            <w:vMerge w:val="continue"/>
            <w:vAlign w:val="center"/>
          </w:tcPr>
          <w:p w14:paraId="0ACB2CE1">
            <w:pPr>
              <w:adjustRightInd w:val="0"/>
              <w:snapToGrid w:val="0"/>
              <w:spacing w:line="240" w:lineRule="atLeast"/>
              <w:jc w:val="center"/>
              <w:rPr>
                <w:bCs/>
                <w:color w:val="auto"/>
                <w:sz w:val="21"/>
                <w:szCs w:val="21"/>
              </w:rPr>
            </w:pPr>
          </w:p>
        </w:tc>
        <w:tc>
          <w:tcPr>
            <w:tcW w:w="259" w:type="pct"/>
            <w:vAlign w:val="center"/>
          </w:tcPr>
          <w:p w14:paraId="2F857347">
            <w:pPr>
              <w:widowControl/>
              <w:snapToGrid w:val="0"/>
              <w:spacing w:line="240" w:lineRule="atLeast"/>
              <w:jc w:val="center"/>
              <w:textAlignment w:val="top"/>
              <w:rPr>
                <w:bCs/>
                <w:color w:val="auto"/>
                <w:sz w:val="21"/>
                <w:szCs w:val="21"/>
              </w:rPr>
            </w:pPr>
            <w:r>
              <w:rPr>
                <w:rFonts w:hint="eastAsia"/>
                <w:bCs/>
                <w:color w:val="auto"/>
                <w:sz w:val="21"/>
                <w:szCs w:val="21"/>
              </w:rPr>
              <w:t>250</w:t>
            </w:r>
          </w:p>
        </w:tc>
        <w:tc>
          <w:tcPr>
            <w:tcW w:w="643" w:type="dxa"/>
            <w:vAlign w:val="center"/>
          </w:tcPr>
          <w:p w14:paraId="2DA445D5">
            <w:pPr>
              <w:keepNext w:val="0"/>
              <w:keepLines w:val="0"/>
              <w:widowControl/>
              <w:suppressLineNumbers w:val="0"/>
              <w:jc w:val="center"/>
              <w:textAlignment w:val="top"/>
              <w:rPr>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1.116</w:t>
            </w:r>
          </w:p>
        </w:tc>
        <w:tc>
          <w:tcPr>
            <w:tcW w:w="243" w:type="pct"/>
            <w:vMerge w:val="continue"/>
            <w:vAlign w:val="center"/>
          </w:tcPr>
          <w:p w14:paraId="1217CA75">
            <w:pPr>
              <w:adjustRightInd w:val="0"/>
              <w:snapToGrid w:val="0"/>
              <w:spacing w:line="240" w:lineRule="atLeast"/>
              <w:jc w:val="center"/>
              <w:rPr>
                <w:bCs/>
                <w:color w:val="auto"/>
                <w:sz w:val="21"/>
                <w:szCs w:val="21"/>
              </w:rPr>
            </w:pPr>
          </w:p>
        </w:tc>
        <w:tc>
          <w:tcPr>
            <w:tcW w:w="188" w:type="pct"/>
            <w:vMerge w:val="continue"/>
            <w:vAlign w:val="center"/>
          </w:tcPr>
          <w:p w14:paraId="35BEA852">
            <w:pPr>
              <w:adjustRightInd w:val="0"/>
              <w:snapToGrid w:val="0"/>
              <w:spacing w:line="240" w:lineRule="atLeast"/>
              <w:jc w:val="center"/>
              <w:rPr>
                <w:bCs/>
                <w:color w:val="auto"/>
                <w:sz w:val="21"/>
                <w:szCs w:val="21"/>
              </w:rPr>
            </w:pPr>
          </w:p>
        </w:tc>
        <w:tc>
          <w:tcPr>
            <w:tcW w:w="247" w:type="pct"/>
            <w:vAlign w:val="center"/>
          </w:tcPr>
          <w:p w14:paraId="6E4C2602">
            <w:pPr>
              <w:adjustRightInd w:val="0"/>
              <w:snapToGrid w:val="0"/>
              <w:spacing w:line="240" w:lineRule="atLeast"/>
              <w:jc w:val="center"/>
              <w:rPr>
                <w:bCs/>
                <w:color w:val="auto"/>
                <w:sz w:val="21"/>
                <w:szCs w:val="21"/>
              </w:rPr>
            </w:pPr>
            <w:r>
              <w:rPr>
                <w:rFonts w:hint="eastAsia"/>
                <w:bCs/>
                <w:color w:val="auto"/>
                <w:sz w:val="21"/>
                <w:szCs w:val="21"/>
              </w:rPr>
              <w:t>19.3</w:t>
            </w:r>
          </w:p>
        </w:tc>
        <w:tc>
          <w:tcPr>
            <w:tcW w:w="204" w:type="pct"/>
            <w:vMerge w:val="continue"/>
            <w:vAlign w:val="center"/>
          </w:tcPr>
          <w:p w14:paraId="7A5AFADB">
            <w:pPr>
              <w:adjustRightInd w:val="0"/>
              <w:snapToGrid w:val="0"/>
              <w:spacing w:line="240" w:lineRule="atLeast"/>
              <w:jc w:val="center"/>
              <w:rPr>
                <w:bCs/>
                <w:color w:val="auto"/>
                <w:sz w:val="21"/>
                <w:szCs w:val="21"/>
              </w:rPr>
            </w:pPr>
          </w:p>
        </w:tc>
        <w:tc>
          <w:tcPr>
            <w:tcW w:w="215" w:type="pct"/>
            <w:vMerge w:val="continue"/>
            <w:vAlign w:val="center"/>
          </w:tcPr>
          <w:p w14:paraId="0F56A590">
            <w:pPr>
              <w:adjustRightInd w:val="0"/>
              <w:snapToGrid w:val="0"/>
              <w:spacing w:line="240" w:lineRule="atLeast"/>
              <w:jc w:val="center"/>
              <w:rPr>
                <w:bCs/>
                <w:color w:val="auto"/>
                <w:sz w:val="21"/>
                <w:szCs w:val="21"/>
              </w:rPr>
            </w:pPr>
          </w:p>
        </w:tc>
        <w:tc>
          <w:tcPr>
            <w:tcW w:w="251" w:type="pct"/>
            <w:vAlign w:val="center"/>
          </w:tcPr>
          <w:p w14:paraId="0A1A3E7D">
            <w:pPr>
              <w:widowControl/>
              <w:snapToGrid w:val="0"/>
              <w:spacing w:line="240" w:lineRule="atLeast"/>
              <w:jc w:val="center"/>
              <w:textAlignment w:val="top"/>
              <w:rPr>
                <w:bCs/>
                <w:color w:val="auto"/>
                <w:sz w:val="21"/>
                <w:szCs w:val="21"/>
              </w:rPr>
            </w:pPr>
            <w:r>
              <w:rPr>
                <w:rFonts w:hint="eastAsia"/>
                <w:bCs/>
                <w:color w:val="auto"/>
                <w:sz w:val="21"/>
                <w:szCs w:val="21"/>
              </w:rPr>
              <w:t>220</w:t>
            </w:r>
          </w:p>
        </w:tc>
        <w:tc>
          <w:tcPr>
            <w:tcW w:w="636" w:type="dxa"/>
            <w:vAlign w:val="center"/>
          </w:tcPr>
          <w:p w14:paraId="2BDBE53A">
            <w:pPr>
              <w:keepNext w:val="0"/>
              <w:keepLines w:val="0"/>
              <w:widowControl/>
              <w:suppressLineNumbers w:val="0"/>
              <w:jc w:val="center"/>
              <w:textAlignment w:val="top"/>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0.982 </w:t>
            </w:r>
          </w:p>
        </w:tc>
        <w:tc>
          <w:tcPr>
            <w:tcW w:w="176" w:type="pct"/>
            <w:vMerge w:val="continue"/>
            <w:vAlign w:val="center"/>
          </w:tcPr>
          <w:p w14:paraId="2DF5B52B">
            <w:pPr>
              <w:adjustRightInd w:val="0"/>
              <w:snapToGrid w:val="0"/>
              <w:spacing w:line="240" w:lineRule="atLeast"/>
              <w:jc w:val="center"/>
              <w:rPr>
                <w:bCs/>
                <w:color w:val="auto"/>
                <w:sz w:val="21"/>
                <w:szCs w:val="21"/>
              </w:rPr>
            </w:pPr>
          </w:p>
        </w:tc>
        <w:tc>
          <w:tcPr>
            <w:tcW w:w="256" w:type="pct"/>
            <w:vMerge w:val="continue"/>
            <w:vAlign w:val="center"/>
          </w:tcPr>
          <w:p w14:paraId="4633F6F5">
            <w:pPr>
              <w:adjustRightInd w:val="0"/>
              <w:snapToGrid w:val="0"/>
              <w:spacing w:line="240" w:lineRule="atLeast"/>
              <w:jc w:val="center"/>
              <w:rPr>
                <w:b/>
                <w:bCs/>
                <w:color w:val="auto"/>
                <w:sz w:val="21"/>
                <w:szCs w:val="21"/>
              </w:rPr>
            </w:pPr>
          </w:p>
        </w:tc>
        <w:tc>
          <w:tcPr>
            <w:tcW w:w="308" w:type="pct"/>
            <w:vMerge w:val="continue"/>
            <w:vAlign w:val="center"/>
          </w:tcPr>
          <w:p w14:paraId="5295E1A8">
            <w:pPr>
              <w:adjustRightInd w:val="0"/>
              <w:snapToGrid w:val="0"/>
              <w:spacing w:line="240" w:lineRule="atLeast"/>
              <w:jc w:val="center"/>
              <w:rPr>
                <w:b/>
                <w:bCs/>
                <w:color w:val="auto"/>
                <w:sz w:val="21"/>
                <w:szCs w:val="21"/>
              </w:rPr>
            </w:pPr>
          </w:p>
        </w:tc>
        <w:tc>
          <w:tcPr>
            <w:tcW w:w="303" w:type="pct"/>
            <w:vMerge w:val="continue"/>
            <w:vAlign w:val="center"/>
          </w:tcPr>
          <w:p w14:paraId="5AFEBCE7">
            <w:pPr>
              <w:adjustRightInd w:val="0"/>
              <w:snapToGrid w:val="0"/>
              <w:spacing w:line="240" w:lineRule="atLeast"/>
              <w:jc w:val="center"/>
              <w:rPr>
                <w:b/>
                <w:bCs/>
                <w:color w:val="auto"/>
                <w:sz w:val="21"/>
                <w:szCs w:val="21"/>
              </w:rPr>
            </w:pPr>
          </w:p>
        </w:tc>
        <w:tc>
          <w:tcPr>
            <w:tcW w:w="227" w:type="pct"/>
            <w:vMerge w:val="continue"/>
            <w:vAlign w:val="center"/>
          </w:tcPr>
          <w:p w14:paraId="79A1BFB5">
            <w:pPr>
              <w:adjustRightInd w:val="0"/>
              <w:snapToGrid w:val="0"/>
              <w:spacing w:line="240" w:lineRule="atLeast"/>
              <w:jc w:val="center"/>
              <w:rPr>
                <w:b/>
                <w:bCs/>
                <w:color w:val="auto"/>
                <w:sz w:val="21"/>
                <w:szCs w:val="21"/>
              </w:rPr>
            </w:pPr>
          </w:p>
        </w:tc>
        <w:tc>
          <w:tcPr>
            <w:tcW w:w="410" w:type="pct"/>
            <w:vMerge w:val="continue"/>
            <w:vAlign w:val="center"/>
          </w:tcPr>
          <w:p w14:paraId="4D448222">
            <w:pPr>
              <w:adjustRightInd w:val="0"/>
              <w:snapToGrid w:val="0"/>
              <w:spacing w:line="240" w:lineRule="atLeast"/>
              <w:jc w:val="center"/>
              <w:rPr>
                <w:b/>
                <w:bCs/>
                <w:color w:val="auto"/>
                <w:sz w:val="21"/>
                <w:szCs w:val="21"/>
              </w:rPr>
            </w:pPr>
          </w:p>
        </w:tc>
        <w:tc>
          <w:tcPr>
            <w:tcW w:w="259" w:type="pct"/>
            <w:vAlign w:val="center"/>
          </w:tcPr>
          <w:p w14:paraId="58412419">
            <w:pPr>
              <w:pStyle w:val="28"/>
              <w:tabs>
                <w:tab w:val="left" w:pos="420"/>
                <w:tab w:val="left" w:pos="870"/>
                <w:tab w:val="left" w:pos="3150"/>
              </w:tabs>
              <w:snapToGrid w:val="0"/>
              <w:spacing w:after="0" w:line="240" w:lineRule="atLeast"/>
              <w:ind w:left="0" w:leftChars="0" w:firstLine="0" w:firstLineChars="0"/>
              <w:jc w:val="center"/>
              <w:rPr>
                <w:bCs/>
                <w:color w:val="auto"/>
                <w:sz w:val="21"/>
                <w:szCs w:val="21"/>
              </w:rPr>
            </w:pPr>
            <w:r>
              <w:rPr>
                <w:rFonts w:hint="eastAsia"/>
                <w:bCs/>
                <w:color w:val="auto"/>
                <w:sz w:val="21"/>
                <w:szCs w:val="21"/>
              </w:rPr>
              <w:t>500</w:t>
            </w:r>
          </w:p>
        </w:tc>
      </w:tr>
      <w:tr w14:paraId="0DC87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continue"/>
            <w:vAlign w:val="center"/>
          </w:tcPr>
          <w:p w14:paraId="267AC028">
            <w:pPr>
              <w:adjustRightInd w:val="0"/>
              <w:snapToGrid w:val="0"/>
              <w:spacing w:line="240" w:lineRule="atLeast"/>
              <w:jc w:val="center"/>
              <w:rPr>
                <w:bCs/>
                <w:color w:val="auto"/>
                <w:sz w:val="21"/>
                <w:szCs w:val="21"/>
              </w:rPr>
            </w:pPr>
          </w:p>
        </w:tc>
        <w:tc>
          <w:tcPr>
            <w:tcW w:w="222" w:type="pct"/>
            <w:vMerge w:val="continue"/>
            <w:vAlign w:val="center"/>
          </w:tcPr>
          <w:p w14:paraId="4E2A8AA8">
            <w:pPr>
              <w:adjustRightInd w:val="0"/>
              <w:snapToGrid w:val="0"/>
              <w:spacing w:line="240" w:lineRule="atLeast"/>
              <w:jc w:val="center"/>
              <w:rPr>
                <w:bCs/>
                <w:color w:val="auto"/>
                <w:sz w:val="21"/>
                <w:szCs w:val="21"/>
              </w:rPr>
            </w:pPr>
          </w:p>
        </w:tc>
        <w:tc>
          <w:tcPr>
            <w:tcW w:w="302" w:type="pct"/>
            <w:vAlign w:val="center"/>
          </w:tcPr>
          <w:p w14:paraId="51163DD9">
            <w:pPr>
              <w:adjustRightInd w:val="0"/>
              <w:snapToGrid w:val="0"/>
              <w:spacing w:line="240" w:lineRule="atLeast"/>
              <w:jc w:val="center"/>
              <w:rPr>
                <w:bCs/>
                <w:color w:val="auto"/>
                <w:sz w:val="21"/>
                <w:szCs w:val="21"/>
              </w:rPr>
            </w:pPr>
            <w:r>
              <w:rPr>
                <w:bCs/>
                <w:color w:val="auto"/>
                <w:sz w:val="21"/>
                <w:szCs w:val="21"/>
              </w:rPr>
              <w:t>BOD</w:t>
            </w:r>
            <w:r>
              <w:rPr>
                <w:rFonts w:hint="eastAsia"/>
                <w:bCs/>
                <w:color w:val="auto"/>
                <w:sz w:val="21"/>
                <w:szCs w:val="21"/>
                <w:vertAlign w:val="subscript"/>
              </w:rPr>
              <w:t>5</w:t>
            </w:r>
          </w:p>
        </w:tc>
        <w:tc>
          <w:tcPr>
            <w:tcW w:w="229" w:type="pct"/>
            <w:vMerge w:val="continue"/>
            <w:vAlign w:val="center"/>
          </w:tcPr>
          <w:p w14:paraId="5D4FA079">
            <w:pPr>
              <w:adjustRightInd w:val="0"/>
              <w:snapToGrid w:val="0"/>
              <w:spacing w:line="240" w:lineRule="atLeast"/>
              <w:jc w:val="center"/>
              <w:rPr>
                <w:bCs/>
                <w:color w:val="auto"/>
                <w:sz w:val="21"/>
                <w:szCs w:val="21"/>
              </w:rPr>
            </w:pPr>
          </w:p>
        </w:tc>
        <w:tc>
          <w:tcPr>
            <w:tcW w:w="259" w:type="pct"/>
            <w:vAlign w:val="center"/>
          </w:tcPr>
          <w:p w14:paraId="52CC1859">
            <w:pPr>
              <w:widowControl/>
              <w:snapToGrid w:val="0"/>
              <w:spacing w:line="240" w:lineRule="atLeast"/>
              <w:jc w:val="center"/>
              <w:textAlignment w:val="top"/>
              <w:rPr>
                <w:bCs/>
                <w:color w:val="auto"/>
                <w:sz w:val="21"/>
                <w:szCs w:val="21"/>
              </w:rPr>
            </w:pPr>
            <w:r>
              <w:rPr>
                <w:rFonts w:hint="eastAsia"/>
                <w:bCs/>
                <w:color w:val="auto"/>
                <w:sz w:val="21"/>
                <w:szCs w:val="21"/>
              </w:rPr>
              <w:t>150</w:t>
            </w:r>
          </w:p>
        </w:tc>
        <w:tc>
          <w:tcPr>
            <w:tcW w:w="643" w:type="dxa"/>
            <w:vAlign w:val="center"/>
          </w:tcPr>
          <w:p w14:paraId="7ACEF8BA">
            <w:pPr>
              <w:keepNext w:val="0"/>
              <w:keepLines w:val="0"/>
              <w:widowControl/>
              <w:suppressLineNumbers w:val="0"/>
              <w:jc w:val="center"/>
              <w:textAlignment w:val="top"/>
              <w:rPr>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0.669</w:t>
            </w:r>
          </w:p>
        </w:tc>
        <w:tc>
          <w:tcPr>
            <w:tcW w:w="243" w:type="pct"/>
            <w:vMerge w:val="continue"/>
            <w:vAlign w:val="center"/>
          </w:tcPr>
          <w:p w14:paraId="7128F513">
            <w:pPr>
              <w:adjustRightInd w:val="0"/>
              <w:snapToGrid w:val="0"/>
              <w:spacing w:line="240" w:lineRule="atLeast"/>
              <w:jc w:val="center"/>
              <w:rPr>
                <w:bCs/>
                <w:color w:val="auto"/>
                <w:sz w:val="21"/>
                <w:szCs w:val="21"/>
              </w:rPr>
            </w:pPr>
          </w:p>
        </w:tc>
        <w:tc>
          <w:tcPr>
            <w:tcW w:w="188" w:type="pct"/>
            <w:vMerge w:val="continue"/>
            <w:vAlign w:val="center"/>
          </w:tcPr>
          <w:p w14:paraId="4B4EBD55">
            <w:pPr>
              <w:adjustRightInd w:val="0"/>
              <w:snapToGrid w:val="0"/>
              <w:spacing w:line="240" w:lineRule="atLeast"/>
              <w:jc w:val="center"/>
              <w:rPr>
                <w:bCs/>
                <w:color w:val="auto"/>
                <w:sz w:val="21"/>
                <w:szCs w:val="21"/>
              </w:rPr>
            </w:pPr>
          </w:p>
        </w:tc>
        <w:tc>
          <w:tcPr>
            <w:tcW w:w="247" w:type="pct"/>
            <w:vAlign w:val="center"/>
          </w:tcPr>
          <w:p w14:paraId="26C24138">
            <w:pPr>
              <w:adjustRightInd w:val="0"/>
              <w:snapToGrid w:val="0"/>
              <w:spacing w:line="240" w:lineRule="atLeast"/>
              <w:jc w:val="center"/>
              <w:rPr>
                <w:bCs/>
                <w:color w:val="auto"/>
                <w:sz w:val="21"/>
                <w:szCs w:val="21"/>
              </w:rPr>
            </w:pPr>
            <w:r>
              <w:rPr>
                <w:rFonts w:hint="eastAsia"/>
                <w:bCs/>
                <w:color w:val="auto"/>
                <w:sz w:val="21"/>
                <w:szCs w:val="21"/>
              </w:rPr>
              <w:t>12.7</w:t>
            </w:r>
          </w:p>
        </w:tc>
        <w:tc>
          <w:tcPr>
            <w:tcW w:w="204" w:type="pct"/>
            <w:vMerge w:val="continue"/>
            <w:vAlign w:val="center"/>
          </w:tcPr>
          <w:p w14:paraId="054CC4EF">
            <w:pPr>
              <w:adjustRightInd w:val="0"/>
              <w:snapToGrid w:val="0"/>
              <w:spacing w:line="240" w:lineRule="atLeast"/>
              <w:jc w:val="center"/>
              <w:rPr>
                <w:bCs/>
                <w:color w:val="auto"/>
                <w:sz w:val="21"/>
                <w:szCs w:val="21"/>
              </w:rPr>
            </w:pPr>
          </w:p>
        </w:tc>
        <w:tc>
          <w:tcPr>
            <w:tcW w:w="215" w:type="pct"/>
            <w:vMerge w:val="continue"/>
            <w:vAlign w:val="center"/>
          </w:tcPr>
          <w:p w14:paraId="6D2BB227">
            <w:pPr>
              <w:adjustRightInd w:val="0"/>
              <w:snapToGrid w:val="0"/>
              <w:spacing w:line="240" w:lineRule="atLeast"/>
              <w:jc w:val="center"/>
              <w:rPr>
                <w:bCs/>
                <w:color w:val="auto"/>
                <w:sz w:val="21"/>
                <w:szCs w:val="21"/>
              </w:rPr>
            </w:pPr>
          </w:p>
        </w:tc>
        <w:tc>
          <w:tcPr>
            <w:tcW w:w="251" w:type="pct"/>
            <w:vAlign w:val="center"/>
          </w:tcPr>
          <w:p w14:paraId="405E7E40">
            <w:pPr>
              <w:widowControl/>
              <w:snapToGrid w:val="0"/>
              <w:spacing w:line="240" w:lineRule="atLeast"/>
              <w:jc w:val="center"/>
              <w:textAlignment w:val="top"/>
              <w:rPr>
                <w:bCs/>
                <w:color w:val="auto"/>
                <w:sz w:val="21"/>
                <w:szCs w:val="21"/>
              </w:rPr>
            </w:pPr>
            <w:r>
              <w:rPr>
                <w:rFonts w:hint="eastAsia"/>
                <w:bCs/>
                <w:color w:val="auto"/>
                <w:sz w:val="21"/>
                <w:szCs w:val="21"/>
              </w:rPr>
              <w:t>120</w:t>
            </w:r>
          </w:p>
        </w:tc>
        <w:tc>
          <w:tcPr>
            <w:tcW w:w="636" w:type="dxa"/>
            <w:vAlign w:val="center"/>
          </w:tcPr>
          <w:p w14:paraId="041E2F4D">
            <w:pPr>
              <w:keepNext w:val="0"/>
              <w:keepLines w:val="0"/>
              <w:widowControl/>
              <w:suppressLineNumbers w:val="0"/>
              <w:jc w:val="center"/>
              <w:textAlignment w:val="top"/>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0.536 </w:t>
            </w:r>
          </w:p>
        </w:tc>
        <w:tc>
          <w:tcPr>
            <w:tcW w:w="176" w:type="pct"/>
            <w:vMerge w:val="continue"/>
            <w:vAlign w:val="center"/>
          </w:tcPr>
          <w:p w14:paraId="15094C7B">
            <w:pPr>
              <w:adjustRightInd w:val="0"/>
              <w:snapToGrid w:val="0"/>
              <w:spacing w:line="240" w:lineRule="atLeast"/>
              <w:jc w:val="center"/>
              <w:rPr>
                <w:bCs/>
                <w:color w:val="auto"/>
                <w:sz w:val="21"/>
                <w:szCs w:val="21"/>
              </w:rPr>
            </w:pPr>
          </w:p>
        </w:tc>
        <w:tc>
          <w:tcPr>
            <w:tcW w:w="256" w:type="pct"/>
            <w:vMerge w:val="continue"/>
            <w:vAlign w:val="center"/>
          </w:tcPr>
          <w:p w14:paraId="20C7C44E">
            <w:pPr>
              <w:adjustRightInd w:val="0"/>
              <w:snapToGrid w:val="0"/>
              <w:spacing w:line="240" w:lineRule="atLeast"/>
              <w:jc w:val="center"/>
              <w:rPr>
                <w:b/>
                <w:bCs/>
                <w:color w:val="auto"/>
                <w:sz w:val="21"/>
                <w:szCs w:val="21"/>
              </w:rPr>
            </w:pPr>
          </w:p>
        </w:tc>
        <w:tc>
          <w:tcPr>
            <w:tcW w:w="308" w:type="pct"/>
            <w:vMerge w:val="continue"/>
            <w:vAlign w:val="center"/>
          </w:tcPr>
          <w:p w14:paraId="2AC2B1F7">
            <w:pPr>
              <w:adjustRightInd w:val="0"/>
              <w:snapToGrid w:val="0"/>
              <w:spacing w:line="240" w:lineRule="atLeast"/>
              <w:jc w:val="center"/>
              <w:rPr>
                <w:b/>
                <w:bCs/>
                <w:color w:val="auto"/>
                <w:sz w:val="21"/>
                <w:szCs w:val="21"/>
              </w:rPr>
            </w:pPr>
          </w:p>
        </w:tc>
        <w:tc>
          <w:tcPr>
            <w:tcW w:w="303" w:type="pct"/>
            <w:vMerge w:val="continue"/>
            <w:vAlign w:val="center"/>
          </w:tcPr>
          <w:p w14:paraId="0A320B1A">
            <w:pPr>
              <w:adjustRightInd w:val="0"/>
              <w:snapToGrid w:val="0"/>
              <w:spacing w:line="240" w:lineRule="atLeast"/>
              <w:jc w:val="center"/>
              <w:rPr>
                <w:b/>
                <w:bCs/>
                <w:color w:val="auto"/>
                <w:sz w:val="21"/>
                <w:szCs w:val="21"/>
              </w:rPr>
            </w:pPr>
          </w:p>
        </w:tc>
        <w:tc>
          <w:tcPr>
            <w:tcW w:w="227" w:type="pct"/>
            <w:vMerge w:val="continue"/>
            <w:vAlign w:val="center"/>
          </w:tcPr>
          <w:p w14:paraId="3CE0AB07">
            <w:pPr>
              <w:adjustRightInd w:val="0"/>
              <w:snapToGrid w:val="0"/>
              <w:spacing w:line="240" w:lineRule="atLeast"/>
              <w:jc w:val="center"/>
              <w:rPr>
                <w:b/>
                <w:bCs/>
                <w:color w:val="auto"/>
                <w:sz w:val="21"/>
                <w:szCs w:val="21"/>
              </w:rPr>
            </w:pPr>
          </w:p>
        </w:tc>
        <w:tc>
          <w:tcPr>
            <w:tcW w:w="410" w:type="pct"/>
            <w:vMerge w:val="continue"/>
            <w:vAlign w:val="center"/>
          </w:tcPr>
          <w:p w14:paraId="120E096E">
            <w:pPr>
              <w:adjustRightInd w:val="0"/>
              <w:snapToGrid w:val="0"/>
              <w:spacing w:line="240" w:lineRule="atLeast"/>
              <w:jc w:val="center"/>
              <w:rPr>
                <w:b/>
                <w:bCs/>
                <w:color w:val="auto"/>
                <w:sz w:val="21"/>
                <w:szCs w:val="21"/>
              </w:rPr>
            </w:pPr>
          </w:p>
        </w:tc>
        <w:tc>
          <w:tcPr>
            <w:tcW w:w="259" w:type="pct"/>
            <w:vAlign w:val="center"/>
          </w:tcPr>
          <w:p w14:paraId="3F8C8B4A">
            <w:pPr>
              <w:pStyle w:val="28"/>
              <w:tabs>
                <w:tab w:val="left" w:pos="420"/>
                <w:tab w:val="left" w:pos="870"/>
                <w:tab w:val="left" w:pos="3150"/>
              </w:tabs>
              <w:snapToGrid w:val="0"/>
              <w:spacing w:after="0" w:line="240" w:lineRule="atLeast"/>
              <w:ind w:left="0" w:leftChars="0" w:firstLine="0" w:firstLineChars="0"/>
              <w:jc w:val="center"/>
              <w:rPr>
                <w:bCs/>
                <w:color w:val="auto"/>
                <w:sz w:val="21"/>
                <w:szCs w:val="21"/>
              </w:rPr>
            </w:pPr>
            <w:r>
              <w:rPr>
                <w:rFonts w:hint="eastAsia"/>
                <w:bCs/>
                <w:color w:val="auto"/>
                <w:sz w:val="21"/>
                <w:szCs w:val="21"/>
              </w:rPr>
              <w:t>300</w:t>
            </w:r>
          </w:p>
        </w:tc>
      </w:tr>
      <w:tr w14:paraId="68DA3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continue"/>
            <w:vAlign w:val="center"/>
          </w:tcPr>
          <w:p w14:paraId="5E86D176">
            <w:pPr>
              <w:adjustRightInd w:val="0"/>
              <w:snapToGrid w:val="0"/>
              <w:spacing w:line="240" w:lineRule="atLeast"/>
              <w:jc w:val="center"/>
              <w:rPr>
                <w:bCs/>
                <w:color w:val="auto"/>
                <w:sz w:val="21"/>
                <w:szCs w:val="21"/>
              </w:rPr>
            </w:pPr>
          </w:p>
        </w:tc>
        <w:tc>
          <w:tcPr>
            <w:tcW w:w="222" w:type="pct"/>
            <w:vMerge w:val="continue"/>
            <w:vAlign w:val="center"/>
          </w:tcPr>
          <w:p w14:paraId="751E8FA1">
            <w:pPr>
              <w:adjustRightInd w:val="0"/>
              <w:snapToGrid w:val="0"/>
              <w:spacing w:line="240" w:lineRule="atLeast"/>
              <w:jc w:val="center"/>
              <w:rPr>
                <w:bCs/>
                <w:color w:val="auto"/>
                <w:sz w:val="21"/>
                <w:szCs w:val="21"/>
              </w:rPr>
            </w:pPr>
          </w:p>
        </w:tc>
        <w:tc>
          <w:tcPr>
            <w:tcW w:w="302" w:type="pct"/>
            <w:vAlign w:val="center"/>
          </w:tcPr>
          <w:p w14:paraId="307905AE">
            <w:pPr>
              <w:adjustRightInd w:val="0"/>
              <w:snapToGrid w:val="0"/>
              <w:spacing w:line="240" w:lineRule="atLeast"/>
              <w:jc w:val="center"/>
              <w:rPr>
                <w:bCs/>
                <w:color w:val="auto"/>
                <w:sz w:val="21"/>
                <w:szCs w:val="21"/>
              </w:rPr>
            </w:pPr>
            <w:r>
              <w:rPr>
                <w:bCs/>
                <w:color w:val="auto"/>
                <w:sz w:val="21"/>
                <w:szCs w:val="21"/>
              </w:rPr>
              <w:t>SS</w:t>
            </w:r>
          </w:p>
        </w:tc>
        <w:tc>
          <w:tcPr>
            <w:tcW w:w="229" w:type="pct"/>
            <w:vMerge w:val="continue"/>
            <w:vAlign w:val="center"/>
          </w:tcPr>
          <w:p w14:paraId="2DDBB728">
            <w:pPr>
              <w:adjustRightInd w:val="0"/>
              <w:snapToGrid w:val="0"/>
              <w:spacing w:line="240" w:lineRule="atLeast"/>
              <w:jc w:val="center"/>
              <w:rPr>
                <w:bCs/>
                <w:color w:val="auto"/>
                <w:sz w:val="21"/>
                <w:szCs w:val="21"/>
              </w:rPr>
            </w:pPr>
          </w:p>
        </w:tc>
        <w:tc>
          <w:tcPr>
            <w:tcW w:w="259" w:type="pct"/>
            <w:vAlign w:val="center"/>
          </w:tcPr>
          <w:p w14:paraId="610E564A">
            <w:pPr>
              <w:widowControl/>
              <w:snapToGrid w:val="0"/>
              <w:spacing w:line="240" w:lineRule="atLeast"/>
              <w:jc w:val="center"/>
              <w:textAlignment w:val="top"/>
              <w:rPr>
                <w:bCs/>
                <w:color w:val="auto"/>
                <w:sz w:val="21"/>
                <w:szCs w:val="21"/>
              </w:rPr>
            </w:pPr>
            <w:r>
              <w:rPr>
                <w:rFonts w:hint="eastAsia"/>
                <w:bCs/>
                <w:color w:val="auto"/>
                <w:sz w:val="21"/>
                <w:szCs w:val="21"/>
              </w:rPr>
              <w:t>200</w:t>
            </w:r>
          </w:p>
        </w:tc>
        <w:tc>
          <w:tcPr>
            <w:tcW w:w="643" w:type="dxa"/>
            <w:vAlign w:val="center"/>
          </w:tcPr>
          <w:p w14:paraId="7E115023">
            <w:pPr>
              <w:keepNext w:val="0"/>
              <w:keepLines w:val="0"/>
              <w:widowControl/>
              <w:suppressLineNumbers w:val="0"/>
              <w:jc w:val="center"/>
              <w:textAlignment w:val="top"/>
              <w:rPr>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0.893</w:t>
            </w:r>
          </w:p>
        </w:tc>
        <w:tc>
          <w:tcPr>
            <w:tcW w:w="243" w:type="pct"/>
            <w:vMerge w:val="continue"/>
            <w:vAlign w:val="center"/>
          </w:tcPr>
          <w:p w14:paraId="793C4732">
            <w:pPr>
              <w:adjustRightInd w:val="0"/>
              <w:snapToGrid w:val="0"/>
              <w:spacing w:line="240" w:lineRule="atLeast"/>
              <w:jc w:val="center"/>
              <w:rPr>
                <w:bCs/>
                <w:color w:val="auto"/>
                <w:sz w:val="21"/>
                <w:szCs w:val="21"/>
              </w:rPr>
            </w:pPr>
          </w:p>
        </w:tc>
        <w:tc>
          <w:tcPr>
            <w:tcW w:w="188" w:type="pct"/>
            <w:vMerge w:val="continue"/>
            <w:vAlign w:val="center"/>
          </w:tcPr>
          <w:p w14:paraId="18844C5E">
            <w:pPr>
              <w:adjustRightInd w:val="0"/>
              <w:snapToGrid w:val="0"/>
              <w:spacing w:line="240" w:lineRule="atLeast"/>
              <w:jc w:val="center"/>
              <w:rPr>
                <w:bCs/>
                <w:color w:val="auto"/>
                <w:sz w:val="21"/>
                <w:szCs w:val="21"/>
              </w:rPr>
            </w:pPr>
          </w:p>
        </w:tc>
        <w:tc>
          <w:tcPr>
            <w:tcW w:w="247" w:type="pct"/>
            <w:vAlign w:val="center"/>
          </w:tcPr>
          <w:p w14:paraId="267267B9">
            <w:pPr>
              <w:adjustRightInd w:val="0"/>
              <w:snapToGrid w:val="0"/>
              <w:spacing w:line="240" w:lineRule="atLeast"/>
              <w:jc w:val="center"/>
              <w:rPr>
                <w:bCs/>
                <w:color w:val="auto"/>
                <w:sz w:val="21"/>
                <w:szCs w:val="21"/>
              </w:rPr>
            </w:pPr>
            <w:r>
              <w:rPr>
                <w:rFonts w:hint="eastAsia"/>
                <w:bCs/>
                <w:color w:val="auto"/>
                <w:sz w:val="21"/>
                <w:szCs w:val="21"/>
              </w:rPr>
              <w:t>60</w:t>
            </w:r>
          </w:p>
        </w:tc>
        <w:tc>
          <w:tcPr>
            <w:tcW w:w="204" w:type="pct"/>
            <w:vMerge w:val="continue"/>
            <w:vAlign w:val="center"/>
          </w:tcPr>
          <w:p w14:paraId="0E01F92E">
            <w:pPr>
              <w:adjustRightInd w:val="0"/>
              <w:snapToGrid w:val="0"/>
              <w:spacing w:line="240" w:lineRule="atLeast"/>
              <w:jc w:val="center"/>
              <w:rPr>
                <w:bCs/>
                <w:color w:val="auto"/>
                <w:sz w:val="21"/>
                <w:szCs w:val="21"/>
              </w:rPr>
            </w:pPr>
          </w:p>
        </w:tc>
        <w:tc>
          <w:tcPr>
            <w:tcW w:w="215" w:type="pct"/>
            <w:vMerge w:val="continue"/>
            <w:vAlign w:val="center"/>
          </w:tcPr>
          <w:p w14:paraId="7CC10C6F">
            <w:pPr>
              <w:adjustRightInd w:val="0"/>
              <w:snapToGrid w:val="0"/>
              <w:spacing w:line="240" w:lineRule="atLeast"/>
              <w:jc w:val="center"/>
              <w:rPr>
                <w:bCs/>
                <w:color w:val="auto"/>
                <w:sz w:val="21"/>
                <w:szCs w:val="21"/>
              </w:rPr>
            </w:pPr>
          </w:p>
        </w:tc>
        <w:tc>
          <w:tcPr>
            <w:tcW w:w="251" w:type="pct"/>
            <w:vAlign w:val="center"/>
          </w:tcPr>
          <w:p w14:paraId="1506FD68">
            <w:pPr>
              <w:widowControl/>
              <w:snapToGrid w:val="0"/>
              <w:spacing w:line="240" w:lineRule="atLeast"/>
              <w:jc w:val="center"/>
              <w:textAlignment w:val="top"/>
              <w:rPr>
                <w:bCs/>
                <w:color w:val="auto"/>
                <w:sz w:val="21"/>
                <w:szCs w:val="21"/>
              </w:rPr>
            </w:pPr>
            <w:r>
              <w:rPr>
                <w:rFonts w:hint="eastAsia"/>
                <w:bCs/>
                <w:color w:val="auto"/>
                <w:sz w:val="21"/>
                <w:szCs w:val="21"/>
              </w:rPr>
              <w:t>150</w:t>
            </w:r>
          </w:p>
        </w:tc>
        <w:tc>
          <w:tcPr>
            <w:tcW w:w="636" w:type="dxa"/>
            <w:vAlign w:val="center"/>
          </w:tcPr>
          <w:p w14:paraId="483434A8">
            <w:pPr>
              <w:keepNext w:val="0"/>
              <w:keepLines w:val="0"/>
              <w:widowControl/>
              <w:suppressLineNumbers w:val="0"/>
              <w:jc w:val="center"/>
              <w:textAlignment w:val="top"/>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0.669 </w:t>
            </w:r>
          </w:p>
        </w:tc>
        <w:tc>
          <w:tcPr>
            <w:tcW w:w="176" w:type="pct"/>
            <w:vMerge w:val="continue"/>
            <w:vAlign w:val="center"/>
          </w:tcPr>
          <w:p w14:paraId="15D4DB83">
            <w:pPr>
              <w:adjustRightInd w:val="0"/>
              <w:snapToGrid w:val="0"/>
              <w:spacing w:line="240" w:lineRule="atLeast"/>
              <w:jc w:val="center"/>
              <w:rPr>
                <w:bCs/>
                <w:color w:val="auto"/>
                <w:sz w:val="21"/>
                <w:szCs w:val="21"/>
              </w:rPr>
            </w:pPr>
          </w:p>
        </w:tc>
        <w:tc>
          <w:tcPr>
            <w:tcW w:w="256" w:type="pct"/>
            <w:vMerge w:val="continue"/>
            <w:vAlign w:val="center"/>
          </w:tcPr>
          <w:p w14:paraId="21F5F933">
            <w:pPr>
              <w:adjustRightInd w:val="0"/>
              <w:snapToGrid w:val="0"/>
              <w:spacing w:line="240" w:lineRule="atLeast"/>
              <w:jc w:val="center"/>
              <w:rPr>
                <w:b/>
                <w:bCs/>
                <w:color w:val="auto"/>
                <w:sz w:val="21"/>
                <w:szCs w:val="21"/>
              </w:rPr>
            </w:pPr>
          </w:p>
        </w:tc>
        <w:tc>
          <w:tcPr>
            <w:tcW w:w="308" w:type="pct"/>
            <w:vMerge w:val="continue"/>
            <w:vAlign w:val="center"/>
          </w:tcPr>
          <w:p w14:paraId="7465CD60">
            <w:pPr>
              <w:adjustRightInd w:val="0"/>
              <w:snapToGrid w:val="0"/>
              <w:spacing w:line="240" w:lineRule="atLeast"/>
              <w:jc w:val="center"/>
              <w:rPr>
                <w:b/>
                <w:bCs/>
                <w:color w:val="auto"/>
                <w:sz w:val="21"/>
                <w:szCs w:val="21"/>
              </w:rPr>
            </w:pPr>
          </w:p>
        </w:tc>
        <w:tc>
          <w:tcPr>
            <w:tcW w:w="303" w:type="pct"/>
            <w:vMerge w:val="continue"/>
            <w:vAlign w:val="center"/>
          </w:tcPr>
          <w:p w14:paraId="0084D065">
            <w:pPr>
              <w:adjustRightInd w:val="0"/>
              <w:snapToGrid w:val="0"/>
              <w:spacing w:line="240" w:lineRule="atLeast"/>
              <w:jc w:val="center"/>
              <w:rPr>
                <w:b/>
                <w:bCs/>
                <w:color w:val="auto"/>
                <w:sz w:val="21"/>
                <w:szCs w:val="21"/>
              </w:rPr>
            </w:pPr>
          </w:p>
        </w:tc>
        <w:tc>
          <w:tcPr>
            <w:tcW w:w="227" w:type="pct"/>
            <w:vMerge w:val="continue"/>
            <w:vAlign w:val="center"/>
          </w:tcPr>
          <w:p w14:paraId="023B5131">
            <w:pPr>
              <w:adjustRightInd w:val="0"/>
              <w:snapToGrid w:val="0"/>
              <w:spacing w:line="240" w:lineRule="atLeast"/>
              <w:jc w:val="center"/>
              <w:rPr>
                <w:b/>
                <w:bCs/>
                <w:color w:val="auto"/>
                <w:sz w:val="21"/>
                <w:szCs w:val="21"/>
              </w:rPr>
            </w:pPr>
          </w:p>
        </w:tc>
        <w:tc>
          <w:tcPr>
            <w:tcW w:w="410" w:type="pct"/>
            <w:vMerge w:val="continue"/>
            <w:vAlign w:val="center"/>
          </w:tcPr>
          <w:p w14:paraId="38A67582">
            <w:pPr>
              <w:adjustRightInd w:val="0"/>
              <w:snapToGrid w:val="0"/>
              <w:spacing w:line="240" w:lineRule="atLeast"/>
              <w:jc w:val="center"/>
              <w:rPr>
                <w:b/>
                <w:bCs/>
                <w:color w:val="auto"/>
                <w:sz w:val="21"/>
                <w:szCs w:val="21"/>
              </w:rPr>
            </w:pPr>
          </w:p>
        </w:tc>
        <w:tc>
          <w:tcPr>
            <w:tcW w:w="259" w:type="pct"/>
            <w:vAlign w:val="center"/>
          </w:tcPr>
          <w:p w14:paraId="64F6BDBF">
            <w:pPr>
              <w:pStyle w:val="28"/>
              <w:tabs>
                <w:tab w:val="left" w:pos="420"/>
                <w:tab w:val="left" w:pos="870"/>
                <w:tab w:val="left" w:pos="3150"/>
              </w:tabs>
              <w:snapToGrid w:val="0"/>
              <w:spacing w:after="0" w:line="240" w:lineRule="atLeast"/>
              <w:ind w:left="0" w:leftChars="0" w:firstLine="0" w:firstLineChars="0"/>
              <w:jc w:val="center"/>
              <w:rPr>
                <w:bCs/>
                <w:color w:val="auto"/>
                <w:sz w:val="21"/>
                <w:szCs w:val="21"/>
              </w:rPr>
            </w:pPr>
            <w:r>
              <w:rPr>
                <w:rFonts w:hint="eastAsia"/>
                <w:bCs/>
                <w:color w:val="auto"/>
                <w:sz w:val="21"/>
                <w:szCs w:val="21"/>
              </w:rPr>
              <w:t>400</w:t>
            </w:r>
          </w:p>
        </w:tc>
      </w:tr>
      <w:tr w14:paraId="50059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continue"/>
            <w:vAlign w:val="center"/>
          </w:tcPr>
          <w:p w14:paraId="17A9EB58">
            <w:pPr>
              <w:adjustRightInd w:val="0"/>
              <w:snapToGrid w:val="0"/>
              <w:spacing w:line="240" w:lineRule="atLeast"/>
              <w:jc w:val="center"/>
              <w:rPr>
                <w:bCs/>
                <w:color w:val="auto"/>
                <w:sz w:val="21"/>
                <w:szCs w:val="21"/>
              </w:rPr>
            </w:pPr>
          </w:p>
        </w:tc>
        <w:tc>
          <w:tcPr>
            <w:tcW w:w="222" w:type="pct"/>
            <w:vMerge w:val="continue"/>
            <w:vAlign w:val="center"/>
          </w:tcPr>
          <w:p w14:paraId="6CB640A5">
            <w:pPr>
              <w:adjustRightInd w:val="0"/>
              <w:snapToGrid w:val="0"/>
              <w:spacing w:line="240" w:lineRule="atLeast"/>
              <w:jc w:val="center"/>
              <w:rPr>
                <w:bCs/>
                <w:color w:val="auto"/>
                <w:sz w:val="21"/>
                <w:szCs w:val="21"/>
              </w:rPr>
            </w:pPr>
          </w:p>
        </w:tc>
        <w:tc>
          <w:tcPr>
            <w:tcW w:w="302" w:type="pct"/>
            <w:vAlign w:val="center"/>
          </w:tcPr>
          <w:p w14:paraId="26DAE431">
            <w:pPr>
              <w:adjustRightInd w:val="0"/>
              <w:snapToGrid w:val="0"/>
              <w:spacing w:line="240" w:lineRule="atLeast"/>
              <w:jc w:val="center"/>
              <w:rPr>
                <w:bCs/>
                <w:color w:val="auto"/>
                <w:sz w:val="21"/>
                <w:szCs w:val="21"/>
              </w:rPr>
            </w:pPr>
            <w:r>
              <w:rPr>
                <w:bCs/>
                <w:color w:val="auto"/>
                <w:sz w:val="21"/>
                <w:szCs w:val="21"/>
              </w:rPr>
              <w:t>NH</w:t>
            </w:r>
            <w:r>
              <w:rPr>
                <w:rFonts w:hint="eastAsia"/>
                <w:bCs/>
                <w:color w:val="auto"/>
                <w:sz w:val="21"/>
                <w:szCs w:val="21"/>
                <w:vertAlign w:val="subscript"/>
              </w:rPr>
              <w:t>3</w:t>
            </w:r>
            <w:r>
              <w:rPr>
                <w:rFonts w:hint="eastAsia"/>
                <w:bCs/>
                <w:color w:val="auto"/>
                <w:sz w:val="21"/>
                <w:szCs w:val="21"/>
              </w:rPr>
              <w:t>-N</w:t>
            </w:r>
          </w:p>
        </w:tc>
        <w:tc>
          <w:tcPr>
            <w:tcW w:w="229" w:type="pct"/>
            <w:vMerge w:val="continue"/>
            <w:vAlign w:val="center"/>
          </w:tcPr>
          <w:p w14:paraId="3670F528">
            <w:pPr>
              <w:adjustRightInd w:val="0"/>
              <w:snapToGrid w:val="0"/>
              <w:spacing w:line="240" w:lineRule="atLeast"/>
              <w:jc w:val="center"/>
              <w:rPr>
                <w:bCs/>
                <w:color w:val="auto"/>
                <w:sz w:val="21"/>
                <w:szCs w:val="21"/>
              </w:rPr>
            </w:pPr>
          </w:p>
        </w:tc>
        <w:tc>
          <w:tcPr>
            <w:tcW w:w="259" w:type="pct"/>
            <w:vAlign w:val="center"/>
          </w:tcPr>
          <w:p w14:paraId="2679D2B4">
            <w:pPr>
              <w:widowControl/>
              <w:snapToGrid w:val="0"/>
              <w:spacing w:line="240" w:lineRule="atLeast"/>
              <w:jc w:val="center"/>
              <w:textAlignment w:val="top"/>
              <w:rPr>
                <w:bCs/>
                <w:color w:val="auto"/>
                <w:sz w:val="21"/>
                <w:szCs w:val="21"/>
              </w:rPr>
            </w:pPr>
            <w:r>
              <w:rPr>
                <w:rFonts w:hint="eastAsia"/>
                <w:bCs/>
                <w:color w:val="auto"/>
                <w:sz w:val="21"/>
                <w:szCs w:val="21"/>
              </w:rPr>
              <w:t>25</w:t>
            </w:r>
          </w:p>
        </w:tc>
        <w:tc>
          <w:tcPr>
            <w:tcW w:w="643" w:type="dxa"/>
            <w:vAlign w:val="center"/>
          </w:tcPr>
          <w:p w14:paraId="2A950EB2">
            <w:pPr>
              <w:keepNext w:val="0"/>
              <w:keepLines w:val="0"/>
              <w:widowControl/>
              <w:suppressLineNumbers w:val="0"/>
              <w:jc w:val="center"/>
              <w:textAlignment w:val="top"/>
              <w:rPr>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0.112</w:t>
            </w:r>
          </w:p>
        </w:tc>
        <w:tc>
          <w:tcPr>
            <w:tcW w:w="243" w:type="pct"/>
            <w:vMerge w:val="continue"/>
            <w:vAlign w:val="center"/>
          </w:tcPr>
          <w:p w14:paraId="33618B32">
            <w:pPr>
              <w:adjustRightInd w:val="0"/>
              <w:snapToGrid w:val="0"/>
              <w:spacing w:line="240" w:lineRule="atLeast"/>
              <w:jc w:val="center"/>
              <w:rPr>
                <w:bCs/>
                <w:color w:val="auto"/>
                <w:sz w:val="21"/>
                <w:szCs w:val="21"/>
              </w:rPr>
            </w:pPr>
          </w:p>
        </w:tc>
        <w:tc>
          <w:tcPr>
            <w:tcW w:w="188" w:type="pct"/>
            <w:vMerge w:val="continue"/>
            <w:vAlign w:val="center"/>
          </w:tcPr>
          <w:p w14:paraId="4025D069">
            <w:pPr>
              <w:adjustRightInd w:val="0"/>
              <w:snapToGrid w:val="0"/>
              <w:spacing w:line="240" w:lineRule="atLeast"/>
              <w:jc w:val="center"/>
              <w:rPr>
                <w:bCs/>
                <w:color w:val="auto"/>
                <w:sz w:val="21"/>
                <w:szCs w:val="21"/>
              </w:rPr>
            </w:pPr>
          </w:p>
        </w:tc>
        <w:tc>
          <w:tcPr>
            <w:tcW w:w="247" w:type="pct"/>
            <w:vAlign w:val="center"/>
          </w:tcPr>
          <w:p w14:paraId="05B91E6B">
            <w:pPr>
              <w:adjustRightInd w:val="0"/>
              <w:snapToGrid w:val="0"/>
              <w:spacing w:line="240" w:lineRule="atLeast"/>
              <w:jc w:val="center"/>
              <w:rPr>
                <w:bCs/>
                <w:color w:val="auto"/>
                <w:sz w:val="21"/>
                <w:szCs w:val="21"/>
              </w:rPr>
            </w:pPr>
            <w:r>
              <w:rPr>
                <w:rFonts w:hint="eastAsia"/>
                <w:bCs/>
                <w:color w:val="auto"/>
                <w:sz w:val="21"/>
                <w:szCs w:val="21"/>
              </w:rPr>
              <w:t>0</w:t>
            </w:r>
          </w:p>
        </w:tc>
        <w:tc>
          <w:tcPr>
            <w:tcW w:w="204" w:type="pct"/>
            <w:vMerge w:val="continue"/>
            <w:vAlign w:val="center"/>
          </w:tcPr>
          <w:p w14:paraId="29D0B348">
            <w:pPr>
              <w:adjustRightInd w:val="0"/>
              <w:snapToGrid w:val="0"/>
              <w:spacing w:line="240" w:lineRule="atLeast"/>
              <w:jc w:val="center"/>
              <w:rPr>
                <w:bCs/>
                <w:color w:val="auto"/>
                <w:sz w:val="21"/>
                <w:szCs w:val="21"/>
              </w:rPr>
            </w:pPr>
          </w:p>
        </w:tc>
        <w:tc>
          <w:tcPr>
            <w:tcW w:w="215" w:type="pct"/>
            <w:vMerge w:val="continue"/>
            <w:vAlign w:val="center"/>
          </w:tcPr>
          <w:p w14:paraId="467AA4C7">
            <w:pPr>
              <w:adjustRightInd w:val="0"/>
              <w:snapToGrid w:val="0"/>
              <w:spacing w:line="240" w:lineRule="atLeast"/>
              <w:jc w:val="center"/>
              <w:rPr>
                <w:bCs/>
                <w:color w:val="auto"/>
                <w:sz w:val="21"/>
                <w:szCs w:val="21"/>
              </w:rPr>
            </w:pPr>
          </w:p>
        </w:tc>
        <w:tc>
          <w:tcPr>
            <w:tcW w:w="251" w:type="pct"/>
            <w:vAlign w:val="center"/>
          </w:tcPr>
          <w:p w14:paraId="6A10350A">
            <w:pPr>
              <w:widowControl/>
              <w:snapToGrid w:val="0"/>
              <w:spacing w:line="240" w:lineRule="atLeast"/>
              <w:jc w:val="center"/>
              <w:textAlignment w:val="top"/>
              <w:rPr>
                <w:bCs/>
                <w:color w:val="auto"/>
                <w:sz w:val="21"/>
                <w:szCs w:val="21"/>
              </w:rPr>
            </w:pPr>
            <w:r>
              <w:rPr>
                <w:rFonts w:hint="eastAsia"/>
                <w:bCs/>
                <w:color w:val="auto"/>
                <w:sz w:val="21"/>
                <w:szCs w:val="21"/>
              </w:rPr>
              <w:t>20</w:t>
            </w:r>
          </w:p>
        </w:tc>
        <w:tc>
          <w:tcPr>
            <w:tcW w:w="636" w:type="dxa"/>
            <w:vAlign w:val="center"/>
          </w:tcPr>
          <w:p w14:paraId="0ACFBD2B">
            <w:pPr>
              <w:keepNext w:val="0"/>
              <w:keepLines w:val="0"/>
              <w:widowControl/>
              <w:suppressLineNumbers w:val="0"/>
              <w:jc w:val="center"/>
              <w:textAlignment w:val="top"/>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0.089 </w:t>
            </w:r>
          </w:p>
        </w:tc>
        <w:tc>
          <w:tcPr>
            <w:tcW w:w="176" w:type="pct"/>
            <w:vMerge w:val="continue"/>
            <w:vAlign w:val="center"/>
          </w:tcPr>
          <w:p w14:paraId="5E98C9C0">
            <w:pPr>
              <w:adjustRightInd w:val="0"/>
              <w:snapToGrid w:val="0"/>
              <w:spacing w:line="240" w:lineRule="atLeast"/>
              <w:jc w:val="center"/>
              <w:rPr>
                <w:bCs/>
                <w:color w:val="auto"/>
                <w:sz w:val="21"/>
                <w:szCs w:val="21"/>
              </w:rPr>
            </w:pPr>
          </w:p>
        </w:tc>
        <w:tc>
          <w:tcPr>
            <w:tcW w:w="256" w:type="pct"/>
            <w:vMerge w:val="continue"/>
            <w:vAlign w:val="center"/>
          </w:tcPr>
          <w:p w14:paraId="2680AE42">
            <w:pPr>
              <w:adjustRightInd w:val="0"/>
              <w:snapToGrid w:val="0"/>
              <w:spacing w:line="240" w:lineRule="atLeast"/>
              <w:jc w:val="center"/>
              <w:rPr>
                <w:b/>
                <w:bCs/>
                <w:color w:val="auto"/>
                <w:sz w:val="21"/>
                <w:szCs w:val="21"/>
              </w:rPr>
            </w:pPr>
          </w:p>
        </w:tc>
        <w:tc>
          <w:tcPr>
            <w:tcW w:w="308" w:type="pct"/>
            <w:vMerge w:val="continue"/>
            <w:vAlign w:val="center"/>
          </w:tcPr>
          <w:p w14:paraId="31A9D5D8">
            <w:pPr>
              <w:adjustRightInd w:val="0"/>
              <w:snapToGrid w:val="0"/>
              <w:spacing w:line="240" w:lineRule="atLeast"/>
              <w:jc w:val="center"/>
              <w:rPr>
                <w:b/>
                <w:bCs/>
                <w:color w:val="auto"/>
                <w:sz w:val="21"/>
                <w:szCs w:val="21"/>
              </w:rPr>
            </w:pPr>
          </w:p>
        </w:tc>
        <w:tc>
          <w:tcPr>
            <w:tcW w:w="303" w:type="pct"/>
            <w:vMerge w:val="continue"/>
            <w:vAlign w:val="center"/>
          </w:tcPr>
          <w:p w14:paraId="5B7D9E54">
            <w:pPr>
              <w:adjustRightInd w:val="0"/>
              <w:snapToGrid w:val="0"/>
              <w:spacing w:line="240" w:lineRule="atLeast"/>
              <w:jc w:val="center"/>
              <w:rPr>
                <w:b/>
                <w:bCs/>
                <w:color w:val="auto"/>
                <w:sz w:val="21"/>
                <w:szCs w:val="21"/>
              </w:rPr>
            </w:pPr>
          </w:p>
        </w:tc>
        <w:tc>
          <w:tcPr>
            <w:tcW w:w="227" w:type="pct"/>
            <w:vMerge w:val="continue"/>
            <w:vAlign w:val="center"/>
          </w:tcPr>
          <w:p w14:paraId="7D2FD4B4">
            <w:pPr>
              <w:adjustRightInd w:val="0"/>
              <w:snapToGrid w:val="0"/>
              <w:spacing w:line="240" w:lineRule="atLeast"/>
              <w:jc w:val="center"/>
              <w:rPr>
                <w:b/>
                <w:bCs/>
                <w:color w:val="auto"/>
                <w:sz w:val="21"/>
                <w:szCs w:val="21"/>
              </w:rPr>
            </w:pPr>
          </w:p>
        </w:tc>
        <w:tc>
          <w:tcPr>
            <w:tcW w:w="410" w:type="pct"/>
            <w:vMerge w:val="continue"/>
            <w:vAlign w:val="center"/>
          </w:tcPr>
          <w:p w14:paraId="2EFFF594">
            <w:pPr>
              <w:adjustRightInd w:val="0"/>
              <w:snapToGrid w:val="0"/>
              <w:spacing w:line="240" w:lineRule="atLeast"/>
              <w:jc w:val="center"/>
              <w:rPr>
                <w:b/>
                <w:bCs/>
                <w:color w:val="auto"/>
                <w:sz w:val="21"/>
                <w:szCs w:val="21"/>
              </w:rPr>
            </w:pPr>
          </w:p>
        </w:tc>
        <w:tc>
          <w:tcPr>
            <w:tcW w:w="259" w:type="pct"/>
            <w:vAlign w:val="center"/>
          </w:tcPr>
          <w:p w14:paraId="2C7CEFBB">
            <w:pPr>
              <w:pStyle w:val="28"/>
              <w:tabs>
                <w:tab w:val="left" w:pos="420"/>
                <w:tab w:val="left" w:pos="870"/>
                <w:tab w:val="left" w:pos="3150"/>
              </w:tabs>
              <w:snapToGrid w:val="0"/>
              <w:spacing w:after="0" w:line="240" w:lineRule="atLeast"/>
              <w:ind w:left="0" w:leftChars="0" w:firstLine="0" w:firstLineChars="0"/>
              <w:jc w:val="center"/>
              <w:rPr>
                <w:bCs/>
                <w:color w:val="auto"/>
                <w:sz w:val="21"/>
                <w:szCs w:val="21"/>
              </w:rPr>
            </w:pPr>
            <w:r>
              <w:rPr>
                <w:rFonts w:hint="eastAsia"/>
                <w:bCs/>
                <w:color w:val="auto"/>
                <w:sz w:val="21"/>
                <w:szCs w:val="21"/>
              </w:rPr>
              <w:t>45</w:t>
            </w:r>
          </w:p>
        </w:tc>
      </w:tr>
      <w:tr w14:paraId="70BEE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continue"/>
            <w:vAlign w:val="center"/>
          </w:tcPr>
          <w:p w14:paraId="02AE69E0">
            <w:pPr>
              <w:adjustRightInd w:val="0"/>
              <w:snapToGrid w:val="0"/>
              <w:spacing w:line="240" w:lineRule="atLeast"/>
              <w:jc w:val="center"/>
              <w:rPr>
                <w:bCs/>
                <w:color w:val="auto"/>
                <w:sz w:val="21"/>
                <w:szCs w:val="21"/>
              </w:rPr>
            </w:pPr>
          </w:p>
        </w:tc>
        <w:tc>
          <w:tcPr>
            <w:tcW w:w="222" w:type="pct"/>
            <w:vMerge w:val="continue"/>
            <w:vAlign w:val="center"/>
          </w:tcPr>
          <w:p w14:paraId="78207B4E">
            <w:pPr>
              <w:adjustRightInd w:val="0"/>
              <w:snapToGrid w:val="0"/>
              <w:spacing w:line="240" w:lineRule="atLeast"/>
              <w:jc w:val="center"/>
              <w:rPr>
                <w:bCs/>
                <w:color w:val="auto"/>
                <w:sz w:val="21"/>
                <w:szCs w:val="21"/>
              </w:rPr>
            </w:pPr>
          </w:p>
        </w:tc>
        <w:tc>
          <w:tcPr>
            <w:tcW w:w="302" w:type="pct"/>
            <w:vAlign w:val="center"/>
          </w:tcPr>
          <w:p w14:paraId="112763BD">
            <w:pPr>
              <w:adjustRightInd w:val="0"/>
              <w:snapToGrid w:val="0"/>
              <w:spacing w:line="240" w:lineRule="atLeast"/>
              <w:jc w:val="center"/>
              <w:rPr>
                <w:bCs/>
                <w:color w:val="auto"/>
                <w:sz w:val="21"/>
                <w:szCs w:val="21"/>
              </w:rPr>
            </w:pPr>
            <w:r>
              <w:rPr>
                <w:rFonts w:hint="eastAsia"/>
                <w:bCs/>
                <w:color w:val="auto"/>
                <w:sz w:val="21"/>
                <w:szCs w:val="21"/>
              </w:rPr>
              <w:t>TP</w:t>
            </w:r>
          </w:p>
        </w:tc>
        <w:tc>
          <w:tcPr>
            <w:tcW w:w="229" w:type="pct"/>
            <w:vMerge w:val="continue"/>
            <w:vAlign w:val="center"/>
          </w:tcPr>
          <w:p w14:paraId="2F2A1291">
            <w:pPr>
              <w:adjustRightInd w:val="0"/>
              <w:snapToGrid w:val="0"/>
              <w:spacing w:line="240" w:lineRule="atLeast"/>
              <w:jc w:val="center"/>
              <w:rPr>
                <w:bCs/>
                <w:color w:val="auto"/>
                <w:sz w:val="21"/>
                <w:szCs w:val="21"/>
              </w:rPr>
            </w:pPr>
          </w:p>
        </w:tc>
        <w:tc>
          <w:tcPr>
            <w:tcW w:w="259" w:type="pct"/>
            <w:vAlign w:val="center"/>
          </w:tcPr>
          <w:p w14:paraId="7C171465">
            <w:pPr>
              <w:widowControl/>
              <w:snapToGrid w:val="0"/>
              <w:spacing w:line="240" w:lineRule="atLeast"/>
              <w:jc w:val="center"/>
              <w:textAlignment w:val="top"/>
              <w:rPr>
                <w:bCs/>
                <w:color w:val="auto"/>
                <w:sz w:val="21"/>
                <w:szCs w:val="21"/>
              </w:rPr>
            </w:pPr>
            <w:r>
              <w:rPr>
                <w:rFonts w:hint="eastAsia"/>
                <w:bCs/>
                <w:color w:val="auto"/>
                <w:sz w:val="21"/>
                <w:szCs w:val="21"/>
              </w:rPr>
              <w:t>4</w:t>
            </w:r>
          </w:p>
        </w:tc>
        <w:tc>
          <w:tcPr>
            <w:tcW w:w="643" w:type="dxa"/>
            <w:vAlign w:val="center"/>
          </w:tcPr>
          <w:p w14:paraId="1C767116">
            <w:pPr>
              <w:keepNext w:val="0"/>
              <w:keepLines w:val="0"/>
              <w:widowControl/>
              <w:suppressLineNumbers w:val="0"/>
              <w:jc w:val="center"/>
              <w:textAlignment w:val="top"/>
              <w:rPr>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243" w:type="pct"/>
            <w:vMerge w:val="continue"/>
            <w:vAlign w:val="center"/>
          </w:tcPr>
          <w:p w14:paraId="06DD1F5B">
            <w:pPr>
              <w:adjustRightInd w:val="0"/>
              <w:snapToGrid w:val="0"/>
              <w:spacing w:line="240" w:lineRule="atLeast"/>
              <w:jc w:val="center"/>
              <w:rPr>
                <w:bCs/>
                <w:color w:val="auto"/>
                <w:sz w:val="21"/>
                <w:szCs w:val="21"/>
              </w:rPr>
            </w:pPr>
          </w:p>
        </w:tc>
        <w:tc>
          <w:tcPr>
            <w:tcW w:w="188" w:type="pct"/>
            <w:vMerge w:val="continue"/>
            <w:vAlign w:val="center"/>
          </w:tcPr>
          <w:p w14:paraId="6C0888AC">
            <w:pPr>
              <w:adjustRightInd w:val="0"/>
              <w:snapToGrid w:val="0"/>
              <w:spacing w:line="240" w:lineRule="atLeast"/>
              <w:jc w:val="center"/>
              <w:rPr>
                <w:bCs/>
                <w:color w:val="auto"/>
                <w:sz w:val="21"/>
                <w:szCs w:val="21"/>
              </w:rPr>
            </w:pPr>
          </w:p>
        </w:tc>
        <w:tc>
          <w:tcPr>
            <w:tcW w:w="247" w:type="pct"/>
            <w:vAlign w:val="center"/>
          </w:tcPr>
          <w:p w14:paraId="1E702B8B">
            <w:pPr>
              <w:adjustRightInd w:val="0"/>
              <w:snapToGrid w:val="0"/>
              <w:spacing w:line="240" w:lineRule="atLeast"/>
              <w:jc w:val="center"/>
              <w:rPr>
                <w:bCs/>
                <w:color w:val="auto"/>
                <w:sz w:val="21"/>
                <w:szCs w:val="21"/>
              </w:rPr>
            </w:pPr>
            <w:r>
              <w:rPr>
                <w:rFonts w:hint="eastAsia"/>
                <w:bCs/>
                <w:color w:val="auto"/>
                <w:sz w:val="21"/>
                <w:szCs w:val="21"/>
              </w:rPr>
              <w:t>0</w:t>
            </w:r>
          </w:p>
        </w:tc>
        <w:tc>
          <w:tcPr>
            <w:tcW w:w="204" w:type="pct"/>
            <w:vMerge w:val="continue"/>
            <w:vAlign w:val="center"/>
          </w:tcPr>
          <w:p w14:paraId="50432D1E">
            <w:pPr>
              <w:adjustRightInd w:val="0"/>
              <w:snapToGrid w:val="0"/>
              <w:spacing w:line="240" w:lineRule="atLeast"/>
              <w:jc w:val="center"/>
              <w:rPr>
                <w:bCs/>
                <w:color w:val="auto"/>
                <w:sz w:val="21"/>
                <w:szCs w:val="21"/>
              </w:rPr>
            </w:pPr>
          </w:p>
        </w:tc>
        <w:tc>
          <w:tcPr>
            <w:tcW w:w="215" w:type="pct"/>
            <w:vMerge w:val="continue"/>
            <w:vAlign w:val="center"/>
          </w:tcPr>
          <w:p w14:paraId="3C26A586">
            <w:pPr>
              <w:adjustRightInd w:val="0"/>
              <w:snapToGrid w:val="0"/>
              <w:spacing w:line="240" w:lineRule="atLeast"/>
              <w:jc w:val="center"/>
              <w:rPr>
                <w:bCs/>
                <w:color w:val="auto"/>
                <w:sz w:val="21"/>
                <w:szCs w:val="21"/>
              </w:rPr>
            </w:pPr>
          </w:p>
        </w:tc>
        <w:tc>
          <w:tcPr>
            <w:tcW w:w="251" w:type="pct"/>
            <w:vAlign w:val="center"/>
          </w:tcPr>
          <w:p w14:paraId="31A8E66A">
            <w:pPr>
              <w:widowControl/>
              <w:snapToGrid w:val="0"/>
              <w:spacing w:line="240" w:lineRule="atLeast"/>
              <w:jc w:val="center"/>
              <w:textAlignment w:val="top"/>
              <w:rPr>
                <w:bCs/>
                <w:color w:val="auto"/>
                <w:sz w:val="21"/>
                <w:szCs w:val="21"/>
              </w:rPr>
            </w:pPr>
            <w:r>
              <w:rPr>
                <w:rFonts w:hint="eastAsia"/>
                <w:bCs/>
                <w:color w:val="auto"/>
                <w:sz w:val="21"/>
                <w:szCs w:val="21"/>
              </w:rPr>
              <w:t>4</w:t>
            </w:r>
          </w:p>
        </w:tc>
        <w:tc>
          <w:tcPr>
            <w:tcW w:w="636" w:type="dxa"/>
            <w:vAlign w:val="center"/>
          </w:tcPr>
          <w:p w14:paraId="379C3717">
            <w:pPr>
              <w:keepNext w:val="0"/>
              <w:keepLines w:val="0"/>
              <w:widowControl/>
              <w:suppressLineNumbers w:val="0"/>
              <w:jc w:val="center"/>
              <w:textAlignment w:val="top"/>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0.018 </w:t>
            </w:r>
          </w:p>
        </w:tc>
        <w:tc>
          <w:tcPr>
            <w:tcW w:w="176" w:type="pct"/>
            <w:vMerge w:val="continue"/>
            <w:vAlign w:val="center"/>
          </w:tcPr>
          <w:p w14:paraId="7EFA4B3D">
            <w:pPr>
              <w:adjustRightInd w:val="0"/>
              <w:snapToGrid w:val="0"/>
              <w:spacing w:line="240" w:lineRule="atLeast"/>
              <w:jc w:val="center"/>
              <w:rPr>
                <w:bCs/>
                <w:color w:val="auto"/>
                <w:sz w:val="21"/>
                <w:szCs w:val="21"/>
              </w:rPr>
            </w:pPr>
          </w:p>
        </w:tc>
        <w:tc>
          <w:tcPr>
            <w:tcW w:w="256" w:type="pct"/>
            <w:vMerge w:val="continue"/>
            <w:vAlign w:val="center"/>
          </w:tcPr>
          <w:p w14:paraId="632553DA">
            <w:pPr>
              <w:adjustRightInd w:val="0"/>
              <w:snapToGrid w:val="0"/>
              <w:spacing w:line="240" w:lineRule="atLeast"/>
              <w:jc w:val="center"/>
              <w:rPr>
                <w:b/>
                <w:bCs/>
                <w:color w:val="auto"/>
                <w:sz w:val="21"/>
                <w:szCs w:val="21"/>
              </w:rPr>
            </w:pPr>
          </w:p>
        </w:tc>
        <w:tc>
          <w:tcPr>
            <w:tcW w:w="308" w:type="pct"/>
            <w:vMerge w:val="continue"/>
            <w:vAlign w:val="center"/>
          </w:tcPr>
          <w:p w14:paraId="2A0EB33B">
            <w:pPr>
              <w:adjustRightInd w:val="0"/>
              <w:snapToGrid w:val="0"/>
              <w:spacing w:line="240" w:lineRule="atLeast"/>
              <w:jc w:val="center"/>
              <w:rPr>
                <w:b/>
                <w:bCs/>
                <w:color w:val="auto"/>
                <w:sz w:val="21"/>
                <w:szCs w:val="21"/>
              </w:rPr>
            </w:pPr>
          </w:p>
        </w:tc>
        <w:tc>
          <w:tcPr>
            <w:tcW w:w="303" w:type="pct"/>
            <w:vMerge w:val="continue"/>
            <w:vAlign w:val="center"/>
          </w:tcPr>
          <w:p w14:paraId="10FE9A87">
            <w:pPr>
              <w:adjustRightInd w:val="0"/>
              <w:snapToGrid w:val="0"/>
              <w:spacing w:line="240" w:lineRule="atLeast"/>
              <w:jc w:val="center"/>
              <w:rPr>
                <w:b/>
                <w:bCs/>
                <w:color w:val="auto"/>
                <w:sz w:val="21"/>
                <w:szCs w:val="21"/>
              </w:rPr>
            </w:pPr>
          </w:p>
        </w:tc>
        <w:tc>
          <w:tcPr>
            <w:tcW w:w="227" w:type="pct"/>
            <w:vMerge w:val="continue"/>
            <w:vAlign w:val="center"/>
          </w:tcPr>
          <w:p w14:paraId="127AFA72">
            <w:pPr>
              <w:adjustRightInd w:val="0"/>
              <w:snapToGrid w:val="0"/>
              <w:spacing w:line="240" w:lineRule="atLeast"/>
              <w:jc w:val="center"/>
              <w:rPr>
                <w:b/>
                <w:bCs/>
                <w:color w:val="auto"/>
                <w:sz w:val="21"/>
                <w:szCs w:val="21"/>
              </w:rPr>
            </w:pPr>
          </w:p>
        </w:tc>
        <w:tc>
          <w:tcPr>
            <w:tcW w:w="410" w:type="pct"/>
            <w:vMerge w:val="continue"/>
            <w:vAlign w:val="center"/>
          </w:tcPr>
          <w:p w14:paraId="12E6B33F">
            <w:pPr>
              <w:adjustRightInd w:val="0"/>
              <w:snapToGrid w:val="0"/>
              <w:spacing w:line="240" w:lineRule="atLeast"/>
              <w:jc w:val="center"/>
              <w:rPr>
                <w:b/>
                <w:bCs/>
                <w:color w:val="auto"/>
                <w:sz w:val="21"/>
                <w:szCs w:val="21"/>
              </w:rPr>
            </w:pPr>
          </w:p>
        </w:tc>
        <w:tc>
          <w:tcPr>
            <w:tcW w:w="259" w:type="pct"/>
            <w:vAlign w:val="center"/>
          </w:tcPr>
          <w:p w14:paraId="37772478">
            <w:pPr>
              <w:pStyle w:val="28"/>
              <w:tabs>
                <w:tab w:val="left" w:pos="420"/>
                <w:tab w:val="left" w:pos="870"/>
                <w:tab w:val="left" w:pos="3150"/>
              </w:tabs>
              <w:snapToGrid w:val="0"/>
              <w:spacing w:after="0" w:line="240" w:lineRule="atLeast"/>
              <w:ind w:left="0" w:leftChars="0" w:firstLine="0" w:firstLineChars="0"/>
              <w:jc w:val="center"/>
              <w:rPr>
                <w:bCs/>
                <w:color w:val="auto"/>
                <w:sz w:val="21"/>
                <w:szCs w:val="21"/>
              </w:rPr>
            </w:pPr>
            <w:r>
              <w:rPr>
                <w:rFonts w:hint="eastAsia"/>
                <w:bCs/>
                <w:color w:val="auto"/>
                <w:sz w:val="21"/>
                <w:szCs w:val="21"/>
              </w:rPr>
              <w:t>8</w:t>
            </w:r>
          </w:p>
        </w:tc>
      </w:tr>
      <w:tr w14:paraId="20B78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7" w:type="pct"/>
            <w:vMerge w:val="continue"/>
            <w:tcBorders>
              <w:bottom w:val="single" w:color="000000" w:sz="12" w:space="0"/>
            </w:tcBorders>
            <w:vAlign w:val="center"/>
          </w:tcPr>
          <w:p w14:paraId="677E33F3">
            <w:pPr>
              <w:adjustRightInd w:val="0"/>
              <w:snapToGrid w:val="0"/>
              <w:spacing w:line="240" w:lineRule="atLeast"/>
              <w:jc w:val="center"/>
              <w:rPr>
                <w:bCs/>
                <w:color w:val="auto"/>
                <w:sz w:val="21"/>
                <w:szCs w:val="21"/>
              </w:rPr>
            </w:pPr>
          </w:p>
        </w:tc>
        <w:tc>
          <w:tcPr>
            <w:tcW w:w="222" w:type="pct"/>
            <w:vMerge w:val="continue"/>
            <w:tcBorders>
              <w:bottom w:val="single" w:color="000000" w:sz="12" w:space="0"/>
            </w:tcBorders>
            <w:vAlign w:val="center"/>
          </w:tcPr>
          <w:p w14:paraId="6F9BE9D6">
            <w:pPr>
              <w:adjustRightInd w:val="0"/>
              <w:snapToGrid w:val="0"/>
              <w:spacing w:line="240" w:lineRule="atLeast"/>
              <w:jc w:val="center"/>
              <w:rPr>
                <w:bCs/>
                <w:color w:val="auto"/>
                <w:sz w:val="21"/>
                <w:szCs w:val="21"/>
              </w:rPr>
            </w:pPr>
          </w:p>
        </w:tc>
        <w:tc>
          <w:tcPr>
            <w:tcW w:w="302" w:type="pct"/>
            <w:vAlign w:val="center"/>
          </w:tcPr>
          <w:p w14:paraId="4B669A8C">
            <w:pPr>
              <w:adjustRightInd w:val="0"/>
              <w:snapToGrid w:val="0"/>
              <w:spacing w:line="240" w:lineRule="atLeast"/>
              <w:jc w:val="center"/>
              <w:rPr>
                <w:bCs/>
                <w:color w:val="auto"/>
                <w:sz w:val="21"/>
                <w:szCs w:val="21"/>
              </w:rPr>
            </w:pPr>
            <w:r>
              <w:rPr>
                <w:rFonts w:hint="eastAsia"/>
                <w:bCs/>
                <w:color w:val="auto"/>
                <w:sz w:val="21"/>
                <w:szCs w:val="21"/>
              </w:rPr>
              <w:t>TN</w:t>
            </w:r>
          </w:p>
        </w:tc>
        <w:tc>
          <w:tcPr>
            <w:tcW w:w="229" w:type="pct"/>
            <w:vMerge w:val="continue"/>
            <w:tcBorders>
              <w:bottom w:val="single" w:color="000000" w:sz="12" w:space="0"/>
            </w:tcBorders>
            <w:vAlign w:val="center"/>
          </w:tcPr>
          <w:p w14:paraId="3A43C49A">
            <w:pPr>
              <w:adjustRightInd w:val="0"/>
              <w:snapToGrid w:val="0"/>
              <w:spacing w:line="240" w:lineRule="atLeast"/>
              <w:jc w:val="center"/>
              <w:rPr>
                <w:bCs/>
                <w:color w:val="auto"/>
                <w:sz w:val="21"/>
                <w:szCs w:val="21"/>
              </w:rPr>
            </w:pPr>
          </w:p>
        </w:tc>
        <w:tc>
          <w:tcPr>
            <w:tcW w:w="259" w:type="pct"/>
            <w:vAlign w:val="center"/>
          </w:tcPr>
          <w:p w14:paraId="54DA1652">
            <w:pPr>
              <w:widowControl/>
              <w:snapToGrid w:val="0"/>
              <w:spacing w:line="240" w:lineRule="atLeast"/>
              <w:jc w:val="center"/>
              <w:textAlignment w:val="top"/>
              <w:rPr>
                <w:bCs/>
                <w:color w:val="auto"/>
                <w:sz w:val="21"/>
                <w:szCs w:val="21"/>
              </w:rPr>
            </w:pPr>
            <w:r>
              <w:rPr>
                <w:rFonts w:hint="eastAsia"/>
                <w:bCs/>
                <w:color w:val="auto"/>
                <w:sz w:val="21"/>
                <w:szCs w:val="21"/>
              </w:rPr>
              <w:t>30</w:t>
            </w:r>
          </w:p>
        </w:tc>
        <w:tc>
          <w:tcPr>
            <w:tcW w:w="643" w:type="dxa"/>
            <w:tcBorders>
              <w:bottom w:val="single" w:color="000000" w:sz="12" w:space="0"/>
            </w:tcBorders>
            <w:vAlign w:val="center"/>
          </w:tcPr>
          <w:p w14:paraId="4D97217A">
            <w:pPr>
              <w:keepNext w:val="0"/>
              <w:keepLines w:val="0"/>
              <w:widowControl/>
              <w:suppressLineNumbers w:val="0"/>
              <w:jc w:val="center"/>
              <w:textAlignment w:val="top"/>
              <w:rPr>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0.134</w:t>
            </w:r>
          </w:p>
        </w:tc>
        <w:tc>
          <w:tcPr>
            <w:tcW w:w="243" w:type="pct"/>
            <w:vMerge w:val="continue"/>
            <w:tcBorders>
              <w:bottom w:val="single" w:color="000000" w:sz="12" w:space="0"/>
            </w:tcBorders>
            <w:vAlign w:val="center"/>
          </w:tcPr>
          <w:p w14:paraId="39EC2F6B">
            <w:pPr>
              <w:adjustRightInd w:val="0"/>
              <w:snapToGrid w:val="0"/>
              <w:spacing w:line="240" w:lineRule="atLeast"/>
              <w:jc w:val="center"/>
              <w:rPr>
                <w:bCs/>
                <w:color w:val="auto"/>
                <w:sz w:val="21"/>
                <w:szCs w:val="21"/>
              </w:rPr>
            </w:pPr>
          </w:p>
        </w:tc>
        <w:tc>
          <w:tcPr>
            <w:tcW w:w="188" w:type="pct"/>
            <w:vMerge w:val="continue"/>
            <w:tcBorders>
              <w:bottom w:val="single" w:color="000000" w:sz="12" w:space="0"/>
            </w:tcBorders>
            <w:vAlign w:val="center"/>
          </w:tcPr>
          <w:p w14:paraId="34E3FD81">
            <w:pPr>
              <w:adjustRightInd w:val="0"/>
              <w:snapToGrid w:val="0"/>
              <w:spacing w:line="240" w:lineRule="atLeast"/>
              <w:jc w:val="center"/>
              <w:rPr>
                <w:bCs/>
                <w:color w:val="auto"/>
                <w:sz w:val="21"/>
                <w:szCs w:val="21"/>
              </w:rPr>
            </w:pPr>
          </w:p>
        </w:tc>
        <w:tc>
          <w:tcPr>
            <w:tcW w:w="247" w:type="pct"/>
            <w:tcBorders>
              <w:bottom w:val="single" w:color="000000" w:sz="12" w:space="0"/>
            </w:tcBorders>
            <w:vAlign w:val="center"/>
          </w:tcPr>
          <w:p w14:paraId="29810B57">
            <w:pPr>
              <w:adjustRightInd w:val="0"/>
              <w:snapToGrid w:val="0"/>
              <w:spacing w:line="240" w:lineRule="atLeast"/>
              <w:jc w:val="center"/>
              <w:rPr>
                <w:bCs/>
                <w:color w:val="auto"/>
                <w:sz w:val="21"/>
                <w:szCs w:val="21"/>
              </w:rPr>
            </w:pPr>
            <w:r>
              <w:rPr>
                <w:rFonts w:hint="eastAsia"/>
                <w:bCs/>
                <w:color w:val="auto"/>
                <w:sz w:val="21"/>
                <w:szCs w:val="21"/>
              </w:rPr>
              <w:t>0</w:t>
            </w:r>
          </w:p>
        </w:tc>
        <w:tc>
          <w:tcPr>
            <w:tcW w:w="204" w:type="pct"/>
            <w:vMerge w:val="continue"/>
            <w:tcBorders>
              <w:bottom w:val="single" w:color="000000" w:sz="12" w:space="0"/>
            </w:tcBorders>
            <w:vAlign w:val="center"/>
          </w:tcPr>
          <w:p w14:paraId="569CDB66">
            <w:pPr>
              <w:adjustRightInd w:val="0"/>
              <w:snapToGrid w:val="0"/>
              <w:spacing w:line="240" w:lineRule="atLeast"/>
              <w:jc w:val="center"/>
              <w:rPr>
                <w:bCs/>
                <w:color w:val="auto"/>
                <w:sz w:val="21"/>
                <w:szCs w:val="21"/>
              </w:rPr>
            </w:pPr>
          </w:p>
        </w:tc>
        <w:tc>
          <w:tcPr>
            <w:tcW w:w="215" w:type="pct"/>
            <w:vMerge w:val="continue"/>
            <w:tcBorders>
              <w:bottom w:val="single" w:color="000000" w:sz="12" w:space="0"/>
            </w:tcBorders>
            <w:vAlign w:val="center"/>
          </w:tcPr>
          <w:p w14:paraId="5A99CD3E">
            <w:pPr>
              <w:adjustRightInd w:val="0"/>
              <w:snapToGrid w:val="0"/>
              <w:spacing w:line="240" w:lineRule="atLeast"/>
              <w:jc w:val="center"/>
              <w:rPr>
                <w:bCs/>
                <w:color w:val="auto"/>
                <w:sz w:val="21"/>
                <w:szCs w:val="21"/>
              </w:rPr>
            </w:pPr>
          </w:p>
        </w:tc>
        <w:tc>
          <w:tcPr>
            <w:tcW w:w="251" w:type="pct"/>
            <w:tcBorders>
              <w:bottom w:val="single" w:color="000000" w:sz="12" w:space="0"/>
            </w:tcBorders>
            <w:vAlign w:val="center"/>
          </w:tcPr>
          <w:p w14:paraId="5963A0A8">
            <w:pPr>
              <w:widowControl/>
              <w:snapToGrid w:val="0"/>
              <w:spacing w:line="240" w:lineRule="atLeast"/>
              <w:jc w:val="center"/>
              <w:textAlignment w:val="top"/>
              <w:rPr>
                <w:bCs/>
                <w:color w:val="auto"/>
                <w:sz w:val="21"/>
                <w:szCs w:val="21"/>
              </w:rPr>
            </w:pPr>
            <w:r>
              <w:rPr>
                <w:rFonts w:hint="eastAsia"/>
                <w:bCs/>
                <w:color w:val="auto"/>
                <w:sz w:val="21"/>
                <w:szCs w:val="21"/>
              </w:rPr>
              <w:t>27</w:t>
            </w:r>
          </w:p>
        </w:tc>
        <w:tc>
          <w:tcPr>
            <w:tcW w:w="636" w:type="dxa"/>
            <w:tcBorders>
              <w:bottom w:val="single" w:color="000000" w:sz="12" w:space="0"/>
            </w:tcBorders>
            <w:vAlign w:val="center"/>
          </w:tcPr>
          <w:p w14:paraId="5E1744C4">
            <w:pPr>
              <w:keepNext w:val="0"/>
              <w:keepLines w:val="0"/>
              <w:widowControl/>
              <w:suppressLineNumbers w:val="0"/>
              <w:jc w:val="center"/>
              <w:textAlignment w:val="top"/>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0.120 </w:t>
            </w:r>
          </w:p>
        </w:tc>
        <w:tc>
          <w:tcPr>
            <w:tcW w:w="176" w:type="pct"/>
            <w:vMerge w:val="continue"/>
            <w:tcBorders>
              <w:bottom w:val="single" w:color="000000" w:sz="12" w:space="0"/>
            </w:tcBorders>
            <w:vAlign w:val="center"/>
          </w:tcPr>
          <w:p w14:paraId="3DB5F715">
            <w:pPr>
              <w:adjustRightInd w:val="0"/>
              <w:snapToGrid w:val="0"/>
              <w:spacing w:line="240" w:lineRule="atLeast"/>
              <w:jc w:val="center"/>
              <w:rPr>
                <w:bCs/>
                <w:color w:val="auto"/>
                <w:sz w:val="21"/>
                <w:szCs w:val="21"/>
              </w:rPr>
            </w:pPr>
          </w:p>
        </w:tc>
        <w:tc>
          <w:tcPr>
            <w:tcW w:w="256" w:type="pct"/>
            <w:vMerge w:val="continue"/>
            <w:tcBorders>
              <w:bottom w:val="single" w:color="000000" w:sz="12" w:space="0"/>
            </w:tcBorders>
            <w:vAlign w:val="center"/>
          </w:tcPr>
          <w:p w14:paraId="08D4BF58">
            <w:pPr>
              <w:adjustRightInd w:val="0"/>
              <w:snapToGrid w:val="0"/>
              <w:spacing w:line="240" w:lineRule="atLeast"/>
              <w:jc w:val="center"/>
              <w:rPr>
                <w:b/>
                <w:bCs/>
                <w:color w:val="auto"/>
                <w:sz w:val="21"/>
                <w:szCs w:val="21"/>
              </w:rPr>
            </w:pPr>
          </w:p>
        </w:tc>
        <w:tc>
          <w:tcPr>
            <w:tcW w:w="308" w:type="pct"/>
            <w:vMerge w:val="continue"/>
            <w:tcBorders>
              <w:bottom w:val="single" w:color="000000" w:sz="12" w:space="0"/>
            </w:tcBorders>
            <w:vAlign w:val="center"/>
          </w:tcPr>
          <w:p w14:paraId="64BD36DC">
            <w:pPr>
              <w:adjustRightInd w:val="0"/>
              <w:snapToGrid w:val="0"/>
              <w:spacing w:line="240" w:lineRule="atLeast"/>
              <w:jc w:val="center"/>
              <w:rPr>
                <w:b/>
                <w:bCs/>
                <w:color w:val="auto"/>
                <w:sz w:val="21"/>
                <w:szCs w:val="21"/>
              </w:rPr>
            </w:pPr>
          </w:p>
        </w:tc>
        <w:tc>
          <w:tcPr>
            <w:tcW w:w="303" w:type="pct"/>
            <w:vMerge w:val="continue"/>
            <w:tcBorders>
              <w:bottom w:val="single" w:color="000000" w:sz="12" w:space="0"/>
            </w:tcBorders>
            <w:vAlign w:val="center"/>
          </w:tcPr>
          <w:p w14:paraId="49EE6FFC">
            <w:pPr>
              <w:adjustRightInd w:val="0"/>
              <w:snapToGrid w:val="0"/>
              <w:spacing w:line="240" w:lineRule="atLeast"/>
              <w:jc w:val="center"/>
              <w:rPr>
                <w:b/>
                <w:bCs/>
                <w:color w:val="auto"/>
                <w:sz w:val="21"/>
                <w:szCs w:val="21"/>
              </w:rPr>
            </w:pPr>
          </w:p>
        </w:tc>
        <w:tc>
          <w:tcPr>
            <w:tcW w:w="227" w:type="pct"/>
            <w:vMerge w:val="continue"/>
            <w:tcBorders>
              <w:bottom w:val="single" w:color="000000" w:sz="12" w:space="0"/>
            </w:tcBorders>
            <w:vAlign w:val="center"/>
          </w:tcPr>
          <w:p w14:paraId="5B4AFD1F">
            <w:pPr>
              <w:adjustRightInd w:val="0"/>
              <w:snapToGrid w:val="0"/>
              <w:spacing w:line="240" w:lineRule="atLeast"/>
              <w:jc w:val="center"/>
              <w:rPr>
                <w:b/>
                <w:bCs/>
                <w:color w:val="auto"/>
                <w:sz w:val="21"/>
                <w:szCs w:val="21"/>
              </w:rPr>
            </w:pPr>
          </w:p>
        </w:tc>
        <w:tc>
          <w:tcPr>
            <w:tcW w:w="410" w:type="pct"/>
            <w:vMerge w:val="continue"/>
            <w:tcBorders>
              <w:bottom w:val="single" w:color="000000" w:sz="12" w:space="0"/>
            </w:tcBorders>
            <w:vAlign w:val="center"/>
          </w:tcPr>
          <w:p w14:paraId="66DD81A6">
            <w:pPr>
              <w:adjustRightInd w:val="0"/>
              <w:snapToGrid w:val="0"/>
              <w:spacing w:line="240" w:lineRule="atLeast"/>
              <w:jc w:val="center"/>
              <w:rPr>
                <w:b/>
                <w:bCs/>
                <w:color w:val="auto"/>
                <w:sz w:val="21"/>
                <w:szCs w:val="21"/>
              </w:rPr>
            </w:pPr>
          </w:p>
        </w:tc>
        <w:tc>
          <w:tcPr>
            <w:tcW w:w="259" w:type="pct"/>
            <w:vAlign w:val="center"/>
          </w:tcPr>
          <w:p w14:paraId="5AC3B304">
            <w:pPr>
              <w:pStyle w:val="28"/>
              <w:tabs>
                <w:tab w:val="left" w:pos="420"/>
                <w:tab w:val="left" w:pos="870"/>
                <w:tab w:val="left" w:pos="3150"/>
              </w:tabs>
              <w:snapToGrid w:val="0"/>
              <w:spacing w:after="0" w:line="240" w:lineRule="atLeast"/>
              <w:ind w:left="0" w:leftChars="0" w:firstLine="0" w:firstLineChars="0"/>
              <w:jc w:val="center"/>
              <w:rPr>
                <w:bCs/>
                <w:color w:val="auto"/>
                <w:sz w:val="21"/>
                <w:szCs w:val="21"/>
              </w:rPr>
            </w:pPr>
            <w:r>
              <w:rPr>
                <w:rFonts w:hint="eastAsia"/>
                <w:bCs/>
                <w:color w:val="auto"/>
                <w:sz w:val="21"/>
                <w:szCs w:val="21"/>
              </w:rPr>
              <w:t>70</w:t>
            </w:r>
          </w:p>
        </w:tc>
      </w:tr>
    </w:tbl>
    <w:p w14:paraId="3B50663A">
      <w:pPr>
        <w:pStyle w:val="28"/>
        <w:rPr>
          <w:color w:val="auto"/>
          <w:sz w:val="24"/>
          <w:szCs w:val="24"/>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2"/>
        <w:gridCol w:w="8666"/>
      </w:tblGrid>
      <w:tr w14:paraId="0109C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74" w:type="pct"/>
            <w:tcMar>
              <w:left w:w="28" w:type="dxa"/>
              <w:right w:w="28" w:type="dxa"/>
            </w:tcMar>
            <w:vAlign w:val="center"/>
          </w:tcPr>
          <w:p w14:paraId="0477A2C2">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7CAB8C2B">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期环</w:t>
            </w:r>
          </w:p>
          <w:p w14:paraId="5C2D4774">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501B1477">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响和</w:t>
            </w:r>
          </w:p>
          <w:p w14:paraId="39ED0594">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保护</w:t>
            </w:r>
          </w:p>
          <w:p w14:paraId="54FBCB44">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措施</w:t>
            </w:r>
          </w:p>
        </w:tc>
        <w:tc>
          <w:tcPr>
            <w:tcW w:w="4825" w:type="pct"/>
            <w:vAlign w:val="center"/>
          </w:tcPr>
          <w:p w14:paraId="5AB1DB00">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color w:val="auto"/>
                <w:sz w:val="24"/>
                <w:szCs w:val="24"/>
              </w:rPr>
              <w:t>3</w:t>
            </w:r>
            <w:r>
              <w:rPr>
                <w:rFonts w:hint="eastAsia"/>
                <w:color w:val="auto"/>
                <w:sz w:val="24"/>
                <w:szCs w:val="24"/>
              </w:rPr>
              <w:t>、噪声环境影响和保护措施</w:t>
            </w:r>
          </w:p>
          <w:p w14:paraId="742B6D08">
            <w:pPr>
              <w:pStyle w:val="82"/>
              <w:rPr>
                <w:color w:val="auto"/>
                <w:sz w:val="24"/>
                <w:szCs w:val="24"/>
              </w:rPr>
            </w:pPr>
            <w:r>
              <w:rPr>
                <w:color w:val="auto"/>
                <w:sz w:val="24"/>
                <w:szCs w:val="24"/>
              </w:rPr>
              <w:t>3.1噪声污染源</w:t>
            </w:r>
            <w:r>
              <w:rPr>
                <w:rFonts w:hint="eastAsia"/>
                <w:color w:val="auto"/>
                <w:sz w:val="24"/>
                <w:szCs w:val="24"/>
              </w:rPr>
              <w:t>及防治措施</w:t>
            </w:r>
          </w:p>
          <w:p w14:paraId="37FB0DC2">
            <w:pPr>
              <w:pStyle w:val="6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olor w:val="auto"/>
                <w:sz w:val="24"/>
                <w:szCs w:val="24"/>
                <w:lang w:eastAsia="zh-CN"/>
              </w:rPr>
            </w:pPr>
            <w:r>
              <w:rPr>
                <w:rFonts w:hint="eastAsia"/>
                <w:color w:val="auto"/>
                <w:sz w:val="24"/>
                <w:szCs w:val="24"/>
              </w:rPr>
              <w:t>本项目高噪声污染源主要为抛丸机、砂轮机、落砂机、砂再生设备、机加工车床、压铸机、红冲车床、风机等设备，其噪声级大致在75-100dB(A)</w:t>
            </w:r>
            <w:r>
              <w:rPr>
                <w:rFonts w:hint="eastAsia"/>
                <w:color w:val="auto"/>
                <w:sz w:val="24"/>
                <w:szCs w:val="24"/>
                <w:lang w:eastAsia="zh-CN"/>
              </w:rPr>
              <w:t>。</w:t>
            </w:r>
          </w:p>
          <w:p w14:paraId="6B5CA1F1">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3</w:t>
            </w:r>
            <w:r>
              <w:rPr>
                <w:color w:val="auto"/>
                <w:sz w:val="24"/>
                <w:szCs w:val="24"/>
              </w:rPr>
              <w:t>.2</w:t>
            </w:r>
            <w:r>
              <w:rPr>
                <w:rFonts w:hint="eastAsia"/>
                <w:color w:val="auto"/>
                <w:sz w:val="24"/>
                <w:szCs w:val="24"/>
              </w:rPr>
              <w:t>噪声影响预测与评价</w:t>
            </w:r>
          </w:p>
          <w:p w14:paraId="5BBD8193">
            <w:pPr>
              <w:adjustRightInd w:val="0"/>
              <w:snapToGrid w:val="0"/>
              <w:spacing w:line="360" w:lineRule="auto"/>
              <w:ind w:firstLine="482" w:firstLineChars="200"/>
              <w:rPr>
                <w:b/>
                <w:bCs/>
                <w:color w:val="auto"/>
                <w:sz w:val="24"/>
                <w:szCs w:val="24"/>
              </w:rPr>
            </w:pPr>
            <w:r>
              <w:rPr>
                <w:rFonts w:hint="eastAsia"/>
                <w:b/>
                <w:bCs/>
                <w:color w:val="auto"/>
                <w:sz w:val="24"/>
                <w:szCs w:val="24"/>
              </w:rPr>
              <w:t>（1）噪声预测模式</w:t>
            </w:r>
          </w:p>
          <w:p w14:paraId="1020DB51">
            <w:pPr>
              <w:spacing w:line="360" w:lineRule="auto"/>
              <w:ind w:firstLine="480" w:firstLineChars="200"/>
              <w:rPr>
                <w:color w:val="auto"/>
                <w:sz w:val="24"/>
                <w:szCs w:val="24"/>
              </w:rPr>
            </w:pPr>
            <w:r>
              <w:rPr>
                <w:rFonts w:hint="eastAsia"/>
                <w:color w:val="auto"/>
                <w:sz w:val="24"/>
                <w:szCs w:val="24"/>
              </w:rPr>
              <w:t>预测模式采用《环境影响评价技术导则</w:t>
            </w:r>
            <w:r>
              <w:rPr>
                <w:rFonts w:hint="eastAsia"/>
                <w:color w:val="auto"/>
                <w:sz w:val="24"/>
                <w:szCs w:val="24"/>
                <w:lang w:val="en-US" w:eastAsia="zh-CN"/>
              </w:rPr>
              <w:t xml:space="preserve"> </w:t>
            </w:r>
            <w:r>
              <w:rPr>
                <w:rFonts w:hint="eastAsia"/>
                <w:color w:val="auto"/>
                <w:sz w:val="24"/>
                <w:szCs w:val="24"/>
              </w:rPr>
              <w:t>声环境》（</w:t>
            </w:r>
            <w:r>
              <w:rPr>
                <w:color w:val="auto"/>
                <w:sz w:val="24"/>
                <w:szCs w:val="24"/>
              </w:rPr>
              <w:t>HJ2.4-2021</w:t>
            </w:r>
            <w:r>
              <w:rPr>
                <w:rFonts w:hint="eastAsia"/>
                <w:color w:val="auto"/>
                <w:sz w:val="24"/>
                <w:szCs w:val="24"/>
              </w:rPr>
              <w:t>）中推荐的模型。噪声在传播过程中受到多种因素的干扰，使其产生衰减，根据建设项目噪声源和环境特征，预测过程中考虑了厂房等建筑物的屏障作用、空气吸收、地面效应等。预测模式采用点声源处于自由空间的几何发散模式。</w:t>
            </w:r>
          </w:p>
          <w:p w14:paraId="578A7004">
            <w:pPr>
              <w:spacing w:line="360" w:lineRule="auto"/>
              <w:ind w:firstLine="480" w:firstLineChars="200"/>
              <w:rPr>
                <w:color w:val="auto"/>
                <w:sz w:val="24"/>
                <w:szCs w:val="24"/>
              </w:rPr>
            </w:pPr>
            <w:r>
              <w:rPr>
                <w:color w:val="auto"/>
                <w:sz w:val="24"/>
                <w:szCs w:val="24"/>
              </w:rPr>
              <w:t>1</w:t>
            </w:r>
            <w:r>
              <w:rPr>
                <w:rFonts w:hint="eastAsia"/>
                <w:color w:val="auto"/>
                <w:sz w:val="24"/>
                <w:szCs w:val="24"/>
              </w:rPr>
              <w:t>）室内外声源计算</w:t>
            </w:r>
          </w:p>
          <w:p w14:paraId="74F82F21">
            <w:pPr>
              <w:spacing w:line="360" w:lineRule="auto"/>
              <w:ind w:firstLine="480" w:firstLineChars="200"/>
              <w:rPr>
                <w:color w:val="auto"/>
                <w:sz w:val="24"/>
                <w:szCs w:val="24"/>
              </w:rPr>
            </w:pPr>
            <w:r>
              <w:rPr>
                <w:rFonts w:hint="eastAsia"/>
                <w:color w:val="auto"/>
                <w:sz w:val="24"/>
                <w:szCs w:val="24"/>
              </w:rPr>
              <w:t>①室内某一声源在靠近围护结构处的声压级</w:t>
            </w:r>
          </w:p>
          <w:p w14:paraId="7034F17B">
            <w:pPr>
              <w:spacing w:line="360" w:lineRule="auto"/>
              <w:ind w:firstLine="480" w:firstLineChars="200"/>
              <w:jc w:val="center"/>
              <w:rPr>
                <w:color w:val="auto"/>
                <w:sz w:val="24"/>
                <w:szCs w:val="24"/>
              </w:rPr>
            </w:pPr>
            <w:r>
              <w:rPr>
                <w:color w:val="auto"/>
                <w:sz w:val="24"/>
                <w:szCs w:val="24"/>
              </w:rPr>
              <w:drawing>
                <wp:inline distT="0" distB="0" distL="114300" distR="114300">
                  <wp:extent cx="2012950" cy="520065"/>
                  <wp:effectExtent l="0" t="0" r="6350" b="1333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0" cstate="print"/>
                          <a:stretch>
                            <a:fillRect/>
                          </a:stretch>
                        </pic:blipFill>
                        <pic:spPr>
                          <a:xfrm>
                            <a:off x="0" y="0"/>
                            <a:ext cx="2012950" cy="520065"/>
                          </a:xfrm>
                          <a:prstGeom prst="rect">
                            <a:avLst/>
                          </a:prstGeom>
                          <a:noFill/>
                          <a:ln>
                            <a:noFill/>
                          </a:ln>
                        </pic:spPr>
                      </pic:pic>
                    </a:graphicData>
                  </a:graphic>
                </wp:inline>
              </w:drawing>
            </w:r>
          </w:p>
          <w:p w14:paraId="2344181A">
            <w:pPr>
              <w:spacing w:line="360" w:lineRule="auto"/>
              <w:ind w:firstLine="480" w:firstLineChars="200"/>
              <w:rPr>
                <w:color w:val="auto"/>
                <w:sz w:val="24"/>
                <w:szCs w:val="24"/>
              </w:rPr>
            </w:pPr>
            <w:r>
              <w:rPr>
                <w:rFonts w:hint="eastAsia"/>
                <w:color w:val="auto"/>
                <w:sz w:val="24"/>
                <w:szCs w:val="24"/>
              </w:rPr>
              <w:t>式中：</w:t>
            </w:r>
            <w:r>
              <w:rPr>
                <w:color w:val="auto"/>
                <w:sz w:val="24"/>
                <w:szCs w:val="24"/>
              </w:rPr>
              <w:t>L</w:t>
            </w:r>
            <w:r>
              <w:rPr>
                <w:color w:val="auto"/>
                <w:sz w:val="24"/>
                <w:szCs w:val="24"/>
                <w:vertAlign w:val="subscript"/>
              </w:rPr>
              <w:t>p1</w:t>
            </w:r>
            <w:r>
              <w:rPr>
                <w:color w:val="auto"/>
                <w:sz w:val="24"/>
                <w:szCs w:val="24"/>
              </w:rPr>
              <w:t>——</w:t>
            </w:r>
            <w:r>
              <w:rPr>
                <w:rFonts w:hint="eastAsia"/>
                <w:color w:val="auto"/>
                <w:sz w:val="24"/>
                <w:szCs w:val="24"/>
              </w:rPr>
              <w:t>靠近开口处（或窗户）室内某倍频带的声压级或</w:t>
            </w:r>
            <w:r>
              <w:rPr>
                <w:color w:val="auto"/>
                <w:sz w:val="24"/>
                <w:szCs w:val="24"/>
              </w:rPr>
              <w:t>A</w:t>
            </w:r>
            <w:r>
              <w:rPr>
                <w:rFonts w:hint="eastAsia"/>
                <w:color w:val="auto"/>
                <w:sz w:val="24"/>
                <w:szCs w:val="24"/>
              </w:rPr>
              <w:t>声级，</w:t>
            </w:r>
            <w:r>
              <w:rPr>
                <w:color w:val="auto"/>
                <w:sz w:val="24"/>
                <w:szCs w:val="24"/>
              </w:rPr>
              <w:t>dB</w:t>
            </w:r>
            <w:r>
              <w:rPr>
                <w:rFonts w:hint="eastAsia"/>
                <w:color w:val="auto"/>
                <w:sz w:val="24"/>
                <w:szCs w:val="24"/>
              </w:rPr>
              <w:t>；</w:t>
            </w:r>
          </w:p>
          <w:p w14:paraId="065D6A8D">
            <w:pPr>
              <w:spacing w:line="360" w:lineRule="auto"/>
              <w:ind w:firstLine="1200" w:firstLineChars="500"/>
              <w:rPr>
                <w:color w:val="auto"/>
                <w:sz w:val="24"/>
                <w:szCs w:val="24"/>
              </w:rPr>
            </w:pPr>
            <w:r>
              <w:rPr>
                <w:color w:val="auto"/>
                <w:sz w:val="24"/>
                <w:szCs w:val="24"/>
              </w:rPr>
              <w:t>L</w:t>
            </w:r>
            <w:r>
              <w:rPr>
                <w:color w:val="auto"/>
                <w:sz w:val="24"/>
                <w:szCs w:val="24"/>
                <w:vertAlign w:val="subscript"/>
              </w:rPr>
              <w:t>w</w:t>
            </w:r>
            <w:r>
              <w:rPr>
                <w:color w:val="auto"/>
                <w:sz w:val="24"/>
                <w:szCs w:val="24"/>
              </w:rPr>
              <w:t>——</w:t>
            </w:r>
            <w:r>
              <w:rPr>
                <w:rFonts w:hint="eastAsia"/>
                <w:color w:val="auto"/>
                <w:sz w:val="24"/>
                <w:szCs w:val="24"/>
              </w:rPr>
              <w:t>点声源声功率级（</w:t>
            </w:r>
            <w:r>
              <w:rPr>
                <w:color w:val="auto"/>
                <w:sz w:val="24"/>
                <w:szCs w:val="24"/>
              </w:rPr>
              <w:t>A</w:t>
            </w:r>
            <w:r>
              <w:rPr>
                <w:rFonts w:hint="eastAsia"/>
                <w:color w:val="auto"/>
                <w:sz w:val="24"/>
                <w:szCs w:val="24"/>
              </w:rPr>
              <w:t>计权或倍频带），</w:t>
            </w:r>
            <w:r>
              <w:rPr>
                <w:color w:val="auto"/>
                <w:sz w:val="24"/>
                <w:szCs w:val="24"/>
              </w:rPr>
              <w:t>dB</w:t>
            </w:r>
            <w:r>
              <w:rPr>
                <w:rFonts w:hint="eastAsia"/>
                <w:color w:val="auto"/>
                <w:sz w:val="24"/>
                <w:szCs w:val="24"/>
              </w:rPr>
              <w:t>；</w:t>
            </w:r>
          </w:p>
          <w:p w14:paraId="48CD532D">
            <w:pPr>
              <w:spacing w:line="360" w:lineRule="auto"/>
              <w:ind w:firstLine="1200" w:firstLineChars="500"/>
              <w:rPr>
                <w:color w:val="auto"/>
                <w:sz w:val="24"/>
                <w:szCs w:val="24"/>
              </w:rPr>
            </w:pPr>
            <w:r>
              <w:rPr>
                <w:color w:val="auto"/>
                <w:sz w:val="24"/>
                <w:szCs w:val="24"/>
              </w:rPr>
              <w:t>Q——</w:t>
            </w:r>
            <w:r>
              <w:rPr>
                <w:rFonts w:hint="eastAsia"/>
                <w:color w:val="auto"/>
                <w:sz w:val="24"/>
                <w:szCs w:val="24"/>
              </w:rPr>
              <w:t>指向性因数；通常对无指向性声源，当声源放在房间中心时，</w:t>
            </w:r>
            <w:r>
              <w:rPr>
                <w:color w:val="auto"/>
                <w:sz w:val="24"/>
                <w:szCs w:val="24"/>
              </w:rPr>
              <w:t>Q=1</w:t>
            </w:r>
            <w:r>
              <w:rPr>
                <w:rFonts w:hint="eastAsia"/>
                <w:color w:val="auto"/>
                <w:sz w:val="24"/>
                <w:szCs w:val="24"/>
              </w:rPr>
              <w:t>；当放在一面墙的中心时，</w:t>
            </w:r>
            <w:r>
              <w:rPr>
                <w:color w:val="auto"/>
                <w:sz w:val="24"/>
                <w:szCs w:val="24"/>
              </w:rPr>
              <w:t>Q=2</w:t>
            </w:r>
            <w:r>
              <w:rPr>
                <w:rFonts w:hint="eastAsia"/>
                <w:color w:val="auto"/>
                <w:sz w:val="24"/>
                <w:szCs w:val="24"/>
              </w:rPr>
              <w:t>；当放在两面墙夹角处时，</w:t>
            </w:r>
            <w:r>
              <w:rPr>
                <w:color w:val="auto"/>
                <w:sz w:val="24"/>
                <w:szCs w:val="24"/>
              </w:rPr>
              <w:t>Q=4</w:t>
            </w:r>
            <w:r>
              <w:rPr>
                <w:rFonts w:hint="eastAsia"/>
                <w:color w:val="auto"/>
                <w:sz w:val="24"/>
                <w:szCs w:val="24"/>
              </w:rPr>
              <w:t>；当放在三面墙夹角处时，</w:t>
            </w:r>
            <w:r>
              <w:rPr>
                <w:color w:val="auto"/>
                <w:sz w:val="24"/>
                <w:szCs w:val="24"/>
              </w:rPr>
              <w:t>Q=8</w:t>
            </w:r>
            <w:r>
              <w:rPr>
                <w:rFonts w:hint="eastAsia"/>
                <w:color w:val="auto"/>
                <w:sz w:val="24"/>
                <w:szCs w:val="24"/>
              </w:rPr>
              <w:t xml:space="preserve">； </w:t>
            </w:r>
          </w:p>
          <w:p w14:paraId="07FCC8C8">
            <w:pPr>
              <w:spacing w:line="360" w:lineRule="auto"/>
              <w:ind w:firstLine="1200" w:firstLineChars="500"/>
              <w:rPr>
                <w:color w:val="auto"/>
                <w:sz w:val="24"/>
                <w:szCs w:val="24"/>
              </w:rPr>
            </w:pPr>
            <w:r>
              <w:rPr>
                <w:color w:val="auto"/>
                <w:sz w:val="24"/>
                <w:szCs w:val="24"/>
              </w:rPr>
              <w:t>R——</w:t>
            </w:r>
            <w:r>
              <w:rPr>
                <w:rFonts w:hint="eastAsia"/>
                <w:color w:val="auto"/>
                <w:sz w:val="24"/>
                <w:szCs w:val="24"/>
              </w:rPr>
              <w:t>房间常数；</w:t>
            </w:r>
            <w:r>
              <w:rPr>
                <w:color w:val="auto"/>
                <w:sz w:val="24"/>
                <w:szCs w:val="24"/>
              </w:rPr>
              <w:t>R</w:t>
            </w:r>
            <w:r>
              <w:rPr>
                <w:rFonts w:hint="eastAsia"/>
                <w:color w:val="auto"/>
                <w:sz w:val="24"/>
                <w:szCs w:val="24"/>
              </w:rPr>
              <w:t>=S</w:t>
            </w:r>
            <w:r>
              <w:rPr>
                <w:color w:val="auto"/>
                <w:sz w:val="24"/>
                <w:szCs w:val="24"/>
              </w:rPr>
              <w:t>α</w:t>
            </w:r>
            <w:r>
              <w:rPr>
                <w:rFonts w:hint="eastAsia"/>
                <w:color w:val="auto"/>
                <w:sz w:val="24"/>
                <w:szCs w:val="24"/>
              </w:rPr>
              <w:t>/（1-</w:t>
            </w:r>
            <w:r>
              <w:rPr>
                <w:color w:val="auto"/>
                <w:sz w:val="24"/>
                <w:szCs w:val="24"/>
              </w:rPr>
              <w:t>α</w:t>
            </w:r>
            <w:r>
              <w:rPr>
                <w:rFonts w:hint="eastAsia"/>
                <w:color w:val="auto"/>
                <w:sz w:val="24"/>
                <w:szCs w:val="24"/>
              </w:rPr>
              <w:t>），</w:t>
            </w:r>
            <w:r>
              <w:rPr>
                <w:color w:val="auto"/>
                <w:sz w:val="24"/>
                <w:szCs w:val="24"/>
              </w:rPr>
              <w:t>S</w:t>
            </w:r>
            <w:r>
              <w:rPr>
                <w:rFonts w:hint="eastAsia"/>
                <w:color w:val="auto"/>
                <w:sz w:val="24"/>
                <w:szCs w:val="24"/>
              </w:rPr>
              <w:t>为房间内表面面积，</w:t>
            </w:r>
            <w:r>
              <w:rPr>
                <w:color w:val="auto"/>
                <w:sz w:val="24"/>
                <w:szCs w:val="24"/>
              </w:rPr>
              <w:t>m</w:t>
            </w:r>
            <w:r>
              <w:rPr>
                <w:color w:val="auto"/>
                <w:sz w:val="24"/>
                <w:szCs w:val="24"/>
                <w:vertAlign w:val="superscript"/>
              </w:rPr>
              <w:t>2</w:t>
            </w:r>
            <w:r>
              <w:rPr>
                <w:rFonts w:hint="eastAsia"/>
                <w:color w:val="auto"/>
                <w:sz w:val="24"/>
                <w:szCs w:val="24"/>
              </w:rPr>
              <w:t>；</w:t>
            </w:r>
            <w:r>
              <w:rPr>
                <w:color w:val="auto"/>
                <w:sz w:val="24"/>
                <w:szCs w:val="24"/>
              </w:rPr>
              <w:t>α</w:t>
            </w:r>
            <w:r>
              <w:rPr>
                <w:rFonts w:hint="eastAsia"/>
                <w:color w:val="auto"/>
                <w:sz w:val="24"/>
                <w:szCs w:val="24"/>
              </w:rPr>
              <w:t>为平均吸声系数；</w:t>
            </w:r>
          </w:p>
          <w:p w14:paraId="07AF558F">
            <w:pPr>
              <w:spacing w:line="360" w:lineRule="auto"/>
              <w:ind w:firstLine="1200" w:firstLineChars="500"/>
              <w:rPr>
                <w:color w:val="auto"/>
                <w:sz w:val="24"/>
                <w:szCs w:val="24"/>
              </w:rPr>
            </w:pPr>
            <w:r>
              <w:rPr>
                <w:color w:val="auto"/>
                <w:sz w:val="24"/>
                <w:szCs w:val="24"/>
              </w:rPr>
              <w:t>r——</w:t>
            </w:r>
            <w:r>
              <w:rPr>
                <w:rFonts w:hint="eastAsia"/>
                <w:color w:val="auto"/>
                <w:sz w:val="24"/>
                <w:szCs w:val="24"/>
              </w:rPr>
              <w:t>声源到靠近围护结构某点处的距离，</w:t>
            </w:r>
            <w:r>
              <w:rPr>
                <w:color w:val="auto"/>
                <w:sz w:val="24"/>
                <w:szCs w:val="24"/>
              </w:rPr>
              <w:t>m</w:t>
            </w:r>
            <w:r>
              <w:rPr>
                <w:rFonts w:hint="eastAsia"/>
                <w:color w:val="auto"/>
                <w:sz w:val="24"/>
                <w:szCs w:val="24"/>
              </w:rPr>
              <w:t>。</w:t>
            </w:r>
          </w:p>
          <w:p w14:paraId="433FEE9C">
            <w:pPr>
              <w:spacing w:line="360" w:lineRule="auto"/>
              <w:ind w:firstLine="480" w:firstLineChars="200"/>
              <w:jc w:val="center"/>
              <w:rPr>
                <w:color w:val="auto"/>
                <w:sz w:val="24"/>
                <w:szCs w:val="24"/>
              </w:rPr>
            </w:pPr>
            <w:r>
              <w:rPr>
                <w:color w:val="auto"/>
                <w:sz w:val="24"/>
                <w:szCs w:val="24"/>
              </w:rPr>
              <w:drawing>
                <wp:inline distT="0" distB="0" distL="114300" distR="114300">
                  <wp:extent cx="1954530" cy="598170"/>
                  <wp:effectExtent l="0" t="0" r="7620" b="1143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1" cstate="print"/>
                          <a:stretch>
                            <a:fillRect/>
                          </a:stretch>
                        </pic:blipFill>
                        <pic:spPr>
                          <a:xfrm>
                            <a:off x="0" y="0"/>
                            <a:ext cx="1954530" cy="598170"/>
                          </a:xfrm>
                          <a:prstGeom prst="rect">
                            <a:avLst/>
                          </a:prstGeom>
                          <a:noFill/>
                          <a:ln>
                            <a:noFill/>
                          </a:ln>
                        </pic:spPr>
                      </pic:pic>
                    </a:graphicData>
                  </a:graphic>
                </wp:inline>
              </w:drawing>
            </w:r>
          </w:p>
          <w:p w14:paraId="6C720B90">
            <w:pPr>
              <w:spacing w:line="360" w:lineRule="auto"/>
              <w:ind w:firstLine="480" w:firstLineChars="200"/>
              <w:rPr>
                <w:color w:val="auto"/>
                <w:sz w:val="24"/>
                <w:szCs w:val="24"/>
              </w:rPr>
            </w:pPr>
            <w:r>
              <w:rPr>
                <w:rFonts w:hint="eastAsia"/>
                <w:color w:val="auto"/>
                <w:sz w:val="24"/>
                <w:szCs w:val="24"/>
              </w:rPr>
              <w:t>②所有室内声源在靠近围护结构处产生的总声压级</w:t>
            </w:r>
          </w:p>
          <w:p w14:paraId="3EC88C64">
            <w:pPr>
              <w:spacing w:line="360" w:lineRule="auto"/>
              <w:ind w:firstLine="480" w:firstLineChars="200"/>
              <w:rPr>
                <w:color w:val="auto"/>
                <w:sz w:val="24"/>
                <w:szCs w:val="24"/>
              </w:rPr>
            </w:pPr>
            <w:r>
              <w:rPr>
                <w:color w:val="auto"/>
                <w:sz w:val="24"/>
                <w:szCs w:val="24"/>
              </w:rPr>
              <w:t>式中：L</w:t>
            </w:r>
            <w:r>
              <w:rPr>
                <w:color w:val="auto"/>
                <w:sz w:val="24"/>
                <w:szCs w:val="24"/>
                <w:vertAlign w:val="subscript"/>
              </w:rPr>
              <w:t>p1i</w:t>
            </w:r>
            <w:r>
              <w:rPr>
                <w:rFonts w:hint="eastAsia"/>
                <w:color w:val="auto"/>
                <w:sz w:val="24"/>
                <w:szCs w:val="24"/>
                <w:lang w:val="en-US" w:eastAsia="zh-CN"/>
              </w:rPr>
              <w:t>(</w:t>
            </w:r>
            <w:r>
              <w:rPr>
                <w:color w:val="auto"/>
                <w:sz w:val="24"/>
                <w:szCs w:val="24"/>
              </w:rPr>
              <w:t>T</w:t>
            </w:r>
            <w:r>
              <w:rPr>
                <w:rFonts w:hint="eastAsia"/>
                <w:color w:val="auto"/>
                <w:sz w:val="24"/>
                <w:szCs w:val="24"/>
                <w:lang w:val="en-US" w:eastAsia="zh-CN"/>
              </w:rPr>
              <w:t>)</w:t>
            </w:r>
            <w:r>
              <w:rPr>
                <w:color w:val="auto"/>
                <w:sz w:val="24"/>
                <w:szCs w:val="24"/>
              </w:rPr>
              <w:t>——</w:t>
            </w:r>
            <w:r>
              <w:rPr>
                <w:rFonts w:hint="eastAsia"/>
                <w:color w:val="auto"/>
                <w:sz w:val="24"/>
                <w:szCs w:val="24"/>
              </w:rPr>
              <w:t>靠近围护结构处室内</w:t>
            </w:r>
            <w:r>
              <w:rPr>
                <w:color w:val="auto"/>
                <w:sz w:val="24"/>
                <w:szCs w:val="24"/>
              </w:rPr>
              <w:t>N</w:t>
            </w:r>
            <w:r>
              <w:rPr>
                <w:rFonts w:hint="eastAsia"/>
                <w:color w:val="auto"/>
                <w:sz w:val="24"/>
                <w:szCs w:val="24"/>
              </w:rPr>
              <w:t>个声源</w:t>
            </w:r>
            <w:r>
              <w:rPr>
                <w:color w:val="auto"/>
                <w:sz w:val="24"/>
                <w:szCs w:val="24"/>
              </w:rPr>
              <w:t>i</w:t>
            </w:r>
            <w:r>
              <w:rPr>
                <w:rFonts w:hint="eastAsia"/>
                <w:color w:val="auto"/>
                <w:sz w:val="24"/>
                <w:szCs w:val="24"/>
              </w:rPr>
              <w:t>倍频带的叠加声压级，</w:t>
            </w:r>
            <w:r>
              <w:rPr>
                <w:color w:val="auto"/>
                <w:sz w:val="24"/>
                <w:szCs w:val="24"/>
              </w:rPr>
              <w:t>dB</w:t>
            </w:r>
            <w:r>
              <w:rPr>
                <w:rFonts w:hint="eastAsia"/>
                <w:color w:val="auto"/>
                <w:sz w:val="24"/>
                <w:szCs w:val="24"/>
              </w:rPr>
              <w:t>；</w:t>
            </w:r>
          </w:p>
          <w:p w14:paraId="2EBEB803">
            <w:pPr>
              <w:spacing w:line="360" w:lineRule="auto"/>
              <w:ind w:firstLine="1200" w:firstLineChars="500"/>
              <w:rPr>
                <w:color w:val="auto"/>
                <w:sz w:val="24"/>
                <w:szCs w:val="24"/>
              </w:rPr>
            </w:pPr>
            <w:r>
              <w:rPr>
                <w:color w:val="auto"/>
                <w:sz w:val="24"/>
                <w:szCs w:val="24"/>
              </w:rPr>
              <w:t>L</w:t>
            </w:r>
            <w:r>
              <w:rPr>
                <w:color w:val="auto"/>
                <w:sz w:val="24"/>
                <w:szCs w:val="24"/>
                <w:vertAlign w:val="subscript"/>
              </w:rPr>
              <w:t>p1ij</w:t>
            </w:r>
            <w:r>
              <w:rPr>
                <w:color w:val="auto"/>
                <w:sz w:val="24"/>
                <w:szCs w:val="24"/>
              </w:rPr>
              <w:t>——</w:t>
            </w:r>
            <w:r>
              <w:rPr>
                <w:rFonts w:hint="eastAsia"/>
                <w:color w:val="auto"/>
                <w:sz w:val="24"/>
                <w:szCs w:val="24"/>
              </w:rPr>
              <w:t>室内</w:t>
            </w:r>
            <w:r>
              <w:rPr>
                <w:color w:val="auto"/>
                <w:sz w:val="24"/>
                <w:szCs w:val="24"/>
              </w:rPr>
              <w:t>j</w:t>
            </w:r>
            <w:r>
              <w:rPr>
                <w:rFonts w:hint="eastAsia"/>
                <w:color w:val="auto"/>
                <w:sz w:val="24"/>
                <w:szCs w:val="24"/>
              </w:rPr>
              <w:t>声源</w:t>
            </w:r>
            <w:r>
              <w:rPr>
                <w:color w:val="auto"/>
                <w:sz w:val="24"/>
                <w:szCs w:val="24"/>
              </w:rPr>
              <w:t>i</w:t>
            </w:r>
            <w:r>
              <w:rPr>
                <w:rFonts w:hint="eastAsia"/>
                <w:color w:val="auto"/>
                <w:sz w:val="24"/>
                <w:szCs w:val="24"/>
              </w:rPr>
              <w:t>倍频带的声压级，</w:t>
            </w:r>
            <w:r>
              <w:rPr>
                <w:color w:val="auto"/>
                <w:sz w:val="24"/>
                <w:szCs w:val="24"/>
              </w:rPr>
              <w:t>dB</w:t>
            </w:r>
            <w:r>
              <w:rPr>
                <w:rFonts w:hint="eastAsia"/>
                <w:color w:val="auto"/>
                <w:sz w:val="24"/>
                <w:szCs w:val="24"/>
              </w:rPr>
              <w:t>；</w:t>
            </w:r>
          </w:p>
          <w:p w14:paraId="65A62334">
            <w:pPr>
              <w:spacing w:line="360" w:lineRule="auto"/>
              <w:ind w:firstLine="1200" w:firstLineChars="500"/>
              <w:rPr>
                <w:color w:val="auto"/>
                <w:sz w:val="24"/>
                <w:szCs w:val="24"/>
              </w:rPr>
            </w:pPr>
            <w:r>
              <w:rPr>
                <w:color w:val="auto"/>
                <w:sz w:val="24"/>
                <w:szCs w:val="24"/>
              </w:rPr>
              <w:t>N——</w:t>
            </w:r>
            <w:r>
              <w:rPr>
                <w:rFonts w:hint="eastAsia"/>
                <w:color w:val="auto"/>
                <w:sz w:val="24"/>
                <w:szCs w:val="24"/>
              </w:rPr>
              <w:t xml:space="preserve">室内声源总数。 </w:t>
            </w:r>
          </w:p>
          <w:p w14:paraId="5F1CA0BC">
            <w:pPr>
              <w:spacing w:line="360" w:lineRule="auto"/>
              <w:ind w:firstLine="480" w:firstLineChars="200"/>
              <w:jc w:val="center"/>
              <w:rPr>
                <w:color w:val="auto"/>
                <w:sz w:val="24"/>
                <w:szCs w:val="24"/>
              </w:rPr>
            </w:pPr>
            <w:r>
              <w:rPr>
                <w:color w:val="auto"/>
                <w:sz w:val="24"/>
                <w:szCs w:val="24"/>
              </w:rPr>
              <w:drawing>
                <wp:inline distT="0" distB="0" distL="114300" distR="114300">
                  <wp:extent cx="1922145" cy="403225"/>
                  <wp:effectExtent l="0" t="0" r="1905" b="1587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2" cstate="print"/>
                          <a:stretch>
                            <a:fillRect/>
                          </a:stretch>
                        </pic:blipFill>
                        <pic:spPr>
                          <a:xfrm>
                            <a:off x="0" y="0"/>
                            <a:ext cx="1922145" cy="403225"/>
                          </a:xfrm>
                          <a:prstGeom prst="rect">
                            <a:avLst/>
                          </a:prstGeom>
                          <a:noFill/>
                          <a:ln>
                            <a:noFill/>
                          </a:ln>
                        </pic:spPr>
                      </pic:pic>
                    </a:graphicData>
                  </a:graphic>
                </wp:inline>
              </w:drawing>
            </w:r>
          </w:p>
          <w:p w14:paraId="31A1731C">
            <w:pPr>
              <w:spacing w:line="360" w:lineRule="auto"/>
              <w:ind w:firstLine="480" w:firstLineChars="200"/>
              <w:rPr>
                <w:color w:val="auto"/>
                <w:sz w:val="24"/>
                <w:szCs w:val="24"/>
              </w:rPr>
            </w:pPr>
            <w:r>
              <w:rPr>
                <w:rFonts w:hint="eastAsia"/>
                <w:color w:val="auto"/>
                <w:sz w:val="24"/>
                <w:szCs w:val="24"/>
              </w:rPr>
              <w:t xml:space="preserve">③在室外靠近围护结构处产生的声压级 </w:t>
            </w:r>
          </w:p>
          <w:p w14:paraId="01DEEA7F">
            <w:pPr>
              <w:spacing w:line="360" w:lineRule="auto"/>
              <w:ind w:firstLine="480" w:firstLineChars="200"/>
              <w:rPr>
                <w:color w:val="auto"/>
                <w:sz w:val="24"/>
                <w:szCs w:val="24"/>
              </w:rPr>
            </w:pPr>
            <w:r>
              <w:rPr>
                <w:rFonts w:hint="eastAsia"/>
                <w:color w:val="auto"/>
                <w:sz w:val="24"/>
                <w:szCs w:val="24"/>
              </w:rPr>
              <w:t>式中：</w:t>
            </w:r>
            <w:r>
              <w:rPr>
                <w:color w:val="auto"/>
                <w:sz w:val="24"/>
                <w:szCs w:val="24"/>
              </w:rPr>
              <w:t>L</w:t>
            </w:r>
            <w:r>
              <w:rPr>
                <w:color w:val="auto"/>
                <w:sz w:val="24"/>
                <w:szCs w:val="24"/>
                <w:vertAlign w:val="subscript"/>
              </w:rPr>
              <w:t>p2i</w:t>
            </w:r>
            <w:r>
              <w:rPr>
                <w:color w:val="auto"/>
                <w:sz w:val="24"/>
                <w:szCs w:val="24"/>
              </w:rPr>
              <w:t>(T)——</w:t>
            </w:r>
            <w:r>
              <w:rPr>
                <w:rFonts w:hint="eastAsia"/>
                <w:color w:val="auto"/>
                <w:sz w:val="24"/>
                <w:szCs w:val="24"/>
              </w:rPr>
              <w:t>靠近围护结构处室外</w:t>
            </w:r>
            <w:r>
              <w:rPr>
                <w:color w:val="auto"/>
                <w:sz w:val="24"/>
                <w:szCs w:val="24"/>
              </w:rPr>
              <w:t>N</w:t>
            </w:r>
            <w:r>
              <w:rPr>
                <w:rFonts w:hint="eastAsia"/>
                <w:color w:val="auto"/>
                <w:sz w:val="24"/>
                <w:szCs w:val="24"/>
              </w:rPr>
              <w:t>个声源</w:t>
            </w:r>
            <w:r>
              <w:rPr>
                <w:color w:val="auto"/>
                <w:sz w:val="24"/>
                <w:szCs w:val="24"/>
              </w:rPr>
              <w:t>i</w:t>
            </w:r>
            <w:r>
              <w:rPr>
                <w:rFonts w:hint="eastAsia"/>
                <w:color w:val="auto"/>
                <w:sz w:val="24"/>
                <w:szCs w:val="24"/>
              </w:rPr>
              <w:t>倍频带的叠加声压级，</w:t>
            </w:r>
            <w:r>
              <w:rPr>
                <w:color w:val="auto"/>
                <w:sz w:val="24"/>
                <w:szCs w:val="24"/>
              </w:rPr>
              <w:t>dB</w:t>
            </w:r>
            <w:r>
              <w:rPr>
                <w:rFonts w:hint="eastAsia"/>
                <w:color w:val="auto"/>
                <w:sz w:val="24"/>
                <w:szCs w:val="24"/>
              </w:rPr>
              <w:t>；</w:t>
            </w:r>
          </w:p>
          <w:p w14:paraId="5FD6BFEF">
            <w:pPr>
              <w:spacing w:line="360" w:lineRule="auto"/>
              <w:ind w:firstLine="1200" w:firstLineChars="500"/>
              <w:rPr>
                <w:color w:val="auto"/>
                <w:sz w:val="24"/>
                <w:szCs w:val="24"/>
              </w:rPr>
            </w:pPr>
            <w:r>
              <w:rPr>
                <w:color w:val="auto"/>
                <w:sz w:val="24"/>
                <w:szCs w:val="24"/>
              </w:rPr>
              <w:t>L</w:t>
            </w:r>
            <w:r>
              <w:rPr>
                <w:color w:val="auto"/>
                <w:sz w:val="24"/>
                <w:szCs w:val="24"/>
                <w:vertAlign w:val="subscript"/>
              </w:rPr>
              <w:t>p1i</w:t>
            </w:r>
            <w:r>
              <w:rPr>
                <w:color w:val="auto"/>
                <w:sz w:val="24"/>
                <w:szCs w:val="24"/>
              </w:rPr>
              <w:t>(T)——</w:t>
            </w:r>
            <w:r>
              <w:rPr>
                <w:rFonts w:hint="eastAsia"/>
                <w:color w:val="auto"/>
                <w:sz w:val="24"/>
                <w:szCs w:val="24"/>
              </w:rPr>
              <w:t>靠近围护结构处室内</w:t>
            </w:r>
            <w:r>
              <w:rPr>
                <w:color w:val="auto"/>
                <w:sz w:val="24"/>
                <w:szCs w:val="24"/>
              </w:rPr>
              <w:t>N</w:t>
            </w:r>
            <w:r>
              <w:rPr>
                <w:rFonts w:hint="eastAsia"/>
                <w:color w:val="auto"/>
                <w:sz w:val="24"/>
                <w:szCs w:val="24"/>
              </w:rPr>
              <w:t>个声源</w:t>
            </w:r>
            <w:r>
              <w:rPr>
                <w:color w:val="auto"/>
                <w:sz w:val="24"/>
                <w:szCs w:val="24"/>
              </w:rPr>
              <w:t>i</w:t>
            </w:r>
            <w:r>
              <w:rPr>
                <w:rFonts w:hint="eastAsia"/>
                <w:color w:val="auto"/>
                <w:sz w:val="24"/>
                <w:szCs w:val="24"/>
              </w:rPr>
              <w:t>倍频带的叠加声压级，</w:t>
            </w:r>
            <w:r>
              <w:rPr>
                <w:color w:val="auto"/>
                <w:sz w:val="24"/>
                <w:szCs w:val="24"/>
              </w:rPr>
              <w:t>dB</w:t>
            </w:r>
          </w:p>
          <w:p w14:paraId="4C8E1DB3">
            <w:pPr>
              <w:spacing w:line="360" w:lineRule="auto"/>
              <w:ind w:firstLine="1200" w:firstLineChars="500"/>
              <w:rPr>
                <w:color w:val="auto"/>
                <w:sz w:val="24"/>
                <w:szCs w:val="24"/>
              </w:rPr>
            </w:pPr>
            <w:r>
              <w:rPr>
                <w:color w:val="auto"/>
                <w:sz w:val="24"/>
                <w:szCs w:val="24"/>
              </w:rPr>
              <w:t>T</w:t>
            </w:r>
            <w:r>
              <w:rPr>
                <w:color w:val="auto"/>
                <w:sz w:val="24"/>
                <w:szCs w:val="24"/>
                <w:vertAlign w:val="subscript"/>
              </w:rPr>
              <w:t>Li</w:t>
            </w:r>
            <w:r>
              <w:rPr>
                <w:color w:val="auto"/>
                <w:sz w:val="24"/>
                <w:szCs w:val="24"/>
              </w:rPr>
              <w:t>——</w:t>
            </w:r>
            <w:r>
              <w:rPr>
                <w:rFonts w:hint="eastAsia"/>
                <w:color w:val="auto"/>
                <w:sz w:val="24"/>
                <w:szCs w:val="24"/>
              </w:rPr>
              <w:t>围护结构</w:t>
            </w:r>
            <w:r>
              <w:rPr>
                <w:color w:val="auto"/>
                <w:sz w:val="24"/>
                <w:szCs w:val="24"/>
              </w:rPr>
              <w:t>i</w:t>
            </w:r>
            <w:r>
              <w:rPr>
                <w:rFonts w:hint="eastAsia"/>
                <w:color w:val="auto"/>
                <w:sz w:val="24"/>
                <w:szCs w:val="24"/>
              </w:rPr>
              <w:t>倍频带的隔声量，</w:t>
            </w:r>
            <w:r>
              <w:rPr>
                <w:color w:val="auto"/>
                <w:sz w:val="24"/>
                <w:szCs w:val="24"/>
              </w:rPr>
              <w:t>dB</w:t>
            </w:r>
            <w:r>
              <w:rPr>
                <w:rFonts w:hint="eastAsia"/>
                <w:color w:val="auto"/>
                <w:sz w:val="24"/>
                <w:szCs w:val="24"/>
              </w:rPr>
              <w:t>。</w:t>
            </w:r>
          </w:p>
          <w:p w14:paraId="03163FC3">
            <w:pPr>
              <w:spacing w:line="360" w:lineRule="auto"/>
              <w:ind w:firstLine="480" w:firstLineChars="200"/>
              <w:rPr>
                <w:color w:val="auto"/>
                <w:sz w:val="24"/>
                <w:szCs w:val="24"/>
              </w:rPr>
            </w:pPr>
            <w:r>
              <w:rPr>
                <w:color w:val="auto"/>
                <w:sz w:val="24"/>
                <w:szCs w:val="24"/>
              </w:rPr>
              <w:t xml:space="preserve">④等效室外声级 </w:t>
            </w:r>
          </w:p>
          <w:p w14:paraId="6B1351EA">
            <w:pPr>
              <w:spacing w:line="360" w:lineRule="auto"/>
              <w:ind w:firstLine="480" w:firstLineChars="200"/>
              <w:jc w:val="center"/>
              <w:rPr>
                <w:color w:val="auto"/>
                <w:sz w:val="24"/>
                <w:szCs w:val="24"/>
              </w:rPr>
            </w:pPr>
            <w:r>
              <w:rPr>
                <w:color w:val="auto"/>
                <w:sz w:val="24"/>
                <w:szCs w:val="24"/>
              </w:rPr>
              <w:drawing>
                <wp:inline distT="0" distB="0" distL="114300" distR="114300">
                  <wp:extent cx="1503045" cy="347980"/>
                  <wp:effectExtent l="0" t="0" r="1905" b="1397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23" cstate="print"/>
                          <a:stretch>
                            <a:fillRect/>
                          </a:stretch>
                        </pic:blipFill>
                        <pic:spPr>
                          <a:xfrm>
                            <a:off x="0" y="0"/>
                            <a:ext cx="1503045" cy="347980"/>
                          </a:xfrm>
                          <a:prstGeom prst="rect">
                            <a:avLst/>
                          </a:prstGeom>
                          <a:noFill/>
                          <a:ln>
                            <a:noFill/>
                          </a:ln>
                        </pic:spPr>
                      </pic:pic>
                    </a:graphicData>
                  </a:graphic>
                </wp:inline>
              </w:drawing>
            </w:r>
          </w:p>
          <w:p w14:paraId="0798C641">
            <w:pPr>
              <w:spacing w:line="360" w:lineRule="auto"/>
              <w:ind w:firstLine="480" w:firstLineChars="200"/>
              <w:rPr>
                <w:color w:val="auto"/>
                <w:sz w:val="24"/>
                <w:szCs w:val="24"/>
              </w:rPr>
            </w:pPr>
            <w:r>
              <w:rPr>
                <w:color w:val="auto"/>
                <w:sz w:val="24"/>
                <w:szCs w:val="24"/>
              </w:rPr>
              <w:t xml:space="preserve">将室外声源的声压级和透过面积换算成等效的室外声源，计算出中心位置位于透声面积（S）处的等效声源的倍频带声功率级。 </w:t>
            </w:r>
          </w:p>
          <w:p w14:paraId="7E43C3F5">
            <w:pPr>
              <w:spacing w:line="360" w:lineRule="auto"/>
              <w:ind w:firstLine="480" w:firstLineChars="200"/>
              <w:rPr>
                <w:color w:val="auto"/>
                <w:sz w:val="24"/>
                <w:szCs w:val="24"/>
              </w:rPr>
            </w:pPr>
            <w:r>
              <w:rPr>
                <w:color w:val="auto"/>
                <w:sz w:val="24"/>
                <w:szCs w:val="24"/>
              </w:rPr>
              <w:t>式中：L</w:t>
            </w:r>
            <w:r>
              <w:rPr>
                <w:color w:val="auto"/>
                <w:sz w:val="24"/>
                <w:szCs w:val="24"/>
                <w:vertAlign w:val="subscript"/>
              </w:rPr>
              <w:t>w</w:t>
            </w:r>
            <w:r>
              <w:rPr>
                <w:color w:val="auto"/>
                <w:sz w:val="24"/>
                <w:szCs w:val="24"/>
              </w:rPr>
              <w:t>——中心位置位于透声面积</w:t>
            </w:r>
            <w:r>
              <w:rPr>
                <w:rFonts w:hint="eastAsia"/>
                <w:color w:val="auto"/>
                <w:sz w:val="24"/>
                <w:szCs w:val="24"/>
                <w:lang w:val="en-US" w:eastAsia="zh-CN"/>
              </w:rPr>
              <w:t>(</w:t>
            </w:r>
            <w:r>
              <w:rPr>
                <w:color w:val="auto"/>
                <w:sz w:val="24"/>
                <w:szCs w:val="24"/>
              </w:rPr>
              <w:t>S</w:t>
            </w:r>
            <w:r>
              <w:rPr>
                <w:rFonts w:hint="eastAsia"/>
                <w:color w:val="auto"/>
                <w:sz w:val="24"/>
                <w:szCs w:val="24"/>
                <w:lang w:val="en-US" w:eastAsia="zh-CN"/>
              </w:rPr>
              <w:t>)</w:t>
            </w:r>
            <w:r>
              <w:rPr>
                <w:color w:val="auto"/>
                <w:sz w:val="24"/>
                <w:szCs w:val="24"/>
              </w:rPr>
              <w:t>处的等效声源的倍频带声功率级，dB；</w:t>
            </w:r>
          </w:p>
          <w:p w14:paraId="08C18A63">
            <w:pPr>
              <w:spacing w:line="360" w:lineRule="auto"/>
              <w:ind w:firstLine="1200" w:firstLineChars="500"/>
              <w:rPr>
                <w:color w:val="auto"/>
                <w:sz w:val="24"/>
                <w:szCs w:val="24"/>
              </w:rPr>
            </w:pPr>
            <w:r>
              <w:rPr>
                <w:color w:val="auto"/>
                <w:sz w:val="24"/>
                <w:szCs w:val="24"/>
              </w:rPr>
              <w:t>L</w:t>
            </w:r>
            <w:r>
              <w:rPr>
                <w:color w:val="auto"/>
                <w:sz w:val="24"/>
                <w:szCs w:val="24"/>
                <w:vertAlign w:val="subscript"/>
              </w:rPr>
              <w:t>p2</w:t>
            </w:r>
            <w:r>
              <w:rPr>
                <w:color w:val="auto"/>
                <w:sz w:val="24"/>
                <w:szCs w:val="24"/>
              </w:rPr>
              <w:t>(T)——靠近围护结构处室外声源的声压级，dB；</w:t>
            </w:r>
          </w:p>
          <w:p w14:paraId="03E6BF86">
            <w:pPr>
              <w:spacing w:line="360" w:lineRule="auto"/>
              <w:ind w:firstLine="1200" w:firstLineChars="500"/>
              <w:rPr>
                <w:color w:val="auto"/>
                <w:sz w:val="24"/>
                <w:szCs w:val="24"/>
              </w:rPr>
            </w:pPr>
            <w:r>
              <w:rPr>
                <w:color w:val="auto"/>
                <w:sz w:val="24"/>
                <w:szCs w:val="24"/>
              </w:rPr>
              <w:t>S——透声面积，m</w:t>
            </w:r>
            <w:r>
              <w:rPr>
                <w:color w:val="auto"/>
                <w:sz w:val="24"/>
                <w:szCs w:val="24"/>
                <w:vertAlign w:val="superscript"/>
              </w:rPr>
              <w:t>2</w:t>
            </w:r>
            <w:r>
              <w:rPr>
                <w:color w:val="auto"/>
                <w:sz w:val="24"/>
                <w:szCs w:val="24"/>
              </w:rPr>
              <w:t>。</w:t>
            </w:r>
          </w:p>
          <w:p w14:paraId="464E3D10">
            <w:pPr>
              <w:pStyle w:val="10"/>
              <w:spacing w:line="360" w:lineRule="auto"/>
              <w:rPr>
                <w:color w:val="auto"/>
                <w:sz w:val="24"/>
                <w:szCs w:val="24"/>
              </w:rPr>
            </w:pPr>
            <w:r>
              <w:rPr>
                <w:color w:val="auto"/>
                <w:sz w:val="24"/>
                <w:szCs w:val="24"/>
              </w:rPr>
              <w:t>2）工业企业噪声计算</w:t>
            </w:r>
          </w:p>
          <w:p w14:paraId="4289704B">
            <w:pPr>
              <w:spacing w:line="360" w:lineRule="auto"/>
              <w:ind w:firstLine="480" w:firstLineChars="200"/>
              <w:rPr>
                <w:color w:val="auto"/>
                <w:sz w:val="24"/>
                <w:szCs w:val="24"/>
              </w:rPr>
            </w:pPr>
            <w:r>
              <w:rPr>
                <w:color w:val="auto"/>
                <w:sz w:val="24"/>
                <w:szCs w:val="24"/>
              </w:rPr>
              <w:t>设第i个室外声源在预测点产生的A声级为L</w:t>
            </w:r>
            <w:r>
              <w:rPr>
                <w:color w:val="auto"/>
                <w:sz w:val="24"/>
                <w:szCs w:val="24"/>
                <w:vertAlign w:val="subscript"/>
              </w:rPr>
              <w:t>Ai</w:t>
            </w:r>
            <w:r>
              <w:rPr>
                <w:color w:val="auto"/>
                <w:sz w:val="24"/>
                <w:szCs w:val="24"/>
              </w:rPr>
              <w:t>，在T时间内该声源工作时间为ti；第j个等效室外声源在预测点产生的A声级为L</w:t>
            </w:r>
            <w:r>
              <w:rPr>
                <w:color w:val="auto"/>
                <w:sz w:val="24"/>
                <w:szCs w:val="24"/>
                <w:vertAlign w:val="subscript"/>
              </w:rPr>
              <w:t>Aj</w:t>
            </w:r>
            <w:r>
              <w:rPr>
                <w:color w:val="auto"/>
                <w:sz w:val="24"/>
                <w:szCs w:val="24"/>
              </w:rPr>
              <w:t>，在T时间内该声源工作时间为tj，则拟建工程声源对预测点产生的贡献值（L</w:t>
            </w:r>
            <w:r>
              <w:rPr>
                <w:color w:val="auto"/>
                <w:sz w:val="24"/>
                <w:szCs w:val="24"/>
                <w:vertAlign w:val="subscript"/>
              </w:rPr>
              <w:t>eqg</w:t>
            </w:r>
            <w:r>
              <w:rPr>
                <w:color w:val="auto"/>
                <w:sz w:val="24"/>
                <w:szCs w:val="24"/>
              </w:rPr>
              <w:t>）为：</w:t>
            </w:r>
          </w:p>
          <w:p w14:paraId="2DA5D326">
            <w:pPr>
              <w:spacing w:line="360" w:lineRule="auto"/>
              <w:ind w:firstLine="480" w:firstLineChars="200"/>
              <w:jc w:val="center"/>
              <w:rPr>
                <w:color w:val="auto"/>
                <w:sz w:val="24"/>
                <w:szCs w:val="24"/>
              </w:rPr>
            </w:pPr>
            <w:r>
              <w:rPr>
                <w:color w:val="auto"/>
                <w:sz w:val="24"/>
                <w:szCs w:val="24"/>
              </w:rPr>
              <w:drawing>
                <wp:inline distT="0" distB="0" distL="114300" distR="114300">
                  <wp:extent cx="2861310" cy="609600"/>
                  <wp:effectExtent l="0" t="0" r="1524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24" cstate="print"/>
                          <a:stretch>
                            <a:fillRect/>
                          </a:stretch>
                        </pic:blipFill>
                        <pic:spPr>
                          <a:xfrm>
                            <a:off x="0" y="0"/>
                            <a:ext cx="2861310" cy="609600"/>
                          </a:xfrm>
                          <a:prstGeom prst="rect">
                            <a:avLst/>
                          </a:prstGeom>
                          <a:noFill/>
                          <a:ln>
                            <a:noFill/>
                          </a:ln>
                        </pic:spPr>
                      </pic:pic>
                    </a:graphicData>
                  </a:graphic>
                </wp:inline>
              </w:drawing>
            </w:r>
          </w:p>
          <w:p w14:paraId="40AD2411">
            <w:pPr>
              <w:spacing w:line="360" w:lineRule="auto"/>
              <w:ind w:firstLine="480" w:firstLineChars="200"/>
              <w:rPr>
                <w:color w:val="auto"/>
                <w:sz w:val="24"/>
                <w:szCs w:val="24"/>
              </w:rPr>
            </w:pPr>
            <w:r>
              <w:rPr>
                <w:rFonts w:hint="eastAsia"/>
                <w:color w:val="auto"/>
                <w:sz w:val="24"/>
                <w:szCs w:val="24"/>
              </w:rPr>
              <w:t>式中：</w:t>
            </w:r>
            <w:r>
              <w:rPr>
                <w:color w:val="auto"/>
                <w:sz w:val="24"/>
                <w:szCs w:val="24"/>
              </w:rPr>
              <w:t>L</w:t>
            </w:r>
            <w:r>
              <w:rPr>
                <w:color w:val="auto"/>
                <w:sz w:val="24"/>
                <w:szCs w:val="24"/>
                <w:vertAlign w:val="subscript"/>
              </w:rPr>
              <w:t>eqg</w:t>
            </w:r>
            <w:r>
              <w:rPr>
                <w:color w:val="auto"/>
                <w:sz w:val="24"/>
                <w:szCs w:val="24"/>
              </w:rPr>
              <w:t>——</w:t>
            </w:r>
            <w:r>
              <w:rPr>
                <w:rFonts w:hint="eastAsia"/>
                <w:color w:val="auto"/>
                <w:sz w:val="24"/>
                <w:szCs w:val="24"/>
              </w:rPr>
              <w:t>建设项目声源在预测点产生的噪声贡献值，</w:t>
            </w:r>
            <w:r>
              <w:rPr>
                <w:color w:val="auto"/>
                <w:sz w:val="24"/>
                <w:szCs w:val="24"/>
              </w:rPr>
              <w:t>dB</w:t>
            </w:r>
            <w:r>
              <w:rPr>
                <w:rFonts w:hint="eastAsia"/>
                <w:color w:val="auto"/>
                <w:sz w:val="24"/>
                <w:szCs w:val="24"/>
              </w:rPr>
              <w:t>；</w:t>
            </w:r>
          </w:p>
          <w:p w14:paraId="4D4D804F">
            <w:pPr>
              <w:spacing w:line="360" w:lineRule="auto"/>
              <w:ind w:firstLine="1200" w:firstLineChars="500"/>
              <w:rPr>
                <w:color w:val="auto"/>
                <w:sz w:val="24"/>
                <w:szCs w:val="24"/>
              </w:rPr>
            </w:pPr>
            <w:r>
              <w:rPr>
                <w:color w:val="auto"/>
                <w:sz w:val="24"/>
                <w:szCs w:val="24"/>
              </w:rPr>
              <w:t>T——</w:t>
            </w:r>
            <w:r>
              <w:rPr>
                <w:rFonts w:hint="eastAsia"/>
                <w:color w:val="auto"/>
                <w:sz w:val="24"/>
                <w:szCs w:val="24"/>
              </w:rPr>
              <w:t>用于计算等效声级的时间，</w:t>
            </w:r>
            <w:r>
              <w:rPr>
                <w:color w:val="auto"/>
                <w:sz w:val="24"/>
                <w:szCs w:val="24"/>
              </w:rPr>
              <w:t>s</w:t>
            </w:r>
            <w:r>
              <w:rPr>
                <w:rFonts w:hint="eastAsia"/>
                <w:color w:val="auto"/>
                <w:sz w:val="24"/>
                <w:szCs w:val="24"/>
              </w:rPr>
              <w:t>；</w:t>
            </w:r>
          </w:p>
          <w:p w14:paraId="31403243">
            <w:pPr>
              <w:spacing w:line="360" w:lineRule="auto"/>
              <w:ind w:firstLine="1200" w:firstLineChars="500"/>
              <w:rPr>
                <w:color w:val="auto"/>
                <w:sz w:val="24"/>
                <w:szCs w:val="24"/>
              </w:rPr>
            </w:pPr>
            <w:r>
              <w:rPr>
                <w:color w:val="auto"/>
                <w:sz w:val="24"/>
                <w:szCs w:val="24"/>
              </w:rPr>
              <w:t>N——</w:t>
            </w:r>
            <w:r>
              <w:rPr>
                <w:rFonts w:hint="eastAsia"/>
                <w:color w:val="auto"/>
                <w:sz w:val="24"/>
                <w:szCs w:val="24"/>
              </w:rPr>
              <w:t>室外声源个数；</w:t>
            </w:r>
          </w:p>
          <w:p w14:paraId="06D50CD5">
            <w:pPr>
              <w:spacing w:line="360" w:lineRule="auto"/>
              <w:ind w:firstLine="1200" w:firstLineChars="500"/>
              <w:rPr>
                <w:color w:val="auto"/>
                <w:sz w:val="24"/>
                <w:szCs w:val="24"/>
              </w:rPr>
            </w:pPr>
            <w:r>
              <w:rPr>
                <w:color w:val="auto"/>
                <w:sz w:val="24"/>
                <w:szCs w:val="24"/>
              </w:rPr>
              <w:t>t</w:t>
            </w:r>
            <w:r>
              <w:rPr>
                <w:color w:val="auto"/>
                <w:sz w:val="24"/>
                <w:szCs w:val="24"/>
                <w:vertAlign w:val="subscript"/>
              </w:rPr>
              <w:t>i</w:t>
            </w:r>
            <w:r>
              <w:rPr>
                <w:color w:val="auto"/>
                <w:sz w:val="24"/>
                <w:szCs w:val="24"/>
              </w:rPr>
              <w:t>——</w:t>
            </w:r>
            <w:r>
              <w:rPr>
                <w:rFonts w:hint="eastAsia"/>
                <w:color w:val="auto"/>
                <w:sz w:val="24"/>
                <w:szCs w:val="24"/>
              </w:rPr>
              <w:t>在</w:t>
            </w:r>
            <w:r>
              <w:rPr>
                <w:color w:val="auto"/>
                <w:sz w:val="24"/>
                <w:szCs w:val="24"/>
              </w:rPr>
              <w:t>T</w:t>
            </w:r>
            <w:r>
              <w:rPr>
                <w:rFonts w:hint="eastAsia"/>
                <w:color w:val="auto"/>
                <w:sz w:val="24"/>
                <w:szCs w:val="24"/>
              </w:rPr>
              <w:t>时间内</w:t>
            </w:r>
            <w:r>
              <w:rPr>
                <w:color w:val="auto"/>
                <w:sz w:val="24"/>
                <w:szCs w:val="24"/>
              </w:rPr>
              <w:t>i</w:t>
            </w:r>
            <w:r>
              <w:rPr>
                <w:rFonts w:hint="eastAsia"/>
                <w:color w:val="auto"/>
                <w:sz w:val="24"/>
                <w:szCs w:val="24"/>
              </w:rPr>
              <w:t>声源工作时间，</w:t>
            </w:r>
            <w:r>
              <w:rPr>
                <w:color w:val="auto"/>
                <w:sz w:val="24"/>
                <w:szCs w:val="24"/>
              </w:rPr>
              <w:t>s</w:t>
            </w:r>
            <w:r>
              <w:rPr>
                <w:rFonts w:hint="eastAsia"/>
                <w:color w:val="auto"/>
                <w:sz w:val="24"/>
                <w:szCs w:val="24"/>
              </w:rPr>
              <w:t>；</w:t>
            </w:r>
          </w:p>
          <w:p w14:paraId="365A0EB6">
            <w:pPr>
              <w:spacing w:line="360" w:lineRule="auto"/>
              <w:ind w:firstLine="1200" w:firstLineChars="500"/>
              <w:rPr>
                <w:color w:val="auto"/>
                <w:sz w:val="24"/>
                <w:szCs w:val="24"/>
              </w:rPr>
            </w:pPr>
            <w:r>
              <w:rPr>
                <w:color w:val="auto"/>
                <w:sz w:val="24"/>
                <w:szCs w:val="24"/>
              </w:rPr>
              <w:t>M——</w:t>
            </w:r>
            <w:r>
              <w:rPr>
                <w:rFonts w:hint="eastAsia"/>
                <w:color w:val="auto"/>
                <w:sz w:val="24"/>
                <w:szCs w:val="24"/>
              </w:rPr>
              <w:t>等效室外声源个数；</w:t>
            </w:r>
          </w:p>
          <w:p w14:paraId="37F332F6">
            <w:pPr>
              <w:spacing w:line="360" w:lineRule="auto"/>
              <w:ind w:firstLine="1200" w:firstLineChars="500"/>
              <w:rPr>
                <w:rFonts w:hint="eastAsia"/>
                <w:color w:val="auto"/>
                <w:sz w:val="24"/>
                <w:szCs w:val="24"/>
              </w:rPr>
            </w:pPr>
            <w:r>
              <w:rPr>
                <w:color w:val="auto"/>
                <w:sz w:val="24"/>
                <w:szCs w:val="24"/>
              </w:rPr>
              <w:t>t</w:t>
            </w:r>
            <w:r>
              <w:rPr>
                <w:color w:val="auto"/>
                <w:sz w:val="24"/>
                <w:szCs w:val="24"/>
                <w:vertAlign w:val="subscript"/>
              </w:rPr>
              <w:t>j</w:t>
            </w:r>
            <w:r>
              <w:rPr>
                <w:color w:val="auto"/>
                <w:sz w:val="24"/>
                <w:szCs w:val="24"/>
              </w:rPr>
              <w:t>——</w:t>
            </w:r>
            <w:r>
              <w:rPr>
                <w:rFonts w:hint="eastAsia"/>
                <w:color w:val="auto"/>
                <w:sz w:val="24"/>
                <w:szCs w:val="24"/>
              </w:rPr>
              <w:t>在</w:t>
            </w:r>
            <w:r>
              <w:rPr>
                <w:color w:val="auto"/>
                <w:sz w:val="24"/>
                <w:szCs w:val="24"/>
              </w:rPr>
              <w:t>T</w:t>
            </w:r>
            <w:r>
              <w:rPr>
                <w:rFonts w:hint="eastAsia"/>
                <w:color w:val="auto"/>
                <w:sz w:val="24"/>
                <w:szCs w:val="24"/>
              </w:rPr>
              <w:t>时间内</w:t>
            </w:r>
            <w:r>
              <w:rPr>
                <w:color w:val="auto"/>
                <w:sz w:val="24"/>
                <w:szCs w:val="24"/>
              </w:rPr>
              <w:t>j</w:t>
            </w:r>
            <w:r>
              <w:rPr>
                <w:rFonts w:hint="eastAsia"/>
                <w:color w:val="auto"/>
                <w:sz w:val="24"/>
                <w:szCs w:val="24"/>
              </w:rPr>
              <w:t>声源工作时间，</w:t>
            </w:r>
            <w:r>
              <w:rPr>
                <w:color w:val="auto"/>
                <w:sz w:val="24"/>
                <w:szCs w:val="24"/>
              </w:rPr>
              <w:t>s</w:t>
            </w:r>
            <w:r>
              <w:rPr>
                <w:rFonts w:hint="eastAsia"/>
                <w:color w:val="auto"/>
                <w:sz w:val="24"/>
                <w:szCs w:val="24"/>
              </w:rPr>
              <w:t>。</w:t>
            </w:r>
          </w:p>
          <w:p w14:paraId="5903A71F">
            <w:pPr>
              <w:spacing w:line="360" w:lineRule="auto"/>
              <w:ind w:firstLine="480" w:firstLineChars="200"/>
              <w:rPr>
                <w:color w:val="auto"/>
                <w:sz w:val="24"/>
                <w:szCs w:val="24"/>
              </w:rPr>
            </w:pPr>
            <w:r>
              <w:rPr>
                <w:color w:val="auto"/>
                <w:sz w:val="24"/>
                <w:szCs w:val="24"/>
              </w:rPr>
              <w:t>3</w:t>
            </w:r>
            <w:r>
              <w:rPr>
                <w:rFonts w:hint="eastAsia"/>
                <w:color w:val="auto"/>
                <w:sz w:val="24"/>
                <w:szCs w:val="24"/>
              </w:rPr>
              <w:t>）预测值计算</w:t>
            </w:r>
          </w:p>
          <w:p w14:paraId="502284AA">
            <w:pPr>
              <w:spacing w:line="360" w:lineRule="auto"/>
              <w:ind w:firstLine="480" w:firstLineChars="200"/>
              <w:jc w:val="center"/>
              <w:rPr>
                <w:color w:val="auto"/>
                <w:sz w:val="24"/>
                <w:szCs w:val="24"/>
              </w:rPr>
            </w:pPr>
            <w:r>
              <w:rPr>
                <w:color w:val="auto"/>
                <w:sz w:val="24"/>
                <w:szCs w:val="24"/>
              </w:rPr>
              <w:drawing>
                <wp:inline distT="0" distB="0" distL="114300" distR="114300">
                  <wp:extent cx="2436495" cy="466090"/>
                  <wp:effectExtent l="0" t="0" r="1905" b="1016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5" cstate="print"/>
                          <a:stretch>
                            <a:fillRect/>
                          </a:stretch>
                        </pic:blipFill>
                        <pic:spPr>
                          <a:xfrm>
                            <a:off x="0" y="0"/>
                            <a:ext cx="2436495" cy="466090"/>
                          </a:xfrm>
                          <a:prstGeom prst="rect">
                            <a:avLst/>
                          </a:prstGeom>
                          <a:noFill/>
                          <a:ln>
                            <a:noFill/>
                          </a:ln>
                        </pic:spPr>
                      </pic:pic>
                    </a:graphicData>
                  </a:graphic>
                </wp:inline>
              </w:drawing>
            </w:r>
          </w:p>
          <w:p w14:paraId="56B06090">
            <w:pPr>
              <w:spacing w:line="360" w:lineRule="auto"/>
              <w:ind w:firstLine="480" w:firstLineChars="200"/>
              <w:rPr>
                <w:color w:val="auto"/>
                <w:sz w:val="24"/>
                <w:szCs w:val="24"/>
              </w:rPr>
            </w:pPr>
            <w:r>
              <w:rPr>
                <w:color w:val="auto"/>
                <w:sz w:val="24"/>
                <w:szCs w:val="24"/>
              </w:rPr>
              <w:t>式中：L</w:t>
            </w:r>
            <w:r>
              <w:rPr>
                <w:color w:val="auto"/>
                <w:sz w:val="24"/>
                <w:szCs w:val="24"/>
                <w:vertAlign w:val="subscript"/>
              </w:rPr>
              <w:t>eqg</w:t>
            </w:r>
            <w:r>
              <w:rPr>
                <w:color w:val="auto"/>
                <w:sz w:val="24"/>
                <w:szCs w:val="24"/>
              </w:rPr>
              <w:t>——建设项目声源在预测点的等效声级贡献值，dB(A)；</w:t>
            </w:r>
          </w:p>
          <w:p w14:paraId="477556FE">
            <w:pPr>
              <w:spacing w:line="360" w:lineRule="auto"/>
              <w:ind w:firstLine="1200" w:firstLineChars="500"/>
              <w:rPr>
                <w:color w:val="auto"/>
                <w:sz w:val="24"/>
                <w:szCs w:val="24"/>
              </w:rPr>
            </w:pPr>
            <w:r>
              <w:rPr>
                <w:color w:val="auto"/>
                <w:sz w:val="24"/>
                <w:szCs w:val="24"/>
              </w:rPr>
              <w:t>L</w:t>
            </w:r>
            <w:r>
              <w:rPr>
                <w:color w:val="auto"/>
                <w:sz w:val="24"/>
                <w:szCs w:val="24"/>
                <w:vertAlign w:val="subscript"/>
              </w:rPr>
              <w:t>eqb</w:t>
            </w:r>
            <w:r>
              <w:rPr>
                <w:color w:val="auto"/>
                <w:sz w:val="24"/>
                <w:szCs w:val="24"/>
              </w:rPr>
              <w:t xml:space="preserve">——预测点的背景值，dB(A)。 </w:t>
            </w:r>
          </w:p>
          <w:p w14:paraId="7B973093">
            <w:pPr>
              <w:adjustRightInd w:val="0"/>
              <w:snapToGrid w:val="0"/>
              <w:spacing w:line="360" w:lineRule="auto"/>
              <w:ind w:firstLine="482" w:firstLineChars="200"/>
              <w:rPr>
                <w:b/>
                <w:bCs/>
                <w:color w:val="auto"/>
                <w:sz w:val="24"/>
                <w:szCs w:val="24"/>
              </w:rPr>
            </w:pPr>
            <w:bookmarkStart w:id="26" w:name="_Toc399690541"/>
            <w:bookmarkStart w:id="27" w:name="_Toc399356387"/>
            <w:bookmarkStart w:id="28" w:name="_Toc476004223"/>
            <w:bookmarkStart w:id="29" w:name="_Toc476004162"/>
            <w:bookmarkStart w:id="30" w:name="_Toc476004426"/>
            <w:r>
              <w:rPr>
                <w:rFonts w:hint="eastAsia"/>
                <w:b/>
                <w:bCs/>
                <w:color w:val="auto"/>
                <w:sz w:val="24"/>
                <w:szCs w:val="24"/>
              </w:rPr>
              <w:t>（2）噪声影响</w:t>
            </w:r>
            <w:r>
              <w:rPr>
                <w:b/>
                <w:bCs/>
                <w:color w:val="auto"/>
                <w:sz w:val="24"/>
                <w:szCs w:val="24"/>
              </w:rPr>
              <w:t>预测结果</w:t>
            </w:r>
            <w:bookmarkEnd w:id="26"/>
            <w:bookmarkEnd w:id="27"/>
            <w:bookmarkEnd w:id="28"/>
            <w:bookmarkEnd w:id="29"/>
            <w:bookmarkEnd w:id="30"/>
          </w:p>
          <w:p w14:paraId="722F83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lang w:val="zh-CN"/>
              </w:rPr>
            </w:pPr>
            <w:r>
              <w:rPr>
                <w:color w:val="auto"/>
                <w:sz w:val="24"/>
                <w:szCs w:val="24"/>
              </w:rPr>
              <w:t>根据上述公式进行预测，本项目噪声预测结果见表</w:t>
            </w:r>
            <w:r>
              <w:rPr>
                <w:rFonts w:hint="eastAsia"/>
                <w:color w:val="auto"/>
                <w:sz w:val="24"/>
                <w:szCs w:val="24"/>
              </w:rPr>
              <w:t>4-</w:t>
            </w:r>
            <w:r>
              <w:rPr>
                <w:rFonts w:hint="eastAsia"/>
                <w:color w:val="auto"/>
                <w:sz w:val="24"/>
                <w:szCs w:val="24"/>
                <w:lang w:val="en-US" w:eastAsia="zh-CN"/>
              </w:rPr>
              <w:t>34</w:t>
            </w:r>
            <w:r>
              <w:rPr>
                <w:color w:val="auto"/>
                <w:sz w:val="24"/>
                <w:szCs w:val="24"/>
              </w:rPr>
              <w:t>。</w:t>
            </w:r>
          </w:p>
          <w:p w14:paraId="23D8325E">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color w:val="auto"/>
                <w:sz w:val="24"/>
                <w:szCs w:val="24"/>
              </w:rPr>
            </w:pPr>
            <w:r>
              <w:rPr>
                <w:b/>
                <w:bCs/>
                <w:color w:val="auto"/>
                <w:sz w:val="24"/>
                <w:szCs w:val="24"/>
              </w:rPr>
              <w:t>表</w:t>
            </w:r>
            <w:r>
              <w:rPr>
                <w:rFonts w:hint="eastAsia"/>
                <w:b/>
                <w:bCs/>
                <w:color w:val="auto"/>
                <w:sz w:val="24"/>
                <w:szCs w:val="24"/>
              </w:rPr>
              <w:t>4-</w:t>
            </w:r>
            <w:r>
              <w:rPr>
                <w:rFonts w:hint="eastAsia"/>
                <w:b/>
                <w:bCs/>
                <w:color w:val="auto"/>
                <w:sz w:val="24"/>
                <w:szCs w:val="24"/>
                <w:lang w:val="en-US" w:eastAsia="zh-CN"/>
              </w:rPr>
              <w:t>34</w:t>
            </w:r>
            <w:r>
              <w:rPr>
                <w:b/>
                <w:bCs/>
                <w:color w:val="auto"/>
                <w:sz w:val="24"/>
                <w:szCs w:val="24"/>
              </w:rPr>
              <w:t xml:space="preserve">  项目各厂界噪声预测值一览表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1702"/>
              <w:gridCol w:w="2043"/>
              <w:gridCol w:w="1530"/>
              <w:gridCol w:w="1272"/>
            </w:tblGrid>
            <w:tr w14:paraId="43901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24" w:type="pct"/>
                  <w:vMerge w:val="restart"/>
                  <w:vAlign w:val="center"/>
                </w:tcPr>
                <w:p w14:paraId="3810F307">
                  <w:pPr>
                    <w:widowControl/>
                    <w:jc w:val="center"/>
                    <w:rPr>
                      <w:b/>
                      <w:bCs/>
                      <w:color w:val="auto"/>
                      <w:sz w:val="21"/>
                      <w:szCs w:val="21"/>
                    </w:rPr>
                  </w:pPr>
                  <w:r>
                    <w:rPr>
                      <w:b/>
                      <w:bCs/>
                      <w:color w:val="auto"/>
                      <w:sz w:val="21"/>
                      <w:szCs w:val="21"/>
                    </w:rPr>
                    <w:t>预测点</w:t>
                  </w:r>
                </w:p>
              </w:tc>
              <w:tc>
                <w:tcPr>
                  <w:tcW w:w="2216" w:type="pct"/>
                  <w:gridSpan w:val="2"/>
                  <w:vAlign w:val="center"/>
                </w:tcPr>
                <w:p w14:paraId="7D4813D4">
                  <w:pPr>
                    <w:widowControl/>
                    <w:jc w:val="center"/>
                    <w:rPr>
                      <w:rFonts w:hint="default" w:eastAsia="宋体"/>
                      <w:b/>
                      <w:bCs/>
                      <w:color w:val="auto"/>
                      <w:sz w:val="21"/>
                      <w:szCs w:val="21"/>
                      <w:lang w:val="en-US" w:eastAsia="zh-CN"/>
                    </w:rPr>
                  </w:pPr>
                  <w:r>
                    <w:rPr>
                      <w:rFonts w:hint="eastAsia"/>
                      <w:b/>
                      <w:bCs/>
                      <w:color w:val="auto"/>
                      <w:sz w:val="21"/>
                      <w:szCs w:val="21"/>
                      <w:lang w:val="en-US" w:eastAsia="zh-CN"/>
                    </w:rPr>
                    <w:t>贡献值（dB（A））</w:t>
                  </w:r>
                </w:p>
              </w:tc>
              <w:tc>
                <w:tcPr>
                  <w:tcW w:w="1658" w:type="pct"/>
                  <w:gridSpan w:val="2"/>
                  <w:vAlign w:val="center"/>
                </w:tcPr>
                <w:p w14:paraId="4930A6F8">
                  <w:pPr>
                    <w:widowControl/>
                    <w:jc w:val="center"/>
                    <w:rPr>
                      <w:rFonts w:hint="default" w:eastAsia="宋体"/>
                      <w:b/>
                      <w:bCs/>
                      <w:color w:val="auto"/>
                      <w:sz w:val="21"/>
                      <w:szCs w:val="21"/>
                      <w:lang w:val="en-US" w:eastAsia="zh-CN"/>
                    </w:rPr>
                  </w:pPr>
                  <w:r>
                    <w:rPr>
                      <w:rFonts w:hint="eastAsia"/>
                      <w:b/>
                      <w:bCs/>
                      <w:color w:val="auto"/>
                      <w:sz w:val="21"/>
                      <w:szCs w:val="21"/>
                      <w:lang w:val="en-US" w:eastAsia="zh-CN"/>
                    </w:rPr>
                    <w:t>排放标准（dB（A））</w:t>
                  </w:r>
                </w:p>
              </w:tc>
            </w:tr>
            <w:tr w14:paraId="16621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pct"/>
                  <w:vMerge w:val="continue"/>
                  <w:vAlign w:val="center"/>
                </w:tcPr>
                <w:p w14:paraId="5F547C2D">
                  <w:pPr>
                    <w:widowControl/>
                    <w:jc w:val="center"/>
                    <w:rPr>
                      <w:b/>
                      <w:bCs/>
                      <w:color w:val="auto"/>
                      <w:sz w:val="21"/>
                      <w:szCs w:val="21"/>
                    </w:rPr>
                  </w:pPr>
                </w:p>
              </w:tc>
              <w:tc>
                <w:tcPr>
                  <w:tcW w:w="1007" w:type="pct"/>
                  <w:vAlign w:val="center"/>
                </w:tcPr>
                <w:p w14:paraId="472CB93E">
                  <w:pPr>
                    <w:widowControl/>
                    <w:jc w:val="center"/>
                    <w:rPr>
                      <w:b/>
                      <w:bCs/>
                      <w:color w:val="auto"/>
                      <w:sz w:val="21"/>
                      <w:szCs w:val="21"/>
                    </w:rPr>
                  </w:pPr>
                  <w:r>
                    <w:rPr>
                      <w:b/>
                      <w:bCs/>
                      <w:color w:val="auto"/>
                      <w:sz w:val="21"/>
                      <w:szCs w:val="21"/>
                    </w:rPr>
                    <w:t>昼间</w:t>
                  </w:r>
                </w:p>
              </w:tc>
              <w:tc>
                <w:tcPr>
                  <w:tcW w:w="1209" w:type="pct"/>
                  <w:vAlign w:val="center"/>
                </w:tcPr>
                <w:p w14:paraId="19CB52C5">
                  <w:pPr>
                    <w:widowControl/>
                    <w:jc w:val="center"/>
                    <w:rPr>
                      <w:b/>
                      <w:bCs/>
                      <w:color w:val="auto"/>
                      <w:sz w:val="21"/>
                      <w:szCs w:val="21"/>
                    </w:rPr>
                  </w:pPr>
                  <w:r>
                    <w:rPr>
                      <w:rFonts w:hint="eastAsia"/>
                      <w:b/>
                      <w:bCs/>
                      <w:color w:val="auto"/>
                      <w:sz w:val="21"/>
                      <w:szCs w:val="21"/>
                      <w:lang w:val="en-US" w:eastAsia="zh-CN"/>
                    </w:rPr>
                    <w:t>夜间</w:t>
                  </w:r>
                </w:p>
              </w:tc>
              <w:tc>
                <w:tcPr>
                  <w:tcW w:w="905" w:type="pct"/>
                  <w:vAlign w:val="center"/>
                </w:tcPr>
                <w:p w14:paraId="283321D7">
                  <w:pPr>
                    <w:widowControl/>
                    <w:jc w:val="center"/>
                    <w:rPr>
                      <w:b/>
                      <w:bCs/>
                      <w:color w:val="auto"/>
                      <w:sz w:val="21"/>
                      <w:szCs w:val="21"/>
                    </w:rPr>
                  </w:pPr>
                  <w:r>
                    <w:rPr>
                      <w:b/>
                      <w:bCs/>
                      <w:color w:val="auto"/>
                      <w:sz w:val="21"/>
                      <w:szCs w:val="21"/>
                    </w:rPr>
                    <w:t>昼间</w:t>
                  </w:r>
                </w:p>
              </w:tc>
              <w:tc>
                <w:tcPr>
                  <w:tcW w:w="752" w:type="pct"/>
                  <w:vAlign w:val="center"/>
                </w:tcPr>
                <w:p w14:paraId="4CA5F984">
                  <w:pPr>
                    <w:widowControl/>
                    <w:jc w:val="center"/>
                    <w:rPr>
                      <w:b/>
                      <w:bCs/>
                      <w:color w:val="auto"/>
                      <w:sz w:val="21"/>
                      <w:szCs w:val="21"/>
                    </w:rPr>
                  </w:pPr>
                  <w:r>
                    <w:rPr>
                      <w:b/>
                      <w:bCs/>
                      <w:color w:val="auto"/>
                      <w:sz w:val="21"/>
                      <w:szCs w:val="21"/>
                    </w:rPr>
                    <w:t>标准值</w:t>
                  </w:r>
                </w:p>
              </w:tc>
            </w:tr>
            <w:tr w14:paraId="41A8E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pct"/>
                  <w:vAlign w:val="center"/>
                </w:tcPr>
                <w:p w14:paraId="4B22A627">
                  <w:pPr>
                    <w:widowControl/>
                    <w:jc w:val="center"/>
                    <w:rPr>
                      <w:color w:val="auto"/>
                      <w:sz w:val="21"/>
                      <w:szCs w:val="21"/>
                    </w:rPr>
                  </w:pPr>
                  <w:r>
                    <w:rPr>
                      <w:rFonts w:hint="eastAsia"/>
                      <w:color w:val="auto"/>
                      <w:sz w:val="21"/>
                      <w:szCs w:val="21"/>
                    </w:rPr>
                    <w:t>厂</w:t>
                  </w:r>
                  <w:r>
                    <w:rPr>
                      <w:color w:val="auto"/>
                      <w:sz w:val="21"/>
                      <w:szCs w:val="21"/>
                    </w:rPr>
                    <w:t>界北</w:t>
                  </w:r>
                </w:p>
              </w:tc>
              <w:tc>
                <w:tcPr>
                  <w:tcW w:w="1007" w:type="pct"/>
                  <w:vAlign w:val="center"/>
                </w:tcPr>
                <w:p w14:paraId="0B4CFC57">
                  <w:pPr>
                    <w:widowControl/>
                    <w:jc w:val="center"/>
                    <w:rPr>
                      <w:rFonts w:hint="default" w:eastAsia="宋体"/>
                      <w:color w:val="auto"/>
                      <w:sz w:val="21"/>
                      <w:szCs w:val="21"/>
                      <w:lang w:val="en-US" w:eastAsia="zh-CN"/>
                    </w:rPr>
                  </w:pPr>
                  <w:r>
                    <w:rPr>
                      <w:rFonts w:hint="eastAsia"/>
                      <w:color w:val="auto"/>
                      <w:sz w:val="21"/>
                      <w:szCs w:val="21"/>
                      <w:lang w:val="en-US" w:eastAsia="zh-CN"/>
                    </w:rPr>
                    <w:t>64.4</w:t>
                  </w:r>
                </w:p>
              </w:tc>
              <w:tc>
                <w:tcPr>
                  <w:tcW w:w="1209" w:type="pct"/>
                  <w:shd w:val="clear" w:color="auto" w:fill="auto"/>
                  <w:vAlign w:val="center"/>
                </w:tcPr>
                <w:p w14:paraId="237944BD">
                  <w:pPr>
                    <w:jc w:val="center"/>
                    <w:rPr>
                      <w:rFonts w:hint="default" w:eastAsia="宋体"/>
                      <w:color w:val="auto"/>
                      <w:sz w:val="21"/>
                      <w:szCs w:val="21"/>
                      <w:lang w:val="en-US" w:eastAsia="zh-CN"/>
                    </w:rPr>
                  </w:pPr>
                  <w:r>
                    <w:rPr>
                      <w:rFonts w:hint="eastAsia"/>
                      <w:color w:val="auto"/>
                      <w:sz w:val="21"/>
                      <w:szCs w:val="21"/>
                      <w:lang w:val="en-US" w:eastAsia="zh-CN"/>
                    </w:rPr>
                    <w:t>54.1</w:t>
                  </w:r>
                </w:p>
              </w:tc>
              <w:tc>
                <w:tcPr>
                  <w:tcW w:w="905" w:type="pct"/>
                  <w:vMerge w:val="restart"/>
                  <w:vAlign w:val="center"/>
                </w:tcPr>
                <w:p w14:paraId="7E4EC3C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752" w:type="pct"/>
                  <w:vMerge w:val="restart"/>
                  <w:vAlign w:val="center"/>
                </w:tcPr>
                <w:p w14:paraId="2EBA71B4">
                  <w:pPr>
                    <w:jc w:val="center"/>
                    <w:rPr>
                      <w:rFonts w:hint="default" w:eastAsia="宋体"/>
                      <w:color w:val="auto"/>
                      <w:sz w:val="21"/>
                      <w:szCs w:val="21"/>
                      <w:lang w:val="en-US" w:eastAsia="zh-CN"/>
                    </w:rPr>
                  </w:pPr>
                  <w:r>
                    <w:rPr>
                      <w:rFonts w:hint="eastAsia"/>
                      <w:color w:val="auto"/>
                      <w:sz w:val="21"/>
                      <w:szCs w:val="21"/>
                      <w:lang w:val="en-US" w:eastAsia="zh-CN"/>
                    </w:rPr>
                    <w:t>55</w:t>
                  </w:r>
                </w:p>
              </w:tc>
            </w:tr>
            <w:tr w14:paraId="7FAAF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pct"/>
                  <w:vAlign w:val="center"/>
                </w:tcPr>
                <w:p w14:paraId="07728051">
                  <w:pPr>
                    <w:widowControl/>
                    <w:jc w:val="center"/>
                    <w:rPr>
                      <w:color w:val="auto"/>
                      <w:sz w:val="21"/>
                      <w:szCs w:val="21"/>
                    </w:rPr>
                  </w:pPr>
                  <w:r>
                    <w:rPr>
                      <w:rFonts w:hint="eastAsia"/>
                      <w:color w:val="auto"/>
                      <w:sz w:val="21"/>
                      <w:szCs w:val="21"/>
                    </w:rPr>
                    <w:t>厂</w:t>
                  </w:r>
                  <w:r>
                    <w:rPr>
                      <w:color w:val="auto"/>
                      <w:sz w:val="21"/>
                      <w:szCs w:val="21"/>
                    </w:rPr>
                    <w:t>界南</w:t>
                  </w:r>
                </w:p>
              </w:tc>
              <w:tc>
                <w:tcPr>
                  <w:tcW w:w="1007" w:type="pct"/>
                  <w:vAlign w:val="center"/>
                </w:tcPr>
                <w:p w14:paraId="4EB14AC3">
                  <w:pPr>
                    <w:widowControl/>
                    <w:jc w:val="center"/>
                    <w:rPr>
                      <w:rFonts w:hint="default" w:eastAsia="宋体"/>
                      <w:color w:val="auto"/>
                      <w:sz w:val="21"/>
                      <w:szCs w:val="21"/>
                      <w:lang w:val="en-US" w:eastAsia="zh-CN"/>
                    </w:rPr>
                  </w:pPr>
                  <w:r>
                    <w:rPr>
                      <w:rFonts w:hint="eastAsia"/>
                      <w:color w:val="auto"/>
                      <w:sz w:val="21"/>
                      <w:szCs w:val="21"/>
                      <w:lang w:val="en-US" w:eastAsia="zh-CN"/>
                    </w:rPr>
                    <w:t>63.7</w:t>
                  </w:r>
                </w:p>
              </w:tc>
              <w:tc>
                <w:tcPr>
                  <w:tcW w:w="1209" w:type="pct"/>
                  <w:shd w:val="clear" w:color="auto" w:fill="auto"/>
                  <w:vAlign w:val="center"/>
                </w:tcPr>
                <w:p w14:paraId="028E028B">
                  <w:pPr>
                    <w:jc w:val="center"/>
                    <w:rPr>
                      <w:rFonts w:hint="default" w:eastAsia="宋体"/>
                      <w:color w:val="auto"/>
                      <w:sz w:val="21"/>
                      <w:szCs w:val="21"/>
                      <w:lang w:val="en-US" w:eastAsia="zh-CN"/>
                    </w:rPr>
                  </w:pPr>
                  <w:r>
                    <w:rPr>
                      <w:rFonts w:hint="eastAsia"/>
                      <w:color w:val="auto"/>
                      <w:sz w:val="21"/>
                      <w:szCs w:val="21"/>
                      <w:lang w:val="en-US" w:eastAsia="zh-CN"/>
                    </w:rPr>
                    <w:t>52.6</w:t>
                  </w:r>
                </w:p>
              </w:tc>
              <w:tc>
                <w:tcPr>
                  <w:tcW w:w="905" w:type="pct"/>
                  <w:vMerge w:val="continue"/>
                  <w:vAlign w:val="center"/>
                </w:tcPr>
                <w:p w14:paraId="1D0450F6">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752" w:type="pct"/>
                  <w:vMerge w:val="continue"/>
                  <w:vAlign w:val="center"/>
                </w:tcPr>
                <w:p w14:paraId="49A2A544">
                  <w:pPr>
                    <w:jc w:val="center"/>
                    <w:rPr>
                      <w:color w:val="auto"/>
                      <w:sz w:val="21"/>
                      <w:szCs w:val="21"/>
                    </w:rPr>
                  </w:pPr>
                </w:p>
              </w:tc>
            </w:tr>
            <w:tr w14:paraId="050D0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pct"/>
                  <w:vAlign w:val="center"/>
                </w:tcPr>
                <w:p w14:paraId="5E192E50">
                  <w:pPr>
                    <w:widowControl/>
                    <w:jc w:val="center"/>
                    <w:rPr>
                      <w:color w:val="auto"/>
                      <w:sz w:val="21"/>
                      <w:szCs w:val="21"/>
                    </w:rPr>
                  </w:pPr>
                  <w:r>
                    <w:rPr>
                      <w:rFonts w:hint="eastAsia"/>
                      <w:color w:val="auto"/>
                      <w:sz w:val="21"/>
                      <w:szCs w:val="21"/>
                    </w:rPr>
                    <w:t>厂</w:t>
                  </w:r>
                  <w:r>
                    <w:rPr>
                      <w:color w:val="auto"/>
                      <w:sz w:val="21"/>
                      <w:szCs w:val="21"/>
                    </w:rPr>
                    <w:t>界西</w:t>
                  </w:r>
                </w:p>
              </w:tc>
              <w:tc>
                <w:tcPr>
                  <w:tcW w:w="1007" w:type="pct"/>
                  <w:vAlign w:val="center"/>
                </w:tcPr>
                <w:p w14:paraId="0712984B">
                  <w:pPr>
                    <w:widowControl/>
                    <w:jc w:val="center"/>
                    <w:rPr>
                      <w:rFonts w:hint="default" w:eastAsia="宋体"/>
                      <w:color w:val="auto"/>
                      <w:sz w:val="21"/>
                      <w:szCs w:val="21"/>
                      <w:lang w:val="en-US" w:eastAsia="zh-CN"/>
                    </w:rPr>
                  </w:pPr>
                  <w:r>
                    <w:rPr>
                      <w:rFonts w:hint="eastAsia"/>
                      <w:color w:val="auto"/>
                      <w:sz w:val="21"/>
                      <w:szCs w:val="21"/>
                      <w:lang w:val="en-US" w:eastAsia="zh-CN"/>
                    </w:rPr>
                    <w:t>61.5</w:t>
                  </w:r>
                </w:p>
              </w:tc>
              <w:tc>
                <w:tcPr>
                  <w:tcW w:w="1209" w:type="pct"/>
                  <w:shd w:val="clear" w:color="auto" w:fill="auto"/>
                  <w:vAlign w:val="center"/>
                </w:tcPr>
                <w:p w14:paraId="6F6937EE">
                  <w:pPr>
                    <w:jc w:val="center"/>
                    <w:rPr>
                      <w:rFonts w:hint="default" w:eastAsia="宋体"/>
                      <w:color w:val="auto"/>
                      <w:sz w:val="21"/>
                      <w:szCs w:val="21"/>
                      <w:lang w:val="en-US" w:eastAsia="zh-CN"/>
                    </w:rPr>
                  </w:pPr>
                  <w:r>
                    <w:rPr>
                      <w:rFonts w:hint="eastAsia"/>
                      <w:color w:val="auto"/>
                      <w:sz w:val="21"/>
                      <w:szCs w:val="21"/>
                      <w:lang w:val="en-US" w:eastAsia="zh-CN"/>
                    </w:rPr>
                    <w:t>51.3</w:t>
                  </w:r>
                </w:p>
              </w:tc>
              <w:tc>
                <w:tcPr>
                  <w:tcW w:w="905" w:type="pct"/>
                  <w:vMerge w:val="continue"/>
                  <w:vAlign w:val="center"/>
                </w:tcPr>
                <w:p w14:paraId="329398A0">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752" w:type="pct"/>
                  <w:vMerge w:val="continue"/>
                  <w:vAlign w:val="center"/>
                </w:tcPr>
                <w:p w14:paraId="63531301">
                  <w:pPr>
                    <w:jc w:val="center"/>
                    <w:rPr>
                      <w:color w:val="auto"/>
                      <w:sz w:val="21"/>
                      <w:szCs w:val="21"/>
                    </w:rPr>
                  </w:pPr>
                </w:p>
              </w:tc>
            </w:tr>
            <w:tr w14:paraId="3AB2E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pct"/>
                  <w:vAlign w:val="center"/>
                </w:tcPr>
                <w:p w14:paraId="60022E87">
                  <w:pPr>
                    <w:widowControl/>
                    <w:jc w:val="center"/>
                    <w:rPr>
                      <w:color w:val="auto"/>
                      <w:sz w:val="21"/>
                      <w:szCs w:val="21"/>
                    </w:rPr>
                  </w:pPr>
                  <w:r>
                    <w:rPr>
                      <w:rFonts w:hint="eastAsia"/>
                      <w:color w:val="auto"/>
                      <w:sz w:val="21"/>
                      <w:szCs w:val="21"/>
                    </w:rPr>
                    <w:t>厂</w:t>
                  </w:r>
                  <w:r>
                    <w:rPr>
                      <w:color w:val="auto"/>
                      <w:sz w:val="21"/>
                      <w:szCs w:val="21"/>
                    </w:rPr>
                    <w:t>界东</w:t>
                  </w:r>
                </w:p>
              </w:tc>
              <w:tc>
                <w:tcPr>
                  <w:tcW w:w="1007" w:type="pct"/>
                  <w:vAlign w:val="center"/>
                </w:tcPr>
                <w:p w14:paraId="4EBFE27C">
                  <w:pPr>
                    <w:widowControl/>
                    <w:jc w:val="center"/>
                    <w:rPr>
                      <w:rFonts w:hint="default" w:eastAsia="宋体"/>
                      <w:color w:val="auto"/>
                      <w:sz w:val="21"/>
                      <w:szCs w:val="21"/>
                      <w:lang w:val="en-US" w:eastAsia="zh-CN"/>
                    </w:rPr>
                  </w:pPr>
                  <w:r>
                    <w:rPr>
                      <w:rFonts w:hint="eastAsia"/>
                      <w:color w:val="auto"/>
                      <w:sz w:val="21"/>
                      <w:szCs w:val="21"/>
                      <w:lang w:val="en-US" w:eastAsia="zh-CN"/>
                    </w:rPr>
                    <w:t>62.3</w:t>
                  </w:r>
                </w:p>
              </w:tc>
              <w:tc>
                <w:tcPr>
                  <w:tcW w:w="1209" w:type="pct"/>
                  <w:shd w:val="clear" w:color="auto" w:fill="auto"/>
                  <w:vAlign w:val="center"/>
                </w:tcPr>
                <w:p w14:paraId="32608909">
                  <w:pPr>
                    <w:jc w:val="center"/>
                    <w:rPr>
                      <w:rFonts w:hint="default" w:eastAsia="宋体"/>
                      <w:color w:val="auto"/>
                      <w:sz w:val="21"/>
                      <w:szCs w:val="21"/>
                      <w:lang w:val="en-US" w:eastAsia="zh-CN"/>
                    </w:rPr>
                  </w:pPr>
                  <w:r>
                    <w:rPr>
                      <w:rFonts w:hint="eastAsia"/>
                      <w:color w:val="auto"/>
                      <w:sz w:val="21"/>
                      <w:szCs w:val="21"/>
                      <w:lang w:val="en-US" w:eastAsia="zh-CN"/>
                    </w:rPr>
                    <w:t>53.6</w:t>
                  </w:r>
                </w:p>
              </w:tc>
              <w:tc>
                <w:tcPr>
                  <w:tcW w:w="905" w:type="pct"/>
                  <w:vMerge w:val="continue"/>
                  <w:vAlign w:val="center"/>
                </w:tcPr>
                <w:p w14:paraId="3C75FDE1">
                  <w:pPr>
                    <w:keepNext w:val="0"/>
                    <w:keepLines w:val="0"/>
                    <w:widowControl/>
                    <w:suppressLineNumbers w:val="0"/>
                    <w:jc w:val="center"/>
                    <w:textAlignment w:val="center"/>
                    <w:rPr>
                      <w:rFonts w:hint="default" w:ascii="Times New Roman" w:hAnsi="Times New Roman" w:cs="Times New Roman"/>
                      <w:color w:val="auto"/>
                      <w:sz w:val="21"/>
                      <w:szCs w:val="21"/>
                      <w:lang w:val="en-US"/>
                    </w:rPr>
                  </w:pPr>
                </w:p>
              </w:tc>
              <w:tc>
                <w:tcPr>
                  <w:tcW w:w="752" w:type="pct"/>
                  <w:vMerge w:val="continue"/>
                  <w:vAlign w:val="center"/>
                </w:tcPr>
                <w:p w14:paraId="159971E3">
                  <w:pPr>
                    <w:jc w:val="center"/>
                    <w:rPr>
                      <w:color w:val="auto"/>
                      <w:sz w:val="21"/>
                      <w:szCs w:val="21"/>
                    </w:rPr>
                  </w:pPr>
                </w:p>
              </w:tc>
            </w:tr>
            <w:tr w14:paraId="21C13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14:paraId="7FF98718">
                  <w:pPr>
                    <w:jc w:val="both"/>
                    <w:rPr>
                      <w:rFonts w:hint="default" w:eastAsia="宋体"/>
                      <w:color w:val="auto"/>
                      <w:sz w:val="21"/>
                      <w:szCs w:val="21"/>
                      <w:lang w:val="en-US" w:eastAsia="zh-CN"/>
                    </w:rPr>
                  </w:pPr>
                  <w:r>
                    <w:rPr>
                      <w:rFonts w:hint="eastAsia"/>
                      <w:color w:val="auto"/>
                      <w:sz w:val="21"/>
                      <w:szCs w:val="21"/>
                      <w:lang w:val="en-US" w:eastAsia="zh-CN"/>
                    </w:rPr>
                    <w:t>注：项目铸造生产线（中频炉、制芯、造型、浇注）、红冲、压铸等工序夜间不生产。</w:t>
                  </w:r>
                </w:p>
              </w:tc>
            </w:tr>
          </w:tbl>
          <w:p w14:paraId="7B5913C2">
            <w:pPr>
              <w:adjustRightInd w:val="0"/>
              <w:snapToGrid w:val="0"/>
              <w:spacing w:before="120" w:beforeLines="50" w:line="360" w:lineRule="auto"/>
              <w:ind w:firstLine="480" w:firstLineChars="200"/>
              <w:rPr>
                <w:color w:val="auto"/>
                <w:sz w:val="24"/>
                <w:szCs w:val="24"/>
              </w:rPr>
            </w:pPr>
            <w:r>
              <w:rPr>
                <w:rFonts w:hint="eastAsia"/>
                <w:color w:val="auto"/>
                <w:sz w:val="24"/>
                <w:szCs w:val="24"/>
              </w:rPr>
              <w:t>项目厂界200米范围内无声环境保护目标，周边声环境不敏感。项目高噪声设备均设置在车间内，可利用墙体隔声减少其噪声对周围环境的影响</w:t>
            </w:r>
            <w:r>
              <w:rPr>
                <w:rFonts w:hint="eastAsia"/>
                <w:color w:val="auto"/>
                <w:sz w:val="24"/>
                <w:szCs w:val="24"/>
                <w:lang w:eastAsia="zh-CN"/>
              </w:rPr>
              <w:t>。</w:t>
            </w:r>
            <w:r>
              <w:rPr>
                <w:color w:val="auto"/>
                <w:sz w:val="24"/>
                <w:szCs w:val="24"/>
              </w:rPr>
              <w:t>由上表可知，项目噪声经建筑物隔声及距离衰减后，各厂界</w:t>
            </w:r>
            <w:r>
              <w:rPr>
                <w:rFonts w:hint="eastAsia"/>
                <w:color w:val="auto"/>
                <w:sz w:val="24"/>
                <w:szCs w:val="24"/>
                <w:lang w:val="en-US" w:eastAsia="zh-CN"/>
              </w:rPr>
              <w:t>昼间</w:t>
            </w:r>
            <w:r>
              <w:rPr>
                <w:color w:val="auto"/>
                <w:sz w:val="24"/>
                <w:szCs w:val="24"/>
              </w:rPr>
              <w:t>噪声</w:t>
            </w:r>
            <w:r>
              <w:rPr>
                <w:rFonts w:hint="eastAsia"/>
                <w:color w:val="auto"/>
                <w:sz w:val="24"/>
                <w:szCs w:val="24"/>
                <w:lang w:val="en-US" w:eastAsia="zh-CN"/>
              </w:rPr>
              <w:t>贡献</w:t>
            </w:r>
            <w:r>
              <w:rPr>
                <w:color w:val="auto"/>
                <w:sz w:val="24"/>
                <w:szCs w:val="24"/>
              </w:rPr>
              <w:t>值在</w:t>
            </w:r>
            <w:r>
              <w:rPr>
                <w:rFonts w:hint="eastAsia"/>
                <w:color w:val="auto"/>
                <w:sz w:val="24"/>
                <w:szCs w:val="24"/>
                <w:lang w:val="en-US" w:eastAsia="zh-CN"/>
              </w:rPr>
              <w:t>61.5</w:t>
            </w:r>
            <w:r>
              <w:rPr>
                <w:color w:val="auto"/>
                <w:sz w:val="24"/>
                <w:szCs w:val="24"/>
              </w:rPr>
              <w:t>dB（A）～</w:t>
            </w:r>
            <w:r>
              <w:rPr>
                <w:rFonts w:hint="eastAsia"/>
                <w:color w:val="auto"/>
                <w:sz w:val="24"/>
                <w:szCs w:val="24"/>
              </w:rPr>
              <w:t>6</w:t>
            </w:r>
            <w:r>
              <w:rPr>
                <w:rFonts w:hint="eastAsia"/>
                <w:color w:val="auto"/>
                <w:sz w:val="24"/>
                <w:szCs w:val="24"/>
                <w:lang w:val="en-US" w:eastAsia="zh-CN"/>
              </w:rPr>
              <w:t>4.4</w:t>
            </w:r>
            <w:r>
              <w:rPr>
                <w:color w:val="auto"/>
                <w:sz w:val="24"/>
                <w:szCs w:val="24"/>
              </w:rPr>
              <w:t>dB（A）之间</w:t>
            </w:r>
            <w:r>
              <w:rPr>
                <w:rFonts w:hint="eastAsia"/>
                <w:color w:val="auto"/>
                <w:sz w:val="24"/>
                <w:szCs w:val="24"/>
                <w:lang w:eastAsia="zh-CN"/>
              </w:rPr>
              <w:t>、</w:t>
            </w:r>
            <w:r>
              <w:rPr>
                <w:rFonts w:hint="eastAsia"/>
                <w:color w:val="auto"/>
                <w:sz w:val="24"/>
                <w:szCs w:val="24"/>
                <w:lang w:val="en-US" w:eastAsia="zh-CN"/>
              </w:rPr>
              <w:t>夜间</w:t>
            </w:r>
            <w:r>
              <w:rPr>
                <w:color w:val="auto"/>
                <w:sz w:val="24"/>
                <w:szCs w:val="24"/>
              </w:rPr>
              <w:t>噪声</w:t>
            </w:r>
            <w:r>
              <w:rPr>
                <w:rFonts w:hint="eastAsia"/>
                <w:color w:val="auto"/>
                <w:sz w:val="24"/>
                <w:szCs w:val="24"/>
                <w:lang w:val="en-US" w:eastAsia="zh-CN"/>
              </w:rPr>
              <w:t>贡献</w:t>
            </w:r>
            <w:r>
              <w:rPr>
                <w:color w:val="auto"/>
                <w:sz w:val="24"/>
                <w:szCs w:val="24"/>
              </w:rPr>
              <w:t>值在</w:t>
            </w:r>
            <w:r>
              <w:rPr>
                <w:rFonts w:hint="eastAsia"/>
                <w:color w:val="auto"/>
                <w:sz w:val="24"/>
                <w:szCs w:val="24"/>
                <w:lang w:val="en-US" w:eastAsia="zh-CN"/>
              </w:rPr>
              <w:t>51.3</w:t>
            </w:r>
            <w:r>
              <w:rPr>
                <w:color w:val="auto"/>
                <w:sz w:val="24"/>
                <w:szCs w:val="24"/>
              </w:rPr>
              <w:t>dB（A）～</w:t>
            </w:r>
            <w:r>
              <w:rPr>
                <w:rFonts w:hint="eastAsia"/>
                <w:color w:val="auto"/>
                <w:sz w:val="24"/>
                <w:szCs w:val="24"/>
                <w:lang w:val="en-US" w:eastAsia="zh-CN"/>
              </w:rPr>
              <w:t>54.1</w:t>
            </w:r>
            <w:r>
              <w:rPr>
                <w:color w:val="auto"/>
                <w:sz w:val="24"/>
                <w:szCs w:val="24"/>
              </w:rPr>
              <w:t>dB（A）之间</w:t>
            </w:r>
            <w:r>
              <w:rPr>
                <w:rFonts w:hint="eastAsia"/>
                <w:color w:val="auto"/>
                <w:sz w:val="24"/>
                <w:szCs w:val="24"/>
              </w:rPr>
              <w:t>，</w:t>
            </w:r>
            <w:r>
              <w:rPr>
                <w:color w:val="auto"/>
                <w:sz w:val="24"/>
                <w:szCs w:val="24"/>
              </w:rPr>
              <w:t>均能满足《工业企业厂界噪声排放标准》（GB12348-2008）中</w:t>
            </w:r>
            <w:r>
              <w:rPr>
                <w:rFonts w:hint="eastAsia"/>
                <w:color w:val="auto"/>
                <w:sz w:val="24"/>
                <w:szCs w:val="24"/>
              </w:rPr>
              <w:t>3</w:t>
            </w:r>
            <w:r>
              <w:rPr>
                <w:color w:val="auto"/>
                <w:sz w:val="24"/>
                <w:szCs w:val="24"/>
              </w:rPr>
              <w:t>类标准要求</w:t>
            </w:r>
            <w:r>
              <w:rPr>
                <w:rFonts w:hint="eastAsia"/>
                <w:color w:val="auto"/>
                <w:sz w:val="24"/>
                <w:szCs w:val="24"/>
                <w:lang w:eastAsia="zh-CN"/>
              </w:rPr>
              <w:t>。</w:t>
            </w:r>
            <w:r>
              <w:rPr>
                <w:rFonts w:hint="eastAsia"/>
                <w:color w:val="auto"/>
                <w:sz w:val="24"/>
                <w:szCs w:val="24"/>
              </w:rPr>
              <w:t>因此</w:t>
            </w:r>
            <w:r>
              <w:rPr>
                <w:rFonts w:hint="eastAsia"/>
                <w:color w:val="auto"/>
                <w:sz w:val="24"/>
                <w:szCs w:val="24"/>
                <w:lang w:val="en-US" w:eastAsia="zh-CN"/>
              </w:rPr>
              <w:t>项目噪声</w:t>
            </w:r>
            <w:r>
              <w:rPr>
                <w:color w:val="auto"/>
                <w:sz w:val="24"/>
                <w:szCs w:val="24"/>
              </w:rPr>
              <w:t>对区域环境影响</w:t>
            </w:r>
            <w:r>
              <w:rPr>
                <w:rFonts w:hint="eastAsia"/>
                <w:color w:val="auto"/>
                <w:sz w:val="24"/>
                <w:szCs w:val="24"/>
                <w:lang w:val="en-US" w:eastAsia="zh-CN"/>
              </w:rPr>
              <w:t>较小</w:t>
            </w:r>
            <w:r>
              <w:rPr>
                <w:color w:val="auto"/>
                <w:sz w:val="24"/>
                <w:szCs w:val="24"/>
              </w:rPr>
              <w:t>。</w:t>
            </w:r>
          </w:p>
          <w:p w14:paraId="2357E8F9">
            <w:pPr>
              <w:spacing w:line="360" w:lineRule="auto"/>
              <w:ind w:firstLine="480" w:firstLineChars="200"/>
              <w:rPr>
                <w:color w:val="auto"/>
                <w:kern w:val="0"/>
                <w:sz w:val="24"/>
                <w:szCs w:val="24"/>
              </w:rPr>
            </w:pPr>
            <w:r>
              <w:rPr>
                <w:color w:val="auto"/>
                <w:sz w:val="24"/>
                <w:szCs w:val="24"/>
              </w:rPr>
              <w:t>为使本项目对周边声环境影响降到最低，本环评</w:t>
            </w:r>
            <w:r>
              <w:rPr>
                <w:color w:val="auto"/>
                <w:kern w:val="0"/>
                <w:sz w:val="24"/>
                <w:szCs w:val="24"/>
              </w:rPr>
              <w:t>要求建设单位对该项目的噪声源采取隔声降噪措施。具体措施如下：</w:t>
            </w:r>
          </w:p>
          <w:p w14:paraId="75733D52">
            <w:pPr>
              <w:spacing w:line="360" w:lineRule="auto"/>
              <w:ind w:firstLine="480" w:firstLineChars="200"/>
              <w:rPr>
                <w:rFonts w:hint="eastAsia"/>
                <w:color w:val="auto"/>
                <w:sz w:val="24"/>
                <w:szCs w:val="24"/>
                <w:lang w:eastAsia="zh-CN"/>
              </w:rPr>
            </w:pPr>
            <w:r>
              <w:rPr>
                <w:color w:val="auto"/>
                <w:kern w:val="0"/>
                <w:sz w:val="24"/>
                <w:szCs w:val="24"/>
              </w:rPr>
              <w:t>①生</w:t>
            </w:r>
            <w:r>
              <w:rPr>
                <w:color w:val="auto"/>
                <w:sz w:val="24"/>
                <w:szCs w:val="24"/>
              </w:rPr>
              <w:t>产过程关闭厂房大门、窗，减少噪声影响</w:t>
            </w:r>
            <w:r>
              <w:rPr>
                <w:rFonts w:hint="eastAsia"/>
                <w:color w:val="auto"/>
                <w:sz w:val="24"/>
                <w:szCs w:val="24"/>
                <w:lang w:eastAsia="zh-CN"/>
              </w:rPr>
              <w:t>；</w:t>
            </w:r>
          </w:p>
          <w:p w14:paraId="28B8CEE0">
            <w:pPr>
              <w:spacing w:line="360" w:lineRule="auto"/>
              <w:ind w:firstLine="480" w:firstLineChars="200"/>
              <w:rPr>
                <w:color w:val="auto"/>
                <w:sz w:val="24"/>
                <w:szCs w:val="24"/>
              </w:rPr>
            </w:pPr>
            <w:r>
              <w:rPr>
                <w:color w:val="auto"/>
                <w:kern w:val="0"/>
                <w:sz w:val="24"/>
                <w:szCs w:val="24"/>
              </w:rPr>
              <w:t>②</w:t>
            </w:r>
            <w:r>
              <w:rPr>
                <w:color w:val="auto"/>
                <w:sz w:val="24"/>
                <w:szCs w:val="24"/>
              </w:rPr>
              <w:t>日常生产中加强设备的日常维修与更新，使生产设备处于正常工况；</w:t>
            </w:r>
          </w:p>
          <w:p w14:paraId="54E52EEE">
            <w:pPr>
              <w:spacing w:line="360" w:lineRule="auto"/>
              <w:ind w:firstLine="480" w:firstLineChars="200"/>
              <w:rPr>
                <w:rFonts w:hint="eastAsia" w:eastAsia="宋体"/>
                <w:color w:val="auto"/>
                <w:sz w:val="24"/>
                <w:szCs w:val="24"/>
                <w:lang w:eastAsia="zh-CN"/>
              </w:rPr>
            </w:pPr>
            <w:r>
              <w:rPr>
                <w:color w:val="auto"/>
                <w:sz w:val="24"/>
                <w:szCs w:val="24"/>
              </w:rPr>
              <w:t>③优化生产厂房平面布置，将产生噪声声源的设备远离厂界，布置在厂房中间</w:t>
            </w:r>
            <w:r>
              <w:rPr>
                <w:rFonts w:hint="eastAsia"/>
                <w:color w:val="auto"/>
                <w:sz w:val="24"/>
                <w:szCs w:val="24"/>
                <w:lang w:eastAsia="zh-CN"/>
              </w:rPr>
              <w:t>；</w:t>
            </w:r>
          </w:p>
          <w:p w14:paraId="77464C34">
            <w:pPr>
              <w:pStyle w:val="128"/>
              <w:ind w:firstLine="480"/>
              <w:rPr>
                <w:rFonts w:ascii="Times New Roman" w:hAnsi="Times New Roman"/>
                <w:color w:val="auto"/>
                <w:sz w:val="24"/>
                <w:szCs w:val="24"/>
              </w:rPr>
            </w:pPr>
            <w:r>
              <w:rPr>
                <w:color w:val="auto"/>
                <w:sz w:val="24"/>
                <w:szCs w:val="24"/>
              </w:rPr>
              <w:t>④</w:t>
            </w:r>
            <w:r>
              <w:rPr>
                <w:rFonts w:ascii="Times New Roman" w:hAnsi="Times New Roman"/>
                <w:color w:val="auto"/>
                <w:sz w:val="24"/>
                <w:szCs w:val="24"/>
              </w:rPr>
              <w:t>高噪声设备采取有效的隔声、消声、减振措施，降低噪声源强，如对</w:t>
            </w:r>
            <w:r>
              <w:rPr>
                <w:rFonts w:hint="eastAsia" w:ascii="Times New Roman" w:hAnsi="Times New Roman"/>
                <w:color w:val="auto"/>
                <w:sz w:val="24"/>
                <w:szCs w:val="24"/>
              </w:rPr>
              <w:t>废气风机</w:t>
            </w:r>
            <w:r>
              <w:rPr>
                <w:rFonts w:ascii="Times New Roman" w:hAnsi="Times New Roman"/>
                <w:color w:val="auto"/>
                <w:sz w:val="24"/>
                <w:szCs w:val="24"/>
              </w:rPr>
              <w:t>等高噪声设备加装</w:t>
            </w:r>
            <w:r>
              <w:rPr>
                <w:rFonts w:hint="eastAsia" w:ascii="Times New Roman" w:hAnsi="Times New Roman"/>
                <w:color w:val="auto"/>
                <w:sz w:val="24"/>
                <w:szCs w:val="24"/>
                <w:lang w:val="en-US" w:eastAsia="zh-CN"/>
              </w:rPr>
              <w:t>减振</w:t>
            </w:r>
            <w:r>
              <w:rPr>
                <w:rFonts w:ascii="Times New Roman" w:hAnsi="Times New Roman"/>
                <w:color w:val="auto"/>
                <w:sz w:val="24"/>
                <w:szCs w:val="24"/>
              </w:rPr>
              <w:t>垫，</w:t>
            </w:r>
            <w:r>
              <w:rPr>
                <w:rFonts w:hint="eastAsia" w:ascii="Times New Roman" w:hAnsi="Times New Roman"/>
                <w:color w:val="auto"/>
                <w:sz w:val="24"/>
                <w:szCs w:val="24"/>
              </w:rPr>
              <w:t>必要时设置隔声罩</w:t>
            </w:r>
            <w:r>
              <w:rPr>
                <w:rFonts w:ascii="Times New Roman" w:hAnsi="Times New Roman"/>
                <w:color w:val="auto"/>
                <w:sz w:val="24"/>
                <w:szCs w:val="24"/>
              </w:rPr>
              <w:t>；</w:t>
            </w:r>
          </w:p>
          <w:p w14:paraId="5EE66EBC">
            <w:pPr>
              <w:spacing w:line="360" w:lineRule="auto"/>
              <w:ind w:firstLine="480" w:firstLineChars="200"/>
              <w:rPr>
                <w:color w:val="auto"/>
                <w:sz w:val="24"/>
                <w:szCs w:val="24"/>
              </w:rPr>
            </w:pPr>
            <w:r>
              <w:rPr>
                <w:rFonts w:hint="eastAsia"/>
                <w:color w:val="auto"/>
                <w:sz w:val="24"/>
                <w:szCs w:val="24"/>
              </w:rPr>
              <w:t>⑤</w:t>
            </w:r>
            <w:r>
              <w:rPr>
                <w:rFonts w:ascii="Times New Roman" w:hAnsi="Times New Roman" w:cs="Times New Roman"/>
                <w:color w:val="auto"/>
                <w:sz w:val="24"/>
                <w:szCs w:val="24"/>
              </w:rPr>
              <w:t>佩戴防护用品，如耳塞、耳罩、头盔等，减少噪声对工人的伤害。</w:t>
            </w:r>
          </w:p>
          <w:p w14:paraId="45D14770">
            <w:pPr>
              <w:snapToGrid w:val="0"/>
              <w:spacing w:line="360" w:lineRule="auto"/>
              <w:ind w:firstLine="480" w:firstLineChars="200"/>
              <w:rPr>
                <w:color w:val="auto"/>
                <w:sz w:val="24"/>
                <w:szCs w:val="24"/>
              </w:rPr>
            </w:pPr>
            <w:r>
              <w:rPr>
                <w:color w:val="auto"/>
                <w:sz w:val="24"/>
                <w:szCs w:val="24"/>
              </w:rPr>
              <w:t>从总体上来说企业在切实落实本评价所提各项措施，可以认为本项目产生噪声对外环境影响较小。</w:t>
            </w:r>
          </w:p>
          <w:p w14:paraId="08AE5DA5">
            <w:pPr>
              <w:pStyle w:val="82"/>
              <w:rPr>
                <w:color w:val="auto"/>
                <w:sz w:val="24"/>
                <w:szCs w:val="24"/>
              </w:rPr>
            </w:pPr>
            <w:r>
              <w:rPr>
                <w:rFonts w:hint="eastAsia"/>
                <w:color w:val="auto"/>
                <w:sz w:val="24"/>
                <w:szCs w:val="24"/>
              </w:rPr>
              <w:t>3</w:t>
            </w:r>
            <w:r>
              <w:rPr>
                <w:color w:val="auto"/>
                <w:sz w:val="24"/>
                <w:szCs w:val="24"/>
              </w:rPr>
              <w:t>.3</w:t>
            </w:r>
            <w:r>
              <w:rPr>
                <w:rFonts w:hint="eastAsia"/>
                <w:color w:val="auto"/>
                <w:sz w:val="24"/>
                <w:szCs w:val="24"/>
              </w:rPr>
              <w:t>噪声监测计划</w:t>
            </w:r>
          </w:p>
          <w:p w14:paraId="244B4122">
            <w:pPr>
              <w:adjustRightInd w:val="0"/>
              <w:snapToGrid w:val="0"/>
              <w:spacing w:after="120" w:afterLines="50" w:line="360" w:lineRule="auto"/>
              <w:ind w:firstLine="480" w:firstLineChars="200"/>
              <w:rPr>
                <w:color w:val="auto"/>
                <w:sz w:val="24"/>
                <w:szCs w:val="24"/>
              </w:rPr>
            </w:pPr>
            <w:r>
              <w:rPr>
                <w:rFonts w:hint="eastAsia"/>
                <w:color w:val="auto"/>
                <w:sz w:val="24"/>
                <w:szCs w:val="24"/>
              </w:rPr>
              <w:t>根据《排污单位自行监测技术指南  总则》（HJ 819-2017）</w:t>
            </w:r>
            <w:r>
              <w:rPr>
                <w:rFonts w:hint="eastAsia"/>
                <w:color w:val="auto"/>
                <w:sz w:val="24"/>
                <w:szCs w:val="24"/>
                <w:lang w:eastAsia="zh-CN"/>
              </w:rPr>
              <w:t>、</w:t>
            </w:r>
            <w:r>
              <w:rPr>
                <w:rFonts w:hint="eastAsia"/>
                <w:color w:val="auto"/>
                <w:sz w:val="24"/>
                <w:szCs w:val="24"/>
              </w:rPr>
              <w:t xml:space="preserve">《排污单位自行监测技术指南 </w:t>
            </w:r>
            <w:r>
              <w:rPr>
                <w:rFonts w:hint="eastAsia"/>
                <w:color w:val="auto"/>
                <w:sz w:val="24"/>
                <w:szCs w:val="24"/>
                <w:lang w:val="en-US" w:eastAsia="zh-CN"/>
              </w:rPr>
              <w:t>金属铸造工业</w:t>
            </w:r>
            <w:r>
              <w:rPr>
                <w:rFonts w:hint="eastAsia"/>
                <w:color w:val="auto"/>
                <w:sz w:val="24"/>
                <w:szCs w:val="24"/>
              </w:rPr>
              <w:t>》（HJ1</w:t>
            </w:r>
            <w:r>
              <w:rPr>
                <w:rFonts w:hint="eastAsia"/>
                <w:color w:val="auto"/>
                <w:sz w:val="24"/>
                <w:szCs w:val="24"/>
                <w:lang w:val="en-US" w:eastAsia="zh-CN"/>
              </w:rPr>
              <w:t>251</w:t>
            </w:r>
            <w:r>
              <w:rPr>
                <w:rFonts w:hint="eastAsia"/>
                <w:color w:val="auto"/>
                <w:sz w:val="24"/>
                <w:szCs w:val="24"/>
              </w:rPr>
              <w:t>-202</w:t>
            </w:r>
            <w:r>
              <w:rPr>
                <w:rFonts w:hint="eastAsia"/>
                <w:color w:val="auto"/>
                <w:sz w:val="24"/>
                <w:szCs w:val="24"/>
                <w:lang w:val="en-US" w:eastAsia="zh-CN"/>
              </w:rPr>
              <w:t>2</w:t>
            </w:r>
            <w:r>
              <w:rPr>
                <w:rFonts w:hint="eastAsia"/>
                <w:color w:val="auto"/>
                <w:sz w:val="24"/>
                <w:szCs w:val="24"/>
              </w:rPr>
              <w:t>），制定本项目运营期环境监测计划，详见下表。</w:t>
            </w:r>
          </w:p>
          <w:p w14:paraId="760E860C">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b/>
                <w:bCs/>
                <w:color w:val="auto"/>
                <w:sz w:val="24"/>
                <w:szCs w:val="24"/>
              </w:rPr>
            </w:pPr>
            <w:r>
              <w:rPr>
                <w:rFonts w:hint="eastAsia"/>
                <w:b/>
                <w:bCs/>
                <w:color w:val="auto"/>
                <w:sz w:val="24"/>
                <w:szCs w:val="24"/>
              </w:rPr>
              <w:t>表4-</w:t>
            </w:r>
            <w:r>
              <w:rPr>
                <w:rFonts w:hint="eastAsia"/>
                <w:b/>
                <w:bCs/>
                <w:color w:val="auto"/>
                <w:sz w:val="24"/>
                <w:szCs w:val="24"/>
                <w:lang w:val="en-US" w:eastAsia="zh-CN"/>
              </w:rPr>
              <w:t>35</w:t>
            </w:r>
            <w:r>
              <w:rPr>
                <w:rFonts w:hint="eastAsia"/>
                <w:b/>
                <w:bCs/>
                <w:color w:val="auto"/>
                <w:sz w:val="24"/>
                <w:szCs w:val="24"/>
              </w:rPr>
              <w:t xml:space="preserve">   噪声监测计划一览表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307"/>
              <w:gridCol w:w="1926"/>
              <w:gridCol w:w="3624"/>
            </w:tblGrid>
            <w:tr w14:paraId="1D909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03" w:type="dxa"/>
                  <w:tcBorders>
                    <w:tl2br w:val="nil"/>
                    <w:tr2bl w:val="nil"/>
                  </w:tcBorders>
                  <w:vAlign w:val="center"/>
                </w:tcPr>
                <w:p w14:paraId="26396C41">
                  <w:pPr>
                    <w:snapToGrid w:val="0"/>
                    <w:spacing w:line="240" w:lineRule="atLeast"/>
                    <w:jc w:val="center"/>
                    <w:rPr>
                      <w:b/>
                      <w:bCs/>
                      <w:color w:val="auto"/>
                      <w:sz w:val="21"/>
                      <w:szCs w:val="21"/>
                    </w:rPr>
                  </w:pPr>
                  <w:r>
                    <w:rPr>
                      <w:b/>
                      <w:bCs/>
                      <w:color w:val="auto"/>
                      <w:sz w:val="21"/>
                      <w:szCs w:val="21"/>
                    </w:rPr>
                    <w:t>监测点位</w:t>
                  </w:r>
                </w:p>
              </w:tc>
              <w:tc>
                <w:tcPr>
                  <w:tcW w:w="1315" w:type="dxa"/>
                  <w:tcBorders>
                    <w:tl2br w:val="nil"/>
                    <w:tr2bl w:val="nil"/>
                  </w:tcBorders>
                  <w:vAlign w:val="center"/>
                </w:tcPr>
                <w:p w14:paraId="03FAB0B1">
                  <w:pPr>
                    <w:snapToGrid w:val="0"/>
                    <w:spacing w:line="240" w:lineRule="atLeast"/>
                    <w:jc w:val="center"/>
                    <w:rPr>
                      <w:b/>
                      <w:bCs/>
                      <w:color w:val="auto"/>
                      <w:sz w:val="21"/>
                      <w:szCs w:val="21"/>
                    </w:rPr>
                  </w:pPr>
                  <w:r>
                    <w:rPr>
                      <w:b/>
                      <w:bCs/>
                      <w:color w:val="auto"/>
                      <w:sz w:val="21"/>
                      <w:szCs w:val="21"/>
                    </w:rPr>
                    <w:t>监测指标</w:t>
                  </w:r>
                </w:p>
              </w:tc>
              <w:tc>
                <w:tcPr>
                  <w:tcW w:w="1939" w:type="dxa"/>
                  <w:tcBorders>
                    <w:tl2br w:val="nil"/>
                    <w:tr2bl w:val="nil"/>
                  </w:tcBorders>
                  <w:vAlign w:val="center"/>
                </w:tcPr>
                <w:p w14:paraId="435916D2">
                  <w:pPr>
                    <w:snapToGrid w:val="0"/>
                    <w:spacing w:line="240" w:lineRule="atLeast"/>
                    <w:jc w:val="center"/>
                    <w:rPr>
                      <w:b/>
                      <w:bCs/>
                      <w:color w:val="auto"/>
                      <w:sz w:val="21"/>
                      <w:szCs w:val="21"/>
                    </w:rPr>
                  </w:pPr>
                  <w:r>
                    <w:rPr>
                      <w:b/>
                      <w:bCs/>
                      <w:color w:val="auto"/>
                      <w:sz w:val="21"/>
                      <w:szCs w:val="21"/>
                    </w:rPr>
                    <w:t>监测频次</w:t>
                  </w:r>
                </w:p>
              </w:tc>
              <w:tc>
                <w:tcPr>
                  <w:tcW w:w="3649" w:type="dxa"/>
                  <w:tcBorders>
                    <w:tl2br w:val="nil"/>
                    <w:tr2bl w:val="nil"/>
                  </w:tcBorders>
                  <w:vAlign w:val="center"/>
                </w:tcPr>
                <w:p w14:paraId="4BCD49AF">
                  <w:pPr>
                    <w:snapToGrid w:val="0"/>
                    <w:spacing w:line="240" w:lineRule="atLeast"/>
                    <w:jc w:val="center"/>
                    <w:rPr>
                      <w:b/>
                      <w:bCs/>
                      <w:color w:val="auto"/>
                      <w:sz w:val="21"/>
                      <w:szCs w:val="21"/>
                    </w:rPr>
                  </w:pPr>
                  <w:r>
                    <w:rPr>
                      <w:b/>
                      <w:bCs/>
                      <w:color w:val="auto"/>
                      <w:sz w:val="21"/>
                      <w:szCs w:val="21"/>
                    </w:rPr>
                    <w:t>执行排放标准</w:t>
                  </w:r>
                </w:p>
              </w:tc>
            </w:tr>
            <w:tr w14:paraId="78271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03" w:type="dxa"/>
                  <w:tcBorders>
                    <w:tl2br w:val="nil"/>
                    <w:tr2bl w:val="nil"/>
                  </w:tcBorders>
                  <w:vAlign w:val="center"/>
                </w:tcPr>
                <w:p w14:paraId="50284130">
                  <w:pPr>
                    <w:snapToGrid w:val="0"/>
                    <w:spacing w:line="240" w:lineRule="atLeast"/>
                    <w:jc w:val="center"/>
                    <w:rPr>
                      <w:b/>
                      <w:bCs/>
                      <w:color w:val="auto"/>
                      <w:sz w:val="21"/>
                      <w:szCs w:val="21"/>
                    </w:rPr>
                  </w:pPr>
                  <w:r>
                    <w:rPr>
                      <w:color w:val="auto"/>
                      <w:sz w:val="21"/>
                      <w:szCs w:val="21"/>
                    </w:rPr>
                    <w:t>厂界外1m</w:t>
                  </w:r>
                </w:p>
              </w:tc>
              <w:tc>
                <w:tcPr>
                  <w:tcW w:w="1315" w:type="dxa"/>
                  <w:tcBorders>
                    <w:tl2br w:val="nil"/>
                    <w:tr2bl w:val="nil"/>
                  </w:tcBorders>
                  <w:vAlign w:val="center"/>
                </w:tcPr>
                <w:p w14:paraId="3359A2CF">
                  <w:pPr>
                    <w:snapToGrid w:val="0"/>
                    <w:spacing w:line="240" w:lineRule="atLeast"/>
                    <w:jc w:val="center"/>
                    <w:rPr>
                      <w:color w:val="auto"/>
                      <w:sz w:val="21"/>
                      <w:szCs w:val="21"/>
                    </w:rPr>
                  </w:pPr>
                  <w:r>
                    <w:rPr>
                      <w:color w:val="auto"/>
                      <w:sz w:val="21"/>
                      <w:szCs w:val="21"/>
                    </w:rPr>
                    <w:t>噪声</w:t>
                  </w:r>
                </w:p>
              </w:tc>
              <w:tc>
                <w:tcPr>
                  <w:tcW w:w="1939" w:type="dxa"/>
                  <w:tcBorders>
                    <w:tl2br w:val="nil"/>
                    <w:tr2bl w:val="nil"/>
                  </w:tcBorders>
                  <w:vAlign w:val="center"/>
                </w:tcPr>
                <w:p w14:paraId="10C7A6E9">
                  <w:pPr>
                    <w:snapToGrid w:val="0"/>
                    <w:spacing w:line="240" w:lineRule="atLeast"/>
                    <w:jc w:val="center"/>
                    <w:rPr>
                      <w:color w:val="auto"/>
                      <w:sz w:val="21"/>
                      <w:szCs w:val="21"/>
                    </w:rPr>
                  </w:pPr>
                  <w:r>
                    <w:rPr>
                      <w:color w:val="auto"/>
                      <w:sz w:val="21"/>
                      <w:szCs w:val="21"/>
                    </w:rPr>
                    <w:t>1次/季，昼</w:t>
                  </w:r>
                  <w:r>
                    <w:rPr>
                      <w:rFonts w:hint="eastAsia"/>
                      <w:color w:val="auto"/>
                      <w:sz w:val="21"/>
                      <w:szCs w:val="21"/>
                    </w:rPr>
                    <w:t>间</w:t>
                  </w:r>
                  <w:r>
                    <w:rPr>
                      <w:rFonts w:hint="eastAsia"/>
                      <w:color w:val="auto"/>
                      <w:sz w:val="21"/>
                      <w:szCs w:val="21"/>
                      <w:lang w:eastAsia="zh-CN"/>
                    </w:rPr>
                    <w:t>、</w:t>
                  </w:r>
                  <w:r>
                    <w:rPr>
                      <w:rFonts w:hint="eastAsia"/>
                      <w:color w:val="auto"/>
                      <w:sz w:val="21"/>
                      <w:szCs w:val="21"/>
                      <w:lang w:val="en-US" w:eastAsia="zh-CN"/>
                    </w:rPr>
                    <w:t>夜间各</w:t>
                  </w:r>
                  <w:r>
                    <w:rPr>
                      <w:color w:val="auto"/>
                      <w:sz w:val="21"/>
                      <w:szCs w:val="21"/>
                    </w:rPr>
                    <w:t>1次</w:t>
                  </w:r>
                </w:p>
              </w:tc>
              <w:tc>
                <w:tcPr>
                  <w:tcW w:w="3649" w:type="dxa"/>
                  <w:tcBorders>
                    <w:tl2br w:val="nil"/>
                    <w:tr2bl w:val="nil"/>
                  </w:tcBorders>
                  <w:vAlign w:val="center"/>
                </w:tcPr>
                <w:p w14:paraId="565AE59A">
                  <w:pPr>
                    <w:snapToGrid w:val="0"/>
                    <w:spacing w:line="240" w:lineRule="atLeast"/>
                    <w:jc w:val="center"/>
                    <w:rPr>
                      <w:color w:val="auto"/>
                      <w:sz w:val="21"/>
                      <w:szCs w:val="21"/>
                    </w:rPr>
                  </w:pPr>
                  <w:r>
                    <w:rPr>
                      <w:color w:val="auto"/>
                      <w:sz w:val="21"/>
                      <w:szCs w:val="21"/>
                    </w:rPr>
                    <w:t>《工业企业厂界环境噪声排放标准》（GB12348-2008）</w:t>
                  </w:r>
                  <w:r>
                    <w:rPr>
                      <w:rFonts w:hint="eastAsia"/>
                      <w:color w:val="auto"/>
                      <w:sz w:val="21"/>
                      <w:szCs w:val="21"/>
                    </w:rPr>
                    <w:t>3</w:t>
                  </w:r>
                  <w:r>
                    <w:rPr>
                      <w:color w:val="auto"/>
                      <w:sz w:val="21"/>
                      <w:szCs w:val="21"/>
                    </w:rPr>
                    <w:t>类标准</w:t>
                  </w:r>
                </w:p>
              </w:tc>
            </w:tr>
          </w:tbl>
          <w:p w14:paraId="0FBDD7BB">
            <w:pPr>
              <w:spacing w:line="360" w:lineRule="auto"/>
              <w:rPr>
                <w:rFonts w:hint="eastAsia" w:ascii="宋体" w:hAnsi="宋体" w:cs="宋体"/>
                <w:bCs/>
                <w:color w:val="auto"/>
                <w:spacing w:val="-10"/>
                <w:sz w:val="24"/>
                <w:szCs w:val="24"/>
              </w:rPr>
            </w:pPr>
          </w:p>
        </w:tc>
      </w:tr>
    </w:tbl>
    <w:p w14:paraId="704C1BA4">
      <w:pPr>
        <w:rPr>
          <w:color w:val="auto"/>
          <w:sz w:val="24"/>
          <w:szCs w:val="24"/>
        </w:rPr>
      </w:pPr>
    </w:p>
    <w:p w14:paraId="1CC8FF5C">
      <w:pPr>
        <w:rPr>
          <w:color w:val="auto"/>
          <w:sz w:val="24"/>
          <w:szCs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6"/>
        <w:gridCol w:w="8595"/>
      </w:tblGrid>
      <w:tr w14:paraId="4C59D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9" w:hRule="atLeast"/>
          <w:jc w:val="center"/>
        </w:trPr>
        <w:tc>
          <w:tcPr>
            <w:tcW w:w="386" w:type="dxa"/>
            <w:tcMar>
              <w:left w:w="28" w:type="dxa"/>
              <w:right w:w="28" w:type="dxa"/>
            </w:tcMar>
            <w:vAlign w:val="center"/>
          </w:tcPr>
          <w:p w14:paraId="0D33A5DC">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运营期</w:t>
            </w:r>
          </w:p>
          <w:p w14:paraId="116E9356">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期环</w:t>
            </w:r>
          </w:p>
          <w:p w14:paraId="5A16F660">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境保</w:t>
            </w:r>
          </w:p>
          <w:p w14:paraId="3DF69A31">
            <w:pPr>
              <w:pStyle w:val="24"/>
              <w:adjustRightInd w:val="0"/>
              <w:snapToGrid w:val="0"/>
              <w:spacing w:before="0" w:beforeAutospacing="0" w:after="0" w:afterAutospacing="0"/>
              <w:jc w:val="center"/>
              <w:rPr>
                <w:rFonts w:hint="eastAsia" w:cs="宋体"/>
                <w:color w:val="auto"/>
                <w:kern w:val="2"/>
                <w:sz w:val="24"/>
                <w:szCs w:val="24"/>
              </w:rPr>
            </w:pPr>
            <w:r>
              <w:rPr>
                <w:rFonts w:hint="eastAsia" w:cs="宋体"/>
                <w:color w:val="auto"/>
                <w:kern w:val="2"/>
                <w:sz w:val="24"/>
                <w:szCs w:val="24"/>
              </w:rPr>
              <w:t>护措</w:t>
            </w:r>
          </w:p>
          <w:p w14:paraId="3886110F">
            <w:pPr>
              <w:pStyle w:val="24"/>
              <w:adjustRightInd w:val="0"/>
              <w:snapToGrid w:val="0"/>
              <w:spacing w:before="0" w:beforeAutospacing="0" w:after="0" w:afterAutospacing="0"/>
              <w:jc w:val="center"/>
              <w:rPr>
                <w:rFonts w:hint="eastAsia" w:cs="宋体"/>
                <w:bCs/>
                <w:color w:val="auto"/>
                <w:kern w:val="2"/>
                <w:sz w:val="24"/>
                <w:szCs w:val="24"/>
              </w:rPr>
            </w:pPr>
            <w:r>
              <w:rPr>
                <w:rFonts w:hint="eastAsia" w:cs="宋体"/>
                <w:color w:val="auto"/>
                <w:kern w:val="2"/>
                <w:sz w:val="24"/>
                <w:szCs w:val="24"/>
              </w:rPr>
              <w:t>施</w:t>
            </w:r>
          </w:p>
        </w:tc>
        <w:tc>
          <w:tcPr>
            <w:tcW w:w="8595" w:type="dxa"/>
            <w:vAlign w:val="center"/>
          </w:tcPr>
          <w:p w14:paraId="0A493C54">
            <w:pPr>
              <w:pStyle w:val="82"/>
              <w:spacing w:before="120" w:beforeLines="50"/>
              <w:rPr>
                <w:color w:val="auto"/>
                <w:sz w:val="24"/>
                <w:szCs w:val="24"/>
              </w:rPr>
            </w:pPr>
            <w:r>
              <w:rPr>
                <w:color w:val="auto"/>
                <w:sz w:val="24"/>
                <w:szCs w:val="24"/>
              </w:rPr>
              <w:t>4</w:t>
            </w:r>
            <w:r>
              <w:rPr>
                <w:rFonts w:hint="eastAsia"/>
                <w:color w:val="auto"/>
                <w:sz w:val="24"/>
                <w:szCs w:val="24"/>
              </w:rPr>
              <w:t>、固体废物环境影响和保护措施</w:t>
            </w:r>
          </w:p>
          <w:p w14:paraId="369C07C2">
            <w:pPr>
              <w:pStyle w:val="82"/>
              <w:rPr>
                <w:rFonts w:hint="default" w:eastAsia="黑体"/>
                <w:color w:val="auto"/>
                <w:sz w:val="24"/>
                <w:szCs w:val="24"/>
                <w:lang w:val="en-US" w:eastAsia="zh-CN"/>
              </w:rPr>
            </w:pPr>
            <w:r>
              <w:rPr>
                <w:rFonts w:hint="eastAsia"/>
                <w:color w:val="auto"/>
                <w:sz w:val="24"/>
                <w:szCs w:val="24"/>
              </w:rPr>
              <w:t>4</w:t>
            </w:r>
            <w:r>
              <w:rPr>
                <w:color w:val="auto"/>
                <w:sz w:val="24"/>
                <w:szCs w:val="24"/>
              </w:rPr>
              <w:t>.1</w:t>
            </w:r>
            <w:r>
              <w:rPr>
                <w:rFonts w:hint="eastAsia"/>
                <w:color w:val="auto"/>
                <w:sz w:val="24"/>
                <w:szCs w:val="24"/>
              </w:rPr>
              <w:t>固体废物</w:t>
            </w:r>
            <w:r>
              <w:rPr>
                <w:rFonts w:hint="eastAsia"/>
                <w:color w:val="auto"/>
                <w:sz w:val="24"/>
                <w:szCs w:val="24"/>
                <w:lang w:val="en-US" w:eastAsia="zh-CN"/>
              </w:rPr>
              <w:t>属性判定</w:t>
            </w:r>
          </w:p>
          <w:p w14:paraId="7FC1E534">
            <w:pPr>
              <w:spacing w:line="360" w:lineRule="auto"/>
              <w:ind w:firstLine="480" w:firstLineChars="200"/>
              <w:rPr>
                <w:rFonts w:hint="eastAsia"/>
                <w:color w:val="auto"/>
                <w:sz w:val="24"/>
                <w:szCs w:val="24"/>
              </w:rPr>
            </w:pPr>
            <w:r>
              <w:rPr>
                <w:rFonts w:hint="eastAsia"/>
                <w:color w:val="auto"/>
                <w:sz w:val="24"/>
                <w:szCs w:val="24"/>
              </w:rPr>
              <w:t>根据《中华人民共和国固体废物污染环境防治法》和《固体废物鉴别标准 通则》（GB34330-2017）的规定，判断项目产生的副产物是否属于固体废物，判定结果详见下表。</w:t>
            </w:r>
          </w:p>
          <w:p w14:paraId="5364E7F0">
            <w:pPr>
              <w:spacing w:line="360" w:lineRule="auto"/>
              <w:jc w:val="center"/>
              <w:rPr>
                <w:rFonts w:hint="eastAsia"/>
                <w:b/>
                <w:bCs/>
                <w:color w:val="auto"/>
                <w:sz w:val="24"/>
                <w:szCs w:val="24"/>
              </w:rPr>
            </w:pPr>
            <w:r>
              <w:rPr>
                <w:rFonts w:hint="eastAsia"/>
                <w:b/>
                <w:bCs/>
                <w:color w:val="auto"/>
                <w:sz w:val="24"/>
                <w:szCs w:val="24"/>
              </w:rPr>
              <w:t>表4-</w:t>
            </w:r>
            <w:r>
              <w:rPr>
                <w:rFonts w:hint="eastAsia"/>
                <w:b/>
                <w:bCs/>
                <w:color w:val="auto"/>
                <w:sz w:val="24"/>
                <w:szCs w:val="24"/>
                <w:lang w:val="en-US" w:eastAsia="zh-CN"/>
              </w:rPr>
              <w:t xml:space="preserve">36 </w:t>
            </w:r>
            <w:r>
              <w:rPr>
                <w:rFonts w:hint="eastAsia"/>
                <w:b/>
                <w:bCs/>
                <w:color w:val="auto"/>
                <w:sz w:val="24"/>
                <w:szCs w:val="24"/>
              </w:rPr>
              <w:t xml:space="preserve"> 项目固体废物属性判定表</w:t>
            </w:r>
          </w:p>
          <w:tbl>
            <w:tblPr>
              <w:tblStyle w:val="29"/>
              <w:tblW w:w="836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6"/>
              <w:gridCol w:w="1538"/>
              <w:gridCol w:w="2060"/>
              <w:gridCol w:w="938"/>
              <w:gridCol w:w="1199"/>
              <w:gridCol w:w="1995"/>
            </w:tblGrid>
            <w:tr w14:paraId="743580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vAlign w:val="center"/>
                </w:tcPr>
                <w:p w14:paraId="052D14E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b/>
                      <w:bCs/>
                      <w:color w:val="auto"/>
                      <w:sz w:val="18"/>
                      <w:szCs w:val="18"/>
                    </w:rPr>
                  </w:pPr>
                  <w:r>
                    <w:rPr>
                      <w:b/>
                      <w:bCs/>
                      <w:color w:val="auto"/>
                      <w:sz w:val="18"/>
                      <w:szCs w:val="18"/>
                    </w:rPr>
                    <w:t>序号</w:t>
                  </w:r>
                </w:p>
              </w:tc>
              <w:tc>
                <w:tcPr>
                  <w:tcW w:w="1538" w:type="dxa"/>
                  <w:tcBorders>
                    <w:tl2br w:val="nil"/>
                    <w:tr2bl w:val="nil"/>
                  </w:tcBorders>
                  <w:vAlign w:val="center"/>
                </w:tcPr>
                <w:p w14:paraId="7D7764C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b/>
                      <w:bCs/>
                      <w:color w:val="auto"/>
                      <w:sz w:val="18"/>
                      <w:szCs w:val="18"/>
                    </w:rPr>
                  </w:pPr>
                  <w:r>
                    <w:rPr>
                      <w:b/>
                      <w:bCs/>
                      <w:color w:val="auto"/>
                      <w:sz w:val="18"/>
                      <w:szCs w:val="18"/>
                    </w:rPr>
                    <w:t>名称</w:t>
                  </w:r>
                </w:p>
              </w:tc>
              <w:tc>
                <w:tcPr>
                  <w:tcW w:w="2060" w:type="dxa"/>
                  <w:tcBorders>
                    <w:tl2br w:val="nil"/>
                    <w:tr2bl w:val="nil"/>
                  </w:tcBorders>
                  <w:vAlign w:val="center"/>
                </w:tcPr>
                <w:p w14:paraId="016ECA4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b/>
                      <w:bCs/>
                      <w:color w:val="auto"/>
                      <w:sz w:val="18"/>
                      <w:szCs w:val="18"/>
                    </w:rPr>
                  </w:pPr>
                  <w:r>
                    <w:rPr>
                      <w:b/>
                      <w:bCs/>
                      <w:color w:val="auto"/>
                      <w:sz w:val="18"/>
                      <w:szCs w:val="18"/>
                    </w:rPr>
                    <w:t>产生环节</w:t>
                  </w:r>
                </w:p>
              </w:tc>
              <w:tc>
                <w:tcPr>
                  <w:tcW w:w="938" w:type="dxa"/>
                  <w:tcBorders>
                    <w:tl2br w:val="nil"/>
                    <w:tr2bl w:val="nil"/>
                  </w:tcBorders>
                  <w:vAlign w:val="center"/>
                </w:tcPr>
                <w:p w14:paraId="5DBDBF7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b/>
                      <w:bCs/>
                      <w:color w:val="auto"/>
                      <w:sz w:val="18"/>
                      <w:szCs w:val="18"/>
                    </w:rPr>
                  </w:pPr>
                  <w:r>
                    <w:rPr>
                      <w:b/>
                      <w:bCs/>
                      <w:color w:val="auto"/>
                      <w:sz w:val="18"/>
                      <w:szCs w:val="18"/>
                    </w:rPr>
                    <w:t>形态</w:t>
                  </w:r>
                </w:p>
              </w:tc>
              <w:tc>
                <w:tcPr>
                  <w:tcW w:w="1199" w:type="dxa"/>
                  <w:tcBorders>
                    <w:tl2br w:val="nil"/>
                    <w:tr2bl w:val="nil"/>
                  </w:tcBorders>
                  <w:vAlign w:val="center"/>
                </w:tcPr>
                <w:p w14:paraId="3E483193">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b/>
                      <w:bCs/>
                      <w:color w:val="auto"/>
                      <w:sz w:val="18"/>
                      <w:szCs w:val="18"/>
                    </w:rPr>
                  </w:pPr>
                  <w:r>
                    <w:rPr>
                      <w:b/>
                      <w:bCs/>
                      <w:color w:val="auto"/>
                      <w:sz w:val="18"/>
                      <w:szCs w:val="18"/>
                    </w:rPr>
                    <w:t>是否属于固体废物</w:t>
                  </w:r>
                </w:p>
              </w:tc>
              <w:tc>
                <w:tcPr>
                  <w:tcW w:w="1995" w:type="dxa"/>
                  <w:tcBorders>
                    <w:tl2br w:val="nil"/>
                    <w:tr2bl w:val="nil"/>
                  </w:tcBorders>
                  <w:vAlign w:val="center"/>
                </w:tcPr>
                <w:p w14:paraId="3F39254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b/>
                      <w:bCs/>
                      <w:color w:val="auto"/>
                      <w:sz w:val="18"/>
                      <w:szCs w:val="18"/>
                    </w:rPr>
                  </w:pPr>
                  <w:r>
                    <w:rPr>
                      <w:b/>
                      <w:bCs/>
                      <w:color w:val="auto"/>
                      <w:sz w:val="18"/>
                      <w:szCs w:val="18"/>
                    </w:rPr>
                    <w:t>判定依据</w:t>
                  </w:r>
                </w:p>
              </w:tc>
            </w:tr>
            <w:tr w14:paraId="0D597E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vAlign w:val="center"/>
                </w:tcPr>
                <w:p w14:paraId="1F64B32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color w:val="auto"/>
                      <w:sz w:val="18"/>
                      <w:szCs w:val="18"/>
                    </w:rPr>
                  </w:pPr>
                  <w:r>
                    <w:rPr>
                      <w:rFonts w:ascii="Times New Roman"/>
                      <w:color w:val="auto"/>
                      <w:w w:val="100"/>
                      <w:sz w:val="18"/>
                      <w:szCs w:val="18"/>
                    </w:rPr>
                    <w:t>1</w:t>
                  </w:r>
                </w:p>
              </w:tc>
              <w:tc>
                <w:tcPr>
                  <w:tcW w:w="1538" w:type="dxa"/>
                  <w:tcBorders>
                    <w:tl2br w:val="nil"/>
                    <w:tr2bl w:val="nil"/>
                  </w:tcBorders>
                  <w:vAlign w:val="center"/>
                </w:tcPr>
                <w:p w14:paraId="5B6D5DB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边角料</w:t>
                  </w:r>
                </w:p>
              </w:tc>
              <w:tc>
                <w:tcPr>
                  <w:tcW w:w="2060" w:type="dxa"/>
                  <w:tcBorders>
                    <w:tl2br w:val="nil"/>
                    <w:tr2bl w:val="nil"/>
                  </w:tcBorders>
                  <w:vAlign w:val="center"/>
                </w:tcPr>
                <w:p w14:paraId="7580039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切冒口</w:t>
                  </w:r>
                  <w:r>
                    <w:rPr>
                      <w:rFonts w:hint="eastAsia"/>
                      <w:color w:val="auto"/>
                      <w:sz w:val="18"/>
                      <w:szCs w:val="18"/>
                      <w:lang w:eastAsia="zh-CN"/>
                    </w:rPr>
                    <w:t>、</w:t>
                  </w:r>
                  <w:r>
                    <w:rPr>
                      <w:rFonts w:hint="eastAsia"/>
                      <w:color w:val="auto"/>
                      <w:sz w:val="18"/>
                      <w:szCs w:val="18"/>
                      <w:lang w:val="en-US" w:eastAsia="zh-CN"/>
                    </w:rPr>
                    <w:t>机加工（未沾染切削液的金属碎屑）</w:t>
                  </w:r>
                  <w:r>
                    <w:rPr>
                      <w:color w:val="auto"/>
                      <w:sz w:val="18"/>
                      <w:szCs w:val="18"/>
                    </w:rPr>
                    <w:t>等</w:t>
                  </w:r>
                </w:p>
              </w:tc>
              <w:tc>
                <w:tcPr>
                  <w:tcW w:w="938" w:type="dxa"/>
                  <w:tcBorders>
                    <w:tl2br w:val="nil"/>
                    <w:tr2bl w:val="nil"/>
                  </w:tcBorders>
                  <w:vAlign w:val="center"/>
                </w:tcPr>
                <w:p w14:paraId="100AA22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固态</w:t>
                  </w:r>
                </w:p>
              </w:tc>
              <w:tc>
                <w:tcPr>
                  <w:tcW w:w="1199" w:type="dxa"/>
                  <w:tcBorders>
                    <w:tl2br w:val="nil"/>
                    <w:tr2bl w:val="nil"/>
                  </w:tcBorders>
                  <w:vAlign w:val="center"/>
                </w:tcPr>
                <w:p w14:paraId="2524C6F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w w:val="100"/>
                      <w:sz w:val="18"/>
                      <w:szCs w:val="18"/>
                    </w:rPr>
                    <w:t>否</w:t>
                  </w:r>
                </w:p>
              </w:tc>
              <w:tc>
                <w:tcPr>
                  <w:tcW w:w="1995" w:type="dxa"/>
                  <w:vMerge w:val="restart"/>
                  <w:tcBorders>
                    <w:tl2br w:val="nil"/>
                    <w:tr2bl w:val="nil"/>
                  </w:tcBorders>
                  <w:vAlign w:val="center"/>
                </w:tcPr>
                <w:p w14:paraId="11645E4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pacing w:val="-1"/>
                      <w:sz w:val="18"/>
                      <w:szCs w:val="18"/>
                    </w:rPr>
                    <w:t>不经修复和加工重新用于其原始用途</w:t>
                  </w:r>
                </w:p>
              </w:tc>
            </w:tr>
            <w:tr w14:paraId="49E4BD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vAlign w:val="center"/>
                </w:tcPr>
                <w:p w14:paraId="2B498C1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color w:val="auto"/>
                      <w:sz w:val="18"/>
                      <w:szCs w:val="18"/>
                    </w:rPr>
                  </w:pPr>
                  <w:r>
                    <w:rPr>
                      <w:rFonts w:ascii="Times New Roman"/>
                      <w:color w:val="auto"/>
                      <w:w w:val="100"/>
                      <w:sz w:val="18"/>
                      <w:szCs w:val="18"/>
                    </w:rPr>
                    <w:t>2</w:t>
                  </w:r>
                </w:p>
              </w:tc>
              <w:tc>
                <w:tcPr>
                  <w:tcW w:w="1538" w:type="dxa"/>
                  <w:tcBorders>
                    <w:tl2br w:val="nil"/>
                    <w:tr2bl w:val="nil"/>
                  </w:tcBorders>
                  <w:vAlign w:val="center"/>
                </w:tcPr>
                <w:p w14:paraId="1E8A4A1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塑粉</w:t>
                  </w:r>
                </w:p>
              </w:tc>
              <w:tc>
                <w:tcPr>
                  <w:tcW w:w="2060" w:type="dxa"/>
                  <w:tcBorders>
                    <w:tl2br w:val="nil"/>
                    <w:tr2bl w:val="nil"/>
                  </w:tcBorders>
                  <w:vAlign w:val="center"/>
                </w:tcPr>
                <w:p w14:paraId="0A0E896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喷粉</w:t>
                  </w:r>
                </w:p>
              </w:tc>
              <w:tc>
                <w:tcPr>
                  <w:tcW w:w="938" w:type="dxa"/>
                  <w:tcBorders>
                    <w:tl2br w:val="nil"/>
                    <w:tr2bl w:val="nil"/>
                  </w:tcBorders>
                  <w:vAlign w:val="center"/>
                </w:tcPr>
                <w:p w14:paraId="3738724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固态</w:t>
                  </w:r>
                </w:p>
              </w:tc>
              <w:tc>
                <w:tcPr>
                  <w:tcW w:w="1199" w:type="dxa"/>
                  <w:tcBorders>
                    <w:tl2br w:val="nil"/>
                    <w:tr2bl w:val="nil"/>
                  </w:tcBorders>
                  <w:vAlign w:val="center"/>
                </w:tcPr>
                <w:p w14:paraId="3F69885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w w:val="100"/>
                      <w:sz w:val="18"/>
                      <w:szCs w:val="18"/>
                    </w:rPr>
                    <w:t>否</w:t>
                  </w:r>
                </w:p>
              </w:tc>
              <w:tc>
                <w:tcPr>
                  <w:tcW w:w="1995" w:type="dxa"/>
                  <w:vMerge w:val="continue"/>
                  <w:tcBorders>
                    <w:tl2br w:val="nil"/>
                    <w:tr2bl w:val="nil"/>
                  </w:tcBorders>
                  <w:vAlign w:val="center"/>
                </w:tcPr>
                <w:p w14:paraId="67661411">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p>
              </w:tc>
            </w:tr>
            <w:tr w14:paraId="28FEA6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086775B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3</w:t>
                  </w:r>
                </w:p>
              </w:tc>
              <w:tc>
                <w:tcPr>
                  <w:tcW w:w="1538" w:type="dxa"/>
                  <w:tcBorders>
                    <w:tl2br w:val="nil"/>
                    <w:tr2bl w:val="nil"/>
                  </w:tcBorders>
                  <w:shd w:val="clear" w:color="auto" w:fill="auto"/>
                  <w:vAlign w:val="center"/>
                </w:tcPr>
                <w:p w14:paraId="541E269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color w:val="auto"/>
                      <w:sz w:val="18"/>
                      <w:szCs w:val="18"/>
                    </w:rPr>
                    <w:t>废包装桶</w:t>
                  </w:r>
                  <w:r>
                    <w:rPr>
                      <w:color w:val="auto"/>
                      <w:sz w:val="18"/>
                      <w:szCs w:val="18"/>
                      <w:vertAlign w:val="superscript"/>
                    </w:rPr>
                    <w:t>注</w:t>
                  </w:r>
                </w:p>
              </w:tc>
              <w:tc>
                <w:tcPr>
                  <w:tcW w:w="2060" w:type="dxa"/>
                  <w:tcBorders>
                    <w:tl2br w:val="nil"/>
                    <w:tr2bl w:val="nil"/>
                  </w:tcBorders>
                  <w:shd w:val="clear" w:color="auto" w:fill="auto"/>
                  <w:vAlign w:val="center"/>
                </w:tcPr>
                <w:p w14:paraId="50C0812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color w:val="auto"/>
                      <w:sz w:val="18"/>
                      <w:szCs w:val="18"/>
                    </w:rPr>
                    <w:t>/</w:t>
                  </w:r>
                </w:p>
              </w:tc>
              <w:tc>
                <w:tcPr>
                  <w:tcW w:w="938" w:type="dxa"/>
                  <w:tcBorders>
                    <w:tl2br w:val="nil"/>
                    <w:tr2bl w:val="nil"/>
                  </w:tcBorders>
                  <w:shd w:val="clear" w:color="auto" w:fill="auto"/>
                  <w:vAlign w:val="center"/>
                </w:tcPr>
                <w:p w14:paraId="36CE970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固态</w:t>
                  </w:r>
                </w:p>
              </w:tc>
              <w:tc>
                <w:tcPr>
                  <w:tcW w:w="1199" w:type="dxa"/>
                  <w:tcBorders>
                    <w:tl2br w:val="nil"/>
                    <w:tr2bl w:val="nil"/>
                  </w:tcBorders>
                  <w:shd w:val="clear" w:color="auto" w:fill="auto"/>
                  <w:vAlign w:val="center"/>
                </w:tcPr>
                <w:p w14:paraId="5B8B79D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否</w:t>
                  </w:r>
                </w:p>
              </w:tc>
              <w:tc>
                <w:tcPr>
                  <w:tcW w:w="1995" w:type="dxa"/>
                  <w:vMerge w:val="continue"/>
                  <w:tcBorders>
                    <w:tl2br w:val="nil"/>
                    <w:tr2bl w:val="nil"/>
                  </w:tcBorders>
                  <w:vAlign w:val="center"/>
                </w:tcPr>
                <w:p w14:paraId="5B15685B">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p>
              </w:tc>
            </w:tr>
            <w:tr w14:paraId="6E2AB3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46DCE97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4</w:t>
                  </w:r>
                </w:p>
              </w:tc>
              <w:tc>
                <w:tcPr>
                  <w:tcW w:w="1538" w:type="dxa"/>
                  <w:tcBorders>
                    <w:tl2br w:val="nil"/>
                    <w:tr2bl w:val="nil"/>
                  </w:tcBorders>
                  <w:vAlign w:val="center"/>
                </w:tcPr>
                <w:p w14:paraId="4CEA5EB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中频炉废炉渣</w:t>
                  </w:r>
                </w:p>
              </w:tc>
              <w:tc>
                <w:tcPr>
                  <w:tcW w:w="2060" w:type="dxa"/>
                  <w:tcBorders>
                    <w:tl2br w:val="nil"/>
                    <w:tr2bl w:val="nil"/>
                  </w:tcBorders>
                  <w:vAlign w:val="center"/>
                </w:tcPr>
                <w:p w14:paraId="226B25E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中频炉熔化</w:t>
                  </w:r>
                </w:p>
              </w:tc>
              <w:tc>
                <w:tcPr>
                  <w:tcW w:w="938" w:type="dxa"/>
                  <w:tcBorders>
                    <w:tl2br w:val="nil"/>
                    <w:tr2bl w:val="nil"/>
                  </w:tcBorders>
                  <w:vAlign w:val="center"/>
                </w:tcPr>
                <w:p w14:paraId="6C1CD56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固态</w:t>
                  </w:r>
                </w:p>
              </w:tc>
              <w:tc>
                <w:tcPr>
                  <w:tcW w:w="1199" w:type="dxa"/>
                  <w:tcBorders>
                    <w:tl2br w:val="nil"/>
                    <w:tr2bl w:val="nil"/>
                  </w:tcBorders>
                  <w:vAlign w:val="center"/>
                </w:tcPr>
                <w:p w14:paraId="3F74E40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w w:val="100"/>
                      <w:sz w:val="18"/>
                      <w:szCs w:val="18"/>
                    </w:rPr>
                    <w:t>是</w:t>
                  </w:r>
                </w:p>
              </w:tc>
              <w:tc>
                <w:tcPr>
                  <w:tcW w:w="1995" w:type="dxa"/>
                  <w:vMerge w:val="restart"/>
                  <w:tcBorders>
                    <w:tl2br w:val="nil"/>
                    <w:tr2bl w:val="nil"/>
                  </w:tcBorders>
                  <w:vAlign w:val="center"/>
                </w:tcPr>
                <w:p w14:paraId="7501844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丧失原有使用价值的物质</w:t>
                  </w:r>
                </w:p>
              </w:tc>
            </w:tr>
            <w:tr w14:paraId="27564E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695FDFF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5</w:t>
                  </w:r>
                </w:p>
              </w:tc>
              <w:tc>
                <w:tcPr>
                  <w:tcW w:w="1538" w:type="dxa"/>
                  <w:tcBorders>
                    <w:tl2br w:val="nil"/>
                    <w:tr2bl w:val="nil"/>
                  </w:tcBorders>
                  <w:vAlign w:val="center"/>
                </w:tcPr>
                <w:p w14:paraId="61D60B0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铝灰渣</w:t>
                  </w:r>
                </w:p>
              </w:tc>
              <w:tc>
                <w:tcPr>
                  <w:tcW w:w="2060" w:type="dxa"/>
                  <w:tcBorders>
                    <w:tl2br w:val="nil"/>
                    <w:tr2bl w:val="nil"/>
                  </w:tcBorders>
                  <w:vAlign w:val="center"/>
                </w:tcPr>
                <w:p w14:paraId="2D3A3AA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压铸电熔炉熔化</w:t>
                  </w:r>
                </w:p>
              </w:tc>
              <w:tc>
                <w:tcPr>
                  <w:tcW w:w="938" w:type="dxa"/>
                  <w:tcBorders>
                    <w:tl2br w:val="nil"/>
                    <w:tr2bl w:val="nil"/>
                  </w:tcBorders>
                  <w:vAlign w:val="center"/>
                </w:tcPr>
                <w:p w14:paraId="714F7DA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固态</w:t>
                  </w:r>
                </w:p>
              </w:tc>
              <w:tc>
                <w:tcPr>
                  <w:tcW w:w="1199" w:type="dxa"/>
                  <w:tcBorders>
                    <w:tl2br w:val="nil"/>
                    <w:tr2bl w:val="nil"/>
                  </w:tcBorders>
                  <w:vAlign w:val="center"/>
                </w:tcPr>
                <w:p w14:paraId="278CCEA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w w:val="100"/>
                      <w:sz w:val="18"/>
                      <w:szCs w:val="18"/>
                    </w:rPr>
                    <w:t>是</w:t>
                  </w:r>
                </w:p>
              </w:tc>
              <w:tc>
                <w:tcPr>
                  <w:tcW w:w="1995" w:type="dxa"/>
                  <w:vMerge w:val="continue"/>
                  <w:tcBorders>
                    <w:tl2br w:val="nil"/>
                    <w:tr2bl w:val="nil"/>
                  </w:tcBorders>
                  <w:vAlign w:val="center"/>
                </w:tcPr>
                <w:p w14:paraId="0FDDBA5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color w:val="auto"/>
                      <w:sz w:val="18"/>
                      <w:szCs w:val="18"/>
                    </w:rPr>
                  </w:pPr>
                </w:p>
              </w:tc>
            </w:tr>
            <w:tr w14:paraId="2D75A5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034CA8A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6</w:t>
                  </w:r>
                </w:p>
              </w:tc>
              <w:tc>
                <w:tcPr>
                  <w:tcW w:w="1538" w:type="dxa"/>
                  <w:tcBorders>
                    <w:tl2br w:val="nil"/>
                    <w:tr2bl w:val="nil"/>
                  </w:tcBorders>
                  <w:vAlign w:val="center"/>
                </w:tcPr>
                <w:p w14:paraId="0367874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废砂</w:t>
                  </w:r>
                </w:p>
              </w:tc>
              <w:tc>
                <w:tcPr>
                  <w:tcW w:w="2060" w:type="dxa"/>
                  <w:tcBorders>
                    <w:tl2br w:val="nil"/>
                    <w:tr2bl w:val="nil"/>
                  </w:tcBorders>
                  <w:vAlign w:val="center"/>
                </w:tcPr>
                <w:p w14:paraId="346BE84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eastAsia="宋体"/>
                      <w:color w:val="auto"/>
                      <w:sz w:val="18"/>
                      <w:szCs w:val="18"/>
                      <w:lang w:val="en-US" w:eastAsia="zh-CN"/>
                    </w:rPr>
                  </w:pPr>
                  <w:r>
                    <w:rPr>
                      <w:color w:val="auto"/>
                      <w:sz w:val="18"/>
                      <w:szCs w:val="18"/>
                    </w:rPr>
                    <w:t>砂再生、熔模铸造</w:t>
                  </w:r>
                  <w:r>
                    <w:rPr>
                      <w:rFonts w:hint="eastAsia"/>
                      <w:color w:val="auto"/>
                      <w:sz w:val="18"/>
                      <w:szCs w:val="18"/>
                      <w:lang w:eastAsia="zh-CN"/>
                    </w:rPr>
                    <w:t>、</w:t>
                  </w:r>
                  <w:r>
                    <w:rPr>
                      <w:color w:val="auto"/>
                      <w:sz w:val="18"/>
                      <w:szCs w:val="18"/>
                    </w:rPr>
                    <w:t>脱壳</w:t>
                  </w:r>
                  <w:r>
                    <w:rPr>
                      <w:rFonts w:hint="eastAsia"/>
                      <w:color w:val="auto"/>
                      <w:sz w:val="18"/>
                      <w:szCs w:val="18"/>
                      <w:lang w:eastAsia="zh-CN"/>
                    </w:rPr>
                    <w:t>、</w:t>
                  </w:r>
                  <w:r>
                    <w:rPr>
                      <w:rFonts w:hint="eastAsia"/>
                      <w:color w:val="auto"/>
                      <w:sz w:val="18"/>
                      <w:szCs w:val="18"/>
                      <w:lang w:val="en-US" w:eastAsia="zh-CN"/>
                    </w:rPr>
                    <w:t>抛丸</w:t>
                  </w:r>
                </w:p>
              </w:tc>
              <w:tc>
                <w:tcPr>
                  <w:tcW w:w="938" w:type="dxa"/>
                  <w:tcBorders>
                    <w:tl2br w:val="nil"/>
                    <w:tr2bl w:val="nil"/>
                  </w:tcBorders>
                  <w:vAlign w:val="center"/>
                </w:tcPr>
                <w:p w14:paraId="207580E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固态</w:t>
                  </w:r>
                </w:p>
              </w:tc>
              <w:tc>
                <w:tcPr>
                  <w:tcW w:w="1199" w:type="dxa"/>
                  <w:tcBorders>
                    <w:tl2br w:val="nil"/>
                    <w:tr2bl w:val="nil"/>
                  </w:tcBorders>
                  <w:vAlign w:val="center"/>
                </w:tcPr>
                <w:p w14:paraId="2240C9A7">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w w:val="100"/>
                      <w:sz w:val="18"/>
                      <w:szCs w:val="18"/>
                    </w:rPr>
                    <w:t>是</w:t>
                  </w:r>
                </w:p>
              </w:tc>
              <w:tc>
                <w:tcPr>
                  <w:tcW w:w="1995" w:type="dxa"/>
                  <w:vMerge w:val="continue"/>
                  <w:tcBorders>
                    <w:tl2br w:val="nil"/>
                    <w:tr2bl w:val="nil"/>
                  </w:tcBorders>
                  <w:vAlign w:val="center"/>
                </w:tcPr>
                <w:p w14:paraId="5AFFAC7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p>
              </w:tc>
            </w:tr>
            <w:tr w14:paraId="77CC73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304C957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7</w:t>
                  </w:r>
                </w:p>
              </w:tc>
              <w:tc>
                <w:tcPr>
                  <w:tcW w:w="1538" w:type="dxa"/>
                  <w:tcBorders>
                    <w:tl2br w:val="nil"/>
                    <w:tr2bl w:val="nil"/>
                  </w:tcBorders>
                  <w:shd w:val="clear" w:color="auto" w:fill="auto"/>
                  <w:vAlign w:val="center"/>
                </w:tcPr>
                <w:p w14:paraId="11E3934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废石蜡</w:t>
                  </w:r>
                </w:p>
              </w:tc>
              <w:tc>
                <w:tcPr>
                  <w:tcW w:w="2060" w:type="dxa"/>
                  <w:tcBorders>
                    <w:tl2br w:val="nil"/>
                    <w:tr2bl w:val="nil"/>
                  </w:tcBorders>
                  <w:shd w:val="clear" w:color="auto" w:fill="auto"/>
                  <w:vAlign w:val="center"/>
                </w:tcPr>
                <w:p w14:paraId="3742989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蜡模铸造工艺</w:t>
                  </w:r>
                </w:p>
              </w:tc>
              <w:tc>
                <w:tcPr>
                  <w:tcW w:w="938" w:type="dxa"/>
                  <w:tcBorders>
                    <w:tl2br w:val="nil"/>
                    <w:tr2bl w:val="nil"/>
                  </w:tcBorders>
                  <w:shd w:val="clear" w:color="auto" w:fill="auto"/>
                  <w:vAlign w:val="center"/>
                </w:tcPr>
                <w:p w14:paraId="4A806B2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固态</w:t>
                  </w:r>
                </w:p>
              </w:tc>
              <w:tc>
                <w:tcPr>
                  <w:tcW w:w="1199" w:type="dxa"/>
                  <w:tcBorders>
                    <w:tl2br w:val="nil"/>
                    <w:tr2bl w:val="nil"/>
                  </w:tcBorders>
                  <w:shd w:val="clear" w:color="auto" w:fill="auto"/>
                  <w:vAlign w:val="center"/>
                </w:tcPr>
                <w:p w14:paraId="1C104F6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是</w:t>
                  </w:r>
                </w:p>
              </w:tc>
              <w:tc>
                <w:tcPr>
                  <w:tcW w:w="1995" w:type="dxa"/>
                  <w:vMerge w:val="continue"/>
                  <w:tcBorders>
                    <w:tl2br w:val="nil"/>
                    <w:tr2bl w:val="nil"/>
                  </w:tcBorders>
                  <w:vAlign w:val="center"/>
                </w:tcPr>
                <w:p w14:paraId="0F5AB48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color w:val="auto"/>
                      <w:sz w:val="18"/>
                      <w:szCs w:val="18"/>
                    </w:rPr>
                  </w:pPr>
                </w:p>
              </w:tc>
            </w:tr>
            <w:tr w14:paraId="493958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7BD9FFE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w w:val="100"/>
                      <w:sz w:val="18"/>
                      <w:szCs w:val="18"/>
                    </w:rPr>
                    <w:t>8</w:t>
                  </w:r>
                </w:p>
              </w:tc>
              <w:tc>
                <w:tcPr>
                  <w:tcW w:w="1538" w:type="dxa"/>
                  <w:tcBorders>
                    <w:tl2br w:val="nil"/>
                    <w:tr2bl w:val="nil"/>
                  </w:tcBorders>
                  <w:shd w:val="clear" w:color="auto" w:fill="auto"/>
                  <w:vAlign w:val="center"/>
                </w:tcPr>
                <w:p w14:paraId="4B3048D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废边角料</w:t>
                  </w:r>
                </w:p>
              </w:tc>
              <w:tc>
                <w:tcPr>
                  <w:tcW w:w="2060" w:type="dxa"/>
                  <w:tcBorders>
                    <w:tl2br w:val="nil"/>
                    <w:tr2bl w:val="nil"/>
                  </w:tcBorders>
                  <w:shd w:val="clear" w:color="auto" w:fill="auto"/>
                  <w:vAlign w:val="center"/>
                </w:tcPr>
                <w:p w14:paraId="5BB4DD7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红冲工艺切割分</w:t>
                  </w:r>
                  <w:r>
                    <w:rPr>
                      <w:color w:val="auto"/>
                      <w:spacing w:val="-1"/>
                      <w:sz w:val="18"/>
                      <w:szCs w:val="18"/>
                    </w:rPr>
                    <w:t>段、修边抛光、压</w:t>
                  </w:r>
                  <w:r>
                    <w:rPr>
                      <w:color w:val="auto"/>
                      <w:sz w:val="18"/>
                      <w:szCs w:val="18"/>
                    </w:rPr>
                    <w:t>铸抛光去毛刺</w:t>
                  </w:r>
                </w:p>
              </w:tc>
              <w:tc>
                <w:tcPr>
                  <w:tcW w:w="938" w:type="dxa"/>
                  <w:tcBorders>
                    <w:tl2br w:val="nil"/>
                    <w:tr2bl w:val="nil"/>
                  </w:tcBorders>
                  <w:shd w:val="clear" w:color="auto" w:fill="auto"/>
                  <w:vAlign w:val="center"/>
                </w:tcPr>
                <w:p w14:paraId="077C7425">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固态</w:t>
                  </w:r>
                </w:p>
              </w:tc>
              <w:tc>
                <w:tcPr>
                  <w:tcW w:w="1199" w:type="dxa"/>
                  <w:tcBorders>
                    <w:tl2br w:val="nil"/>
                    <w:tr2bl w:val="nil"/>
                  </w:tcBorders>
                  <w:shd w:val="clear" w:color="auto" w:fill="auto"/>
                  <w:vAlign w:val="center"/>
                </w:tcPr>
                <w:p w14:paraId="09424E2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是</w:t>
                  </w:r>
                </w:p>
              </w:tc>
              <w:tc>
                <w:tcPr>
                  <w:tcW w:w="1995" w:type="dxa"/>
                  <w:vMerge w:val="continue"/>
                  <w:tcBorders>
                    <w:tl2br w:val="nil"/>
                    <w:tr2bl w:val="nil"/>
                  </w:tcBorders>
                  <w:vAlign w:val="center"/>
                </w:tcPr>
                <w:p w14:paraId="7BEDE5A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color w:val="auto"/>
                      <w:sz w:val="18"/>
                      <w:szCs w:val="18"/>
                    </w:rPr>
                  </w:pPr>
                </w:p>
              </w:tc>
            </w:tr>
            <w:tr w14:paraId="56155A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48E489B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w:t>
                  </w:r>
                </w:p>
              </w:tc>
              <w:tc>
                <w:tcPr>
                  <w:tcW w:w="1538" w:type="dxa"/>
                  <w:tcBorders>
                    <w:tl2br w:val="nil"/>
                    <w:tr2bl w:val="nil"/>
                  </w:tcBorders>
                  <w:shd w:val="clear" w:color="auto" w:fill="auto"/>
                  <w:vAlign w:val="center"/>
                </w:tcPr>
                <w:p w14:paraId="0C60F25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涤纶边角料</w:t>
                  </w:r>
                </w:p>
              </w:tc>
              <w:tc>
                <w:tcPr>
                  <w:tcW w:w="2060" w:type="dxa"/>
                  <w:tcBorders>
                    <w:tl2br w:val="nil"/>
                    <w:tr2bl w:val="nil"/>
                  </w:tcBorders>
                  <w:shd w:val="clear" w:color="auto" w:fill="auto"/>
                  <w:vAlign w:val="center"/>
                </w:tcPr>
                <w:p w14:paraId="76E07DDC">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捻丝、织造</w:t>
                  </w:r>
                </w:p>
              </w:tc>
              <w:tc>
                <w:tcPr>
                  <w:tcW w:w="938" w:type="dxa"/>
                  <w:tcBorders>
                    <w:tl2br w:val="nil"/>
                    <w:tr2bl w:val="nil"/>
                  </w:tcBorders>
                  <w:shd w:val="clear" w:color="auto" w:fill="auto"/>
                  <w:vAlign w:val="center"/>
                </w:tcPr>
                <w:p w14:paraId="63DF8D1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固态</w:t>
                  </w:r>
                </w:p>
              </w:tc>
              <w:tc>
                <w:tcPr>
                  <w:tcW w:w="1199" w:type="dxa"/>
                  <w:tcBorders>
                    <w:tl2br w:val="nil"/>
                    <w:tr2bl w:val="nil"/>
                  </w:tcBorders>
                  <w:shd w:val="clear" w:color="auto" w:fill="auto"/>
                  <w:vAlign w:val="center"/>
                </w:tcPr>
                <w:p w14:paraId="24654A1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是</w:t>
                  </w:r>
                </w:p>
              </w:tc>
              <w:tc>
                <w:tcPr>
                  <w:tcW w:w="1995" w:type="dxa"/>
                  <w:vMerge w:val="continue"/>
                  <w:tcBorders>
                    <w:tl2br w:val="nil"/>
                    <w:tr2bl w:val="nil"/>
                  </w:tcBorders>
                  <w:vAlign w:val="center"/>
                </w:tcPr>
                <w:p w14:paraId="23AB63F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ascii="Times New Roman"/>
                      <w:color w:val="auto"/>
                      <w:sz w:val="18"/>
                      <w:szCs w:val="18"/>
                    </w:rPr>
                  </w:pPr>
                </w:p>
              </w:tc>
            </w:tr>
            <w:tr w14:paraId="17123D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41DBDB82">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ascii="Times New Roman"/>
                      <w:color w:val="auto"/>
                      <w:sz w:val="18"/>
                      <w:szCs w:val="18"/>
                    </w:rPr>
                    <w:t>10</w:t>
                  </w:r>
                </w:p>
              </w:tc>
              <w:tc>
                <w:tcPr>
                  <w:tcW w:w="1538" w:type="dxa"/>
                  <w:tcBorders>
                    <w:tl2br w:val="nil"/>
                    <w:tr2bl w:val="nil"/>
                  </w:tcBorders>
                  <w:shd w:val="clear" w:color="auto" w:fill="auto"/>
                  <w:vAlign w:val="center"/>
                </w:tcPr>
                <w:p w14:paraId="5A66A50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废切削液</w:t>
                  </w:r>
                </w:p>
              </w:tc>
              <w:tc>
                <w:tcPr>
                  <w:tcW w:w="2060" w:type="dxa"/>
                  <w:tcBorders>
                    <w:tl2br w:val="nil"/>
                    <w:tr2bl w:val="nil"/>
                  </w:tcBorders>
                  <w:shd w:val="clear" w:color="auto" w:fill="auto"/>
                  <w:vAlign w:val="center"/>
                </w:tcPr>
                <w:p w14:paraId="26E0325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机加工</w:t>
                  </w:r>
                </w:p>
              </w:tc>
              <w:tc>
                <w:tcPr>
                  <w:tcW w:w="938" w:type="dxa"/>
                  <w:tcBorders>
                    <w:tl2br w:val="nil"/>
                    <w:tr2bl w:val="nil"/>
                  </w:tcBorders>
                  <w:shd w:val="clear" w:color="auto" w:fill="auto"/>
                  <w:vAlign w:val="center"/>
                </w:tcPr>
                <w:p w14:paraId="0F30CAD3">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液态</w:t>
                  </w:r>
                </w:p>
              </w:tc>
              <w:tc>
                <w:tcPr>
                  <w:tcW w:w="1199" w:type="dxa"/>
                  <w:tcBorders>
                    <w:tl2br w:val="nil"/>
                    <w:tr2bl w:val="nil"/>
                  </w:tcBorders>
                  <w:shd w:val="clear" w:color="auto" w:fill="auto"/>
                  <w:vAlign w:val="center"/>
                </w:tcPr>
                <w:p w14:paraId="0A50865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是</w:t>
                  </w:r>
                </w:p>
              </w:tc>
              <w:tc>
                <w:tcPr>
                  <w:tcW w:w="1995" w:type="dxa"/>
                  <w:vMerge w:val="continue"/>
                  <w:tcBorders>
                    <w:tl2br w:val="nil"/>
                    <w:tr2bl w:val="nil"/>
                  </w:tcBorders>
                  <w:vAlign w:val="center"/>
                </w:tcPr>
                <w:p w14:paraId="502A1C62">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p>
              </w:tc>
            </w:tr>
            <w:tr w14:paraId="602810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1A7FDE56">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ascii="Times New Roman"/>
                      <w:color w:val="auto"/>
                      <w:sz w:val="18"/>
                      <w:szCs w:val="18"/>
                    </w:rPr>
                    <w:t>11</w:t>
                  </w:r>
                </w:p>
              </w:tc>
              <w:tc>
                <w:tcPr>
                  <w:tcW w:w="1538" w:type="dxa"/>
                  <w:tcBorders>
                    <w:tl2br w:val="nil"/>
                    <w:tr2bl w:val="nil"/>
                  </w:tcBorders>
                  <w:shd w:val="clear" w:color="auto" w:fill="auto"/>
                  <w:vAlign w:val="center"/>
                </w:tcPr>
                <w:p w14:paraId="20581AE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废液压油</w:t>
                  </w:r>
                </w:p>
              </w:tc>
              <w:tc>
                <w:tcPr>
                  <w:tcW w:w="2060" w:type="dxa"/>
                  <w:tcBorders>
                    <w:tl2br w:val="nil"/>
                    <w:tr2bl w:val="nil"/>
                  </w:tcBorders>
                  <w:shd w:val="clear" w:color="auto" w:fill="auto"/>
                  <w:vAlign w:val="center"/>
                </w:tcPr>
                <w:p w14:paraId="7B6B126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红冲、压铸</w:t>
                  </w:r>
                </w:p>
              </w:tc>
              <w:tc>
                <w:tcPr>
                  <w:tcW w:w="938" w:type="dxa"/>
                  <w:tcBorders>
                    <w:tl2br w:val="nil"/>
                    <w:tr2bl w:val="nil"/>
                  </w:tcBorders>
                  <w:shd w:val="clear" w:color="auto" w:fill="auto"/>
                  <w:vAlign w:val="center"/>
                </w:tcPr>
                <w:p w14:paraId="37A9E770">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液态</w:t>
                  </w:r>
                </w:p>
              </w:tc>
              <w:tc>
                <w:tcPr>
                  <w:tcW w:w="1199" w:type="dxa"/>
                  <w:tcBorders>
                    <w:tl2br w:val="nil"/>
                    <w:tr2bl w:val="nil"/>
                  </w:tcBorders>
                  <w:shd w:val="clear" w:color="auto" w:fill="auto"/>
                  <w:vAlign w:val="center"/>
                </w:tcPr>
                <w:p w14:paraId="50512BB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是</w:t>
                  </w:r>
                </w:p>
              </w:tc>
              <w:tc>
                <w:tcPr>
                  <w:tcW w:w="1995" w:type="dxa"/>
                  <w:vMerge w:val="continue"/>
                  <w:tcBorders>
                    <w:tl2br w:val="nil"/>
                    <w:tr2bl w:val="nil"/>
                  </w:tcBorders>
                  <w:vAlign w:val="center"/>
                </w:tcPr>
                <w:p w14:paraId="1BF463E1">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p>
              </w:tc>
            </w:tr>
            <w:tr w14:paraId="7AAA53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317F40C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ascii="Times New Roman"/>
                      <w:color w:val="auto"/>
                      <w:sz w:val="18"/>
                      <w:szCs w:val="18"/>
                    </w:rPr>
                    <w:t>12</w:t>
                  </w:r>
                </w:p>
              </w:tc>
              <w:tc>
                <w:tcPr>
                  <w:tcW w:w="1538" w:type="dxa"/>
                  <w:tcBorders>
                    <w:tl2br w:val="nil"/>
                    <w:tr2bl w:val="nil"/>
                  </w:tcBorders>
                  <w:vAlign w:val="center"/>
                </w:tcPr>
                <w:p w14:paraId="6EE115B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废活性炭</w:t>
                  </w:r>
                </w:p>
              </w:tc>
              <w:tc>
                <w:tcPr>
                  <w:tcW w:w="2060" w:type="dxa"/>
                  <w:tcBorders>
                    <w:tl2br w:val="nil"/>
                    <w:tr2bl w:val="nil"/>
                  </w:tcBorders>
                  <w:vAlign w:val="center"/>
                </w:tcPr>
                <w:p w14:paraId="50FEBD3F">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color w:val="auto"/>
                      <w:sz w:val="18"/>
                      <w:szCs w:val="18"/>
                      <w:lang w:val="en-US"/>
                    </w:rPr>
                  </w:pPr>
                  <w:r>
                    <w:rPr>
                      <w:rFonts w:hint="eastAsia"/>
                      <w:color w:val="auto"/>
                      <w:sz w:val="18"/>
                      <w:szCs w:val="18"/>
                      <w:lang w:val="en-US" w:eastAsia="zh-CN"/>
                    </w:rPr>
                    <w:t>有机</w:t>
                  </w:r>
                  <w:r>
                    <w:rPr>
                      <w:color w:val="auto"/>
                      <w:sz w:val="18"/>
                      <w:szCs w:val="18"/>
                    </w:rPr>
                    <w:t>废气治理</w:t>
                  </w:r>
                  <w:r>
                    <w:rPr>
                      <w:rFonts w:hint="eastAsia"/>
                      <w:color w:val="auto"/>
                      <w:sz w:val="18"/>
                      <w:szCs w:val="18"/>
                      <w:lang w:val="en-US" w:eastAsia="zh-CN"/>
                    </w:rPr>
                    <w:t>设施维护</w:t>
                  </w:r>
                </w:p>
              </w:tc>
              <w:tc>
                <w:tcPr>
                  <w:tcW w:w="938" w:type="dxa"/>
                  <w:tcBorders>
                    <w:tl2br w:val="nil"/>
                    <w:tr2bl w:val="nil"/>
                  </w:tcBorders>
                  <w:vAlign w:val="center"/>
                </w:tcPr>
                <w:p w14:paraId="792A3053">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z w:val="18"/>
                      <w:szCs w:val="18"/>
                    </w:rPr>
                    <w:t>固态</w:t>
                  </w:r>
                </w:p>
              </w:tc>
              <w:tc>
                <w:tcPr>
                  <w:tcW w:w="1199" w:type="dxa"/>
                  <w:tcBorders>
                    <w:tl2br w:val="nil"/>
                    <w:tr2bl w:val="nil"/>
                  </w:tcBorders>
                  <w:vAlign w:val="center"/>
                </w:tcPr>
                <w:p w14:paraId="46362C4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w w:val="100"/>
                      <w:sz w:val="18"/>
                      <w:szCs w:val="18"/>
                    </w:rPr>
                    <w:t>是</w:t>
                  </w:r>
                </w:p>
              </w:tc>
              <w:tc>
                <w:tcPr>
                  <w:tcW w:w="1995" w:type="dxa"/>
                  <w:vMerge w:val="restart"/>
                  <w:tcBorders>
                    <w:tl2br w:val="nil"/>
                    <w:tr2bl w:val="nil"/>
                  </w:tcBorders>
                  <w:vAlign w:val="center"/>
                </w:tcPr>
                <w:p w14:paraId="0F17827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z w:val="18"/>
                      <w:szCs w:val="18"/>
                    </w:rPr>
                  </w:pPr>
                  <w:r>
                    <w:rPr>
                      <w:color w:val="auto"/>
                      <w:spacing w:val="-1"/>
                      <w:sz w:val="18"/>
                      <w:szCs w:val="18"/>
                    </w:rPr>
                    <w:t>环境治理和污染控制过程中产生的物</w:t>
                  </w:r>
                  <w:r>
                    <w:rPr>
                      <w:color w:val="auto"/>
                      <w:sz w:val="18"/>
                      <w:szCs w:val="18"/>
                    </w:rPr>
                    <w:t>质</w:t>
                  </w:r>
                </w:p>
              </w:tc>
            </w:tr>
            <w:tr w14:paraId="676F1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4557820E">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13</w:t>
                  </w:r>
                </w:p>
              </w:tc>
              <w:tc>
                <w:tcPr>
                  <w:tcW w:w="1538" w:type="dxa"/>
                  <w:tcBorders>
                    <w:tl2br w:val="nil"/>
                    <w:tr2bl w:val="nil"/>
                  </w:tcBorders>
                  <w:vAlign w:val="center"/>
                </w:tcPr>
                <w:p w14:paraId="76BA8E3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eastAsia="宋体"/>
                      <w:color w:val="auto"/>
                      <w:sz w:val="18"/>
                      <w:szCs w:val="18"/>
                      <w:lang w:val="en-US" w:eastAsia="zh-CN"/>
                    </w:rPr>
                  </w:pPr>
                  <w:r>
                    <w:rPr>
                      <w:rFonts w:hint="eastAsia"/>
                      <w:color w:val="auto"/>
                      <w:sz w:val="18"/>
                      <w:szCs w:val="18"/>
                      <w:lang w:val="en-US" w:eastAsia="zh-CN"/>
                    </w:rPr>
                    <w:t>废除尘布袋</w:t>
                  </w:r>
                </w:p>
              </w:tc>
              <w:tc>
                <w:tcPr>
                  <w:tcW w:w="2060" w:type="dxa"/>
                  <w:tcBorders>
                    <w:tl2br w:val="nil"/>
                    <w:tr2bl w:val="nil"/>
                  </w:tcBorders>
                  <w:vAlign w:val="center"/>
                </w:tcPr>
                <w:p w14:paraId="105DB48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eastAsia="宋体"/>
                      <w:color w:val="auto"/>
                      <w:sz w:val="18"/>
                      <w:szCs w:val="18"/>
                      <w:lang w:val="en-US" w:eastAsia="zh-CN"/>
                    </w:rPr>
                  </w:pPr>
                  <w:r>
                    <w:rPr>
                      <w:rFonts w:hint="eastAsia"/>
                      <w:color w:val="auto"/>
                      <w:sz w:val="18"/>
                      <w:szCs w:val="18"/>
                      <w:lang w:val="en-US" w:eastAsia="zh-CN"/>
                    </w:rPr>
                    <w:t>含尘</w:t>
                  </w:r>
                  <w:r>
                    <w:rPr>
                      <w:color w:val="auto"/>
                      <w:sz w:val="18"/>
                      <w:szCs w:val="18"/>
                    </w:rPr>
                    <w:t>废气治理</w:t>
                  </w:r>
                  <w:r>
                    <w:rPr>
                      <w:rFonts w:hint="eastAsia"/>
                      <w:color w:val="auto"/>
                      <w:sz w:val="18"/>
                      <w:szCs w:val="18"/>
                      <w:lang w:val="en-US" w:eastAsia="zh-CN"/>
                    </w:rPr>
                    <w:t>设施维护</w:t>
                  </w:r>
                </w:p>
              </w:tc>
              <w:tc>
                <w:tcPr>
                  <w:tcW w:w="938" w:type="dxa"/>
                  <w:tcBorders>
                    <w:tl2br w:val="nil"/>
                    <w:tr2bl w:val="nil"/>
                  </w:tcBorders>
                  <w:shd w:val="clear" w:color="auto" w:fill="auto"/>
                  <w:vAlign w:val="center"/>
                </w:tcPr>
                <w:p w14:paraId="55A3CD84">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固态</w:t>
                  </w:r>
                </w:p>
              </w:tc>
              <w:tc>
                <w:tcPr>
                  <w:tcW w:w="1199" w:type="dxa"/>
                  <w:tcBorders>
                    <w:tl2br w:val="nil"/>
                    <w:tr2bl w:val="nil"/>
                  </w:tcBorders>
                  <w:shd w:val="clear" w:color="auto" w:fill="auto"/>
                  <w:vAlign w:val="center"/>
                </w:tcPr>
                <w:p w14:paraId="22DDB73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是</w:t>
                  </w:r>
                </w:p>
              </w:tc>
              <w:tc>
                <w:tcPr>
                  <w:tcW w:w="1995" w:type="dxa"/>
                  <w:vMerge w:val="continue"/>
                  <w:tcBorders>
                    <w:tl2br w:val="nil"/>
                    <w:tr2bl w:val="nil"/>
                  </w:tcBorders>
                  <w:vAlign w:val="center"/>
                </w:tcPr>
                <w:p w14:paraId="0296629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pacing w:val="-1"/>
                      <w:sz w:val="18"/>
                      <w:szCs w:val="18"/>
                    </w:rPr>
                  </w:pPr>
                </w:p>
              </w:tc>
            </w:tr>
            <w:tr w14:paraId="5ACF33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6" w:type="dxa"/>
                  <w:tcBorders>
                    <w:tl2br w:val="nil"/>
                    <w:tr2bl w:val="nil"/>
                  </w:tcBorders>
                  <w:shd w:val="clear" w:color="auto" w:fill="auto"/>
                  <w:vAlign w:val="center"/>
                </w:tcPr>
                <w:p w14:paraId="04193AD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14</w:t>
                  </w:r>
                </w:p>
              </w:tc>
              <w:tc>
                <w:tcPr>
                  <w:tcW w:w="1538" w:type="dxa"/>
                  <w:tcBorders>
                    <w:tl2br w:val="nil"/>
                    <w:tr2bl w:val="nil"/>
                  </w:tcBorders>
                  <w:shd w:val="clear" w:color="auto" w:fill="auto"/>
                  <w:vAlign w:val="center"/>
                </w:tcPr>
                <w:p w14:paraId="2BCB9DD9">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rFonts w:hint="eastAsia"/>
                      <w:color w:val="auto"/>
                      <w:sz w:val="18"/>
                      <w:szCs w:val="18"/>
                      <w:lang w:eastAsia="zh-CN"/>
                    </w:rPr>
                    <w:t>袋式除尘器</w:t>
                  </w:r>
                  <w:r>
                    <w:rPr>
                      <w:color w:val="auto"/>
                      <w:sz w:val="18"/>
                      <w:szCs w:val="18"/>
                    </w:rPr>
                    <w:t>粉尘</w:t>
                  </w:r>
                </w:p>
              </w:tc>
              <w:tc>
                <w:tcPr>
                  <w:tcW w:w="2060" w:type="dxa"/>
                  <w:tcBorders>
                    <w:tl2br w:val="nil"/>
                    <w:tr2bl w:val="nil"/>
                  </w:tcBorders>
                  <w:shd w:val="clear" w:color="auto" w:fill="auto"/>
                  <w:vAlign w:val="center"/>
                </w:tcPr>
                <w:p w14:paraId="2035317B">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烟尘</w:t>
                  </w:r>
                  <w:r>
                    <w:rPr>
                      <w:rFonts w:hint="eastAsia"/>
                      <w:color w:val="auto"/>
                      <w:sz w:val="18"/>
                      <w:szCs w:val="18"/>
                      <w:lang w:val="en-US" w:eastAsia="zh-CN"/>
                    </w:rPr>
                    <w:t>/粉尘</w:t>
                  </w:r>
                  <w:r>
                    <w:rPr>
                      <w:color w:val="auto"/>
                      <w:sz w:val="18"/>
                      <w:szCs w:val="18"/>
                    </w:rPr>
                    <w:t>净化</w:t>
                  </w:r>
                </w:p>
              </w:tc>
              <w:tc>
                <w:tcPr>
                  <w:tcW w:w="938" w:type="dxa"/>
                  <w:tcBorders>
                    <w:tl2br w:val="nil"/>
                    <w:tr2bl w:val="nil"/>
                  </w:tcBorders>
                  <w:shd w:val="clear" w:color="auto" w:fill="auto"/>
                  <w:vAlign w:val="center"/>
                </w:tcPr>
                <w:p w14:paraId="0219977D">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sz w:val="18"/>
                      <w:szCs w:val="18"/>
                    </w:rPr>
                    <w:t>固态</w:t>
                  </w:r>
                </w:p>
              </w:tc>
              <w:tc>
                <w:tcPr>
                  <w:tcW w:w="1199" w:type="dxa"/>
                  <w:tcBorders>
                    <w:tl2br w:val="nil"/>
                    <w:tr2bl w:val="nil"/>
                  </w:tcBorders>
                  <w:shd w:val="clear" w:color="auto" w:fill="auto"/>
                  <w:vAlign w:val="center"/>
                </w:tcPr>
                <w:p w14:paraId="787E2BB8">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ascii="Times New Roman" w:hAnsi="Times New Roman" w:eastAsia="宋体" w:cs="Times New Roman"/>
                      <w:color w:val="auto"/>
                      <w:kern w:val="2"/>
                      <w:sz w:val="18"/>
                      <w:szCs w:val="18"/>
                      <w:lang w:val="en-US" w:eastAsia="zh-CN" w:bidi="ar-SA"/>
                    </w:rPr>
                  </w:pPr>
                  <w:r>
                    <w:rPr>
                      <w:color w:val="auto"/>
                      <w:w w:val="100"/>
                      <w:sz w:val="18"/>
                      <w:szCs w:val="18"/>
                    </w:rPr>
                    <w:t>是</w:t>
                  </w:r>
                </w:p>
              </w:tc>
              <w:tc>
                <w:tcPr>
                  <w:tcW w:w="1995" w:type="dxa"/>
                  <w:vMerge w:val="continue"/>
                  <w:tcBorders>
                    <w:tl2br w:val="nil"/>
                    <w:tr2bl w:val="nil"/>
                  </w:tcBorders>
                  <w:vAlign w:val="center"/>
                </w:tcPr>
                <w:p w14:paraId="4D7BE16A">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color w:val="auto"/>
                      <w:spacing w:val="-1"/>
                      <w:sz w:val="18"/>
                      <w:szCs w:val="18"/>
                    </w:rPr>
                  </w:pPr>
                </w:p>
              </w:tc>
            </w:tr>
            <w:tr w14:paraId="0AC080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66" w:type="dxa"/>
                  <w:gridSpan w:val="6"/>
                  <w:tcBorders>
                    <w:tl2br w:val="nil"/>
                    <w:tr2bl w:val="nil"/>
                  </w:tcBorders>
                  <w:vAlign w:val="center"/>
                </w:tcPr>
                <w:p w14:paraId="0829E37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left"/>
                    <w:textAlignment w:val="auto"/>
                    <w:rPr>
                      <w:color w:val="auto"/>
                      <w:spacing w:val="-1"/>
                      <w:sz w:val="18"/>
                      <w:szCs w:val="18"/>
                    </w:rPr>
                  </w:pPr>
                  <w:r>
                    <w:rPr>
                      <w:rFonts w:hint="eastAsia"/>
                      <w:color w:val="auto"/>
                      <w:spacing w:val="-1"/>
                      <w:sz w:val="18"/>
                      <w:szCs w:val="18"/>
                    </w:rPr>
                    <w:t>注：废包装桶在危废间暂存，集中收集后由原生产厂家进行回收利用，危废间暂存过程仍按照危废进行管理。</w:t>
                  </w:r>
                </w:p>
              </w:tc>
            </w:tr>
          </w:tbl>
          <w:p w14:paraId="1BA87DB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olor w:val="auto"/>
                <w:sz w:val="24"/>
                <w:szCs w:val="24"/>
              </w:rPr>
            </w:pPr>
            <w:r>
              <w:rPr>
                <w:rFonts w:hint="eastAsia"/>
                <w:color w:val="auto"/>
                <w:sz w:val="24"/>
                <w:szCs w:val="24"/>
              </w:rPr>
              <w:t>根据《国家危险废物名录》（202</w:t>
            </w:r>
            <w:r>
              <w:rPr>
                <w:rFonts w:hint="eastAsia"/>
                <w:color w:val="auto"/>
                <w:sz w:val="24"/>
                <w:szCs w:val="24"/>
                <w:lang w:val="en-US" w:eastAsia="zh-CN"/>
              </w:rPr>
              <w:t>5</w:t>
            </w:r>
            <w:r>
              <w:rPr>
                <w:rFonts w:hint="eastAsia"/>
                <w:color w:val="auto"/>
                <w:sz w:val="24"/>
                <w:szCs w:val="24"/>
              </w:rPr>
              <w:t>版），对项目固体废物是否属于危险废物进行属性判定，判定结果详见下表。</w:t>
            </w:r>
          </w:p>
          <w:p w14:paraId="12AE4E28">
            <w:pPr>
              <w:spacing w:line="360" w:lineRule="auto"/>
              <w:jc w:val="center"/>
              <w:rPr>
                <w:rFonts w:hint="eastAsia"/>
                <w:b/>
                <w:bCs/>
                <w:color w:val="auto"/>
                <w:sz w:val="24"/>
                <w:szCs w:val="24"/>
              </w:rPr>
            </w:pPr>
            <w:r>
              <w:rPr>
                <w:rFonts w:hint="eastAsia"/>
                <w:b/>
                <w:bCs/>
                <w:color w:val="auto"/>
                <w:sz w:val="24"/>
                <w:szCs w:val="24"/>
              </w:rPr>
              <w:t>表4-3</w:t>
            </w:r>
            <w:r>
              <w:rPr>
                <w:rFonts w:hint="eastAsia"/>
                <w:b/>
                <w:bCs/>
                <w:color w:val="auto"/>
                <w:sz w:val="24"/>
                <w:szCs w:val="24"/>
                <w:lang w:val="en-US" w:eastAsia="zh-CN"/>
              </w:rPr>
              <w:t xml:space="preserve">7 </w:t>
            </w:r>
            <w:r>
              <w:rPr>
                <w:rFonts w:hint="eastAsia"/>
                <w:b/>
                <w:bCs/>
                <w:color w:val="auto"/>
                <w:sz w:val="24"/>
                <w:szCs w:val="24"/>
              </w:rPr>
              <w:t xml:space="preserve"> 项目危险废物判定表</w:t>
            </w:r>
          </w:p>
          <w:tbl>
            <w:tblPr>
              <w:tblStyle w:val="29"/>
              <w:tblW w:w="501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3" w:type="dxa"/>
                <w:bottom w:w="0" w:type="dxa"/>
                <w:right w:w="23" w:type="dxa"/>
              </w:tblCellMar>
            </w:tblPr>
            <w:tblGrid>
              <w:gridCol w:w="845"/>
              <w:gridCol w:w="1412"/>
              <w:gridCol w:w="2119"/>
              <w:gridCol w:w="1332"/>
              <w:gridCol w:w="1005"/>
              <w:gridCol w:w="1695"/>
            </w:tblGrid>
            <w:tr w14:paraId="00CF4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78E0BB53">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rPr>
                  </w:pPr>
                  <w:r>
                    <w:rPr>
                      <w:rStyle w:val="125"/>
                      <w:rFonts w:hint="default" w:ascii="Times New Roman" w:hAnsi="Times New Roman" w:eastAsia="宋体" w:cs="Times New Roman"/>
                      <w:b/>
                      <w:bCs/>
                      <w:color w:val="auto"/>
                      <w:sz w:val="18"/>
                      <w:szCs w:val="18"/>
                      <w:lang w:val="en-US" w:eastAsia="zh-CN" w:bidi="ar"/>
                    </w:rPr>
                    <w:t>序号</w:t>
                  </w:r>
                </w:p>
              </w:tc>
              <w:tc>
                <w:tcPr>
                  <w:tcW w:w="839" w:type="pct"/>
                  <w:tcBorders>
                    <w:tl2br w:val="nil"/>
                    <w:tr2bl w:val="nil"/>
                  </w:tcBorders>
                  <w:shd w:val="clear" w:color="auto" w:fill="auto"/>
                  <w:vAlign w:val="center"/>
                </w:tcPr>
                <w:p w14:paraId="5B853AF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rPr>
                  </w:pPr>
                  <w:r>
                    <w:rPr>
                      <w:rStyle w:val="125"/>
                      <w:rFonts w:hint="default" w:ascii="Times New Roman" w:hAnsi="Times New Roman" w:eastAsia="宋体" w:cs="Times New Roman"/>
                      <w:b/>
                      <w:bCs/>
                      <w:color w:val="auto"/>
                      <w:sz w:val="18"/>
                      <w:szCs w:val="18"/>
                      <w:lang w:val="en-US" w:eastAsia="zh-CN" w:bidi="ar"/>
                    </w:rPr>
                    <w:t>固体废物名称</w:t>
                  </w:r>
                </w:p>
              </w:tc>
              <w:tc>
                <w:tcPr>
                  <w:tcW w:w="1260" w:type="pct"/>
                  <w:tcBorders>
                    <w:tl2br w:val="nil"/>
                    <w:tr2bl w:val="nil"/>
                  </w:tcBorders>
                  <w:shd w:val="clear" w:color="auto" w:fill="auto"/>
                  <w:vAlign w:val="center"/>
                </w:tcPr>
                <w:p w14:paraId="0856512F">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rPr>
                  </w:pPr>
                  <w:r>
                    <w:rPr>
                      <w:rStyle w:val="125"/>
                      <w:rFonts w:hint="default" w:ascii="Times New Roman" w:hAnsi="Times New Roman" w:eastAsia="宋体" w:cs="Times New Roman"/>
                      <w:b/>
                      <w:bCs/>
                      <w:color w:val="auto"/>
                      <w:sz w:val="18"/>
                      <w:szCs w:val="18"/>
                      <w:lang w:val="en-US" w:eastAsia="zh-CN" w:bidi="ar"/>
                    </w:rPr>
                    <w:t>产生环节</w:t>
                  </w:r>
                </w:p>
              </w:tc>
              <w:tc>
                <w:tcPr>
                  <w:tcW w:w="792" w:type="pct"/>
                  <w:tcBorders>
                    <w:tl2br w:val="nil"/>
                    <w:tr2bl w:val="nil"/>
                  </w:tcBorders>
                  <w:shd w:val="clear" w:color="auto" w:fill="auto"/>
                  <w:vAlign w:val="center"/>
                </w:tcPr>
                <w:p w14:paraId="781EE8F4">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rPr>
                  </w:pPr>
                  <w:r>
                    <w:rPr>
                      <w:rStyle w:val="125"/>
                      <w:rFonts w:hint="default" w:ascii="Times New Roman" w:hAnsi="Times New Roman" w:eastAsia="宋体" w:cs="Times New Roman"/>
                      <w:b/>
                      <w:bCs/>
                      <w:color w:val="auto"/>
                      <w:sz w:val="18"/>
                      <w:szCs w:val="18"/>
                      <w:lang w:val="en-US" w:eastAsia="zh-CN" w:bidi="ar"/>
                    </w:rPr>
                    <w:t>是否属危险废物</w:t>
                  </w:r>
                </w:p>
              </w:tc>
              <w:tc>
                <w:tcPr>
                  <w:tcW w:w="597" w:type="pct"/>
                  <w:tcBorders>
                    <w:tl2br w:val="nil"/>
                    <w:tr2bl w:val="nil"/>
                  </w:tcBorders>
                  <w:shd w:val="clear" w:color="auto" w:fill="auto"/>
                  <w:vAlign w:val="center"/>
                </w:tcPr>
                <w:p w14:paraId="5B5C3601">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rPr>
                  </w:pPr>
                  <w:r>
                    <w:rPr>
                      <w:rStyle w:val="125"/>
                      <w:rFonts w:hint="default" w:ascii="Times New Roman" w:hAnsi="Times New Roman" w:eastAsia="宋体" w:cs="Times New Roman"/>
                      <w:b/>
                      <w:bCs/>
                      <w:color w:val="auto"/>
                      <w:sz w:val="18"/>
                      <w:szCs w:val="18"/>
                      <w:lang w:val="en-US" w:eastAsia="zh-CN" w:bidi="ar"/>
                    </w:rPr>
                    <w:t>危险特性</w:t>
                  </w:r>
                </w:p>
              </w:tc>
              <w:tc>
                <w:tcPr>
                  <w:tcW w:w="1007" w:type="pct"/>
                  <w:tcBorders>
                    <w:tl2br w:val="nil"/>
                    <w:tr2bl w:val="nil"/>
                  </w:tcBorders>
                  <w:shd w:val="clear" w:color="auto" w:fill="auto"/>
                  <w:vAlign w:val="center"/>
                </w:tcPr>
                <w:p w14:paraId="0984727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rPr>
                  </w:pPr>
                  <w:r>
                    <w:rPr>
                      <w:rStyle w:val="125"/>
                      <w:rFonts w:hint="default" w:ascii="Times New Roman" w:hAnsi="Times New Roman" w:eastAsia="宋体" w:cs="Times New Roman"/>
                      <w:b/>
                      <w:bCs/>
                      <w:color w:val="auto"/>
                      <w:sz w:val="18"/>
                      <w:szCs w:val="18"/>
                      <w:lang w:val="en-US" w:eastAsia="zh-CN" w:bidi="ar"/>
                    </w:rPr>
                    <w:t>危险废物类别及代码</w:t>
                  </w:r>
                </w:p>
              </w:tc>
            </w:tr>
            <w:tr w14:paraId="2D44D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20AD8DFF">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1</w:t>
                  </w:r>
                </w:p>
              </w:tc>
              <w:tc>
                <w:tcPr>
                  <w:tcW w:w="839" w:type="pct"/>
                  <w:tcBorders>
                    <w:tl2br w:val="nil"/>
                    <w:tr2bl w:val="nil"/>
                  </w:tcBorders>
                  <w:shd w:val="clear" w:color="auto" w:fill="auto"/>
                  <w:vAlign w:val="center"/>
                </w:tcPr>
                <w:p w14:paraId="12C8389E">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中频炉废炉渣</w:t>
                  </w:r>
                </w:p>
              </w:tc>
              <w:tc>
                <w:tcPr>
                  <w:tcW w:w="1260" w:type="pct"/>
                  <w:tcBorders>
                    <w:tl2br w:val="nil"/>
                    <w:tr2bl w:val="nil"/>
                  </w:tcBorders>
                  <w:shd w:val="clear" w:color="auto" w:fill="auto"/>
                  <w:vAlign w:val="center"/>
                </w:tcPr>
                <w:p w14:paraId="6EE9D45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中频炉熔化</w:t>
                  </w:r>
                </w:p>
              </w:tc>
              <w:tc>
                <w:tcPr>
                  <w:tcW w:w="792" w:type="pct"/>
                  <w:tcBorders>
                    <w:tl2br w:val="nil"/>
                    <w:tr2bl w:val="nil"/>
                  </w:tcBorders>
                  <w:shd w:val="clear" w:color="auto" w:fill="auto"/>
                  <w:vAlign w:val="center"/>
                </w:tcPr>
                <w:p w14:paraId="4E72890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否</w:t>
                  </w:r>
                </w:p>
              </w:tc>
              <w:tc>
                <w:tcPr>
                  <w:tcW w:w="597" w:type="pct"/>
                  <w:tcBorders>
                    <w:tl2br w:val="nil"/>
                    <w:tr2bl w:val="nil"/>
                  </w:tcBorders>
                  <w:shd w:val="clear" w:color="auto" w:fill="auto"/>
                  <w:vAlign w:val="center"/>
                </w:tcPr>
                <w:p w14:paraId="56B85EE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c>
                <w:tcPr>
                  <w:tcW w:w="1007" w:type="pct"/>
                  <w:tcBorders>
                    <w:tl2br w:val="nil"/>
                    <w:tr2bl w:val="nil"/>
                  </w:tcBorders>
                  <w:shd w:val="clear" w:color="auto" w:fill="auto"/>
                  <w:vAlign w:val="center"/>
                </w:tcPr>
                <w:p w14:paraId="6656B22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r>
            <w:tr w14:paraId="66A21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0A7495D7">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2</w:t>
                  </w:r>
                </w:p>
              </w:tc>
              <w:tc>
                <w:tcPr>
                  <w:tcW w:w="839" w:type="pct"/>
                  <w:tcBorders>
                    <w:tl2br w:val="nil"/>
                    <w:tr2bl w:val="nil"/>
                  </w:tcBorders>
                  <w:shd w:val="clear" w:color="auto" w:fill="auto"/>
                  <w:vAlign w:val="center"/>
                </w:tcPr>
                <w:p w14:paraId="695B284E">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废砂</w:t>
                  </w:r>
                </w:p>
              </w:tc>
              <w:tc>
                <w:tcPr>
                  <w:tcW w:w="1260" w:type="pct"/>
                  <w:tcBorders>
                    <w:tl2br w:val="nil"/>
                    <w:tr2bl w:val="nil"/>
                  </w:tcBorders>
                  <w:shd w:val="clear" w:color="auto" w:fill="auto"/>
                  <w:vAlign w:val="center"/>
                </w:tcPr>
                <w:p w14:paraId="01C2AB9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砂再生、熔模铸造脱壳</w:t>
                  </w:r>
                </w:p>
              </w:tc>
              <w:tc>
                <w:tcPr>
                  <w:tcW w:w="792" w:type="pct"/>
                  <w:tcBorders>
                    <w:tl2br w:val="nil"/>
                    <w:tr2bl w:val="nil"/>
                  </w:tcBorders>
                  <w:shd w:val="clear" w:color="auto" w:fill="auto"/>
                  <w:vAlign w:val="center"/>
                </w:tcPr>
                <w:p w14:paraId="666C93B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否</w:t>
                  </w:r>
                </w:p>
              </w:tc>
              <w:tc>
                <w:tcPr>
                  <w:tcW w:w="597" w:type="pct"/>
                  <w:tcBorders>
                    <w:tl2br w:val="nil"/>
                    <w:tr2bl w:val="nil"/>
                  </w:tcBorders>
                  <w:shd w:val="clear" w:color="auto" w:fill="auto"/>
                  <w:vAlign w:val="center"/>
                </w:tcPr>
                <w:p w14:paraId="0186A6A7">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c>
                <w:tcPr>
                  <w:tcW w:w="1007" w:type="pct"/>
                  <w:tcBorders>
                    <w:tl2br w:val="nil"/>
                    <w:tr2bl w:val="nil"/>
                  </w:tcBorders>
                  <w:shd w:val="clear" w:color="auto" w:fill="auto"/>
                  <w:vAlign w:val="center"/>
                </w:tcPr>
                <w:p w14:paraId="5B96341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r>
            <w:tr w14:paraId="2F201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1A4E47F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3</w:t>
                  </w:r>
                </w:p>
              </w:tc>
              <w:tc>
                <w:tcPr>
                  <w:tcW w:w="839" w:type="pct"/>
                  <w:tcBorders>
                    <w:tl2br w:val="nil"/>
                    <w:tr2bl w:val="nil"/>
                  </w:tcBorders>
                  <w:shd w:val="clear" w:color="auto" w:fill="auto"/>
                  <w:vAlign w:val="center"/>
                </w:tcPr>
                <w:p w14:paraId="73846EB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eastAsia" w:cs="Times New Roman"/>
                      <w:color w:val="auto"/>
                      <w:sz w:val="18"/>
                      <w:szCs w:val="18"/>
                      <w:lang w:val="en-US" w:eastAsia="zh-CN" w:bidi="ar"/>
                    </w:rPr>
                    <w:t>袋式除尘器</w:t>
                  </w:r>
                  <w:r>
                    <w:rPr>
                      <w:rStyle w:val="125"/>
                      <w:rFonts w:hint="default" w:ascii="Times New Roman" w:hAnsi="Times New Roman" w:eastAsia="宋体" w:cs="Times New Roman"/>
                      <w:color w:val="auto"/>
                      <w:sz w:val="18"/>
                      <w:szCs w:val="18"/>
                      <w:lang w:val="en-US" w:eastAsia="zh-CN" w:bidi="ar"/>
                    </w:rPr>
                    <w:t>粉尘</w:t>
                  </w:r>
                </w:p>
              </w:tc>
              <w:tc>
                <w:tcPr>
                  <w:tcW w:w="1260" w:type="pct"/>
                  <w:tcBorders>
                    <w:tl2br w:val="nil"/>
                    <w:tr2bl w:val="nil"/>
                  </w:tcBorders>
                  <w:shd w:val="clear" w:color="auto" w:fill="auto"/>
                  <w:vAlign w:val="center"/>
                </w:tcPr>
                <w:p w14:paraId="51F11363">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烟尘净化</w:t>
                  </w:r>
                </w:p>
              </w:tc>
              <w:tc>
                <w:tcPr>
                  <w:tcW w:w="792" w:type="pct"/>
                  <w:tcBorders>
                    <w:tl2br w:val="nil"/>
                    <w:tr2bl w:val="nil"/>
                  </w:tcBorders>
                  <w:shd w:val="clear" w:color="auto" w:fill="auto"/>
                  <w:vAlign w:val="center"/>
                </w:tcPr>
                <w:p w14:paraId="6A17B5CF">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否</w:t>
                  </w:r>
                </w:p>
              </w:tc>
              <w:tc>
                <w:tcPr>
                  <w:tcW w:w="597" w:type="pct"/>
                  <w:tcBorders>
                    <w:tl2br w:val="nil"/>
                    <w:tr2bl w:val="nil"/>
                  </w:tcBorders>
                  <w:shd w:val="clear" w:color="auto" w:fill="auto"/>
                  <w:vAlign w:val="center"/>
                </w:tcPr>
                <w:p w14:paraId="4DA5C204">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c>
                <w:tcPr>
                  <w:tcW w:w="1007" w:type="pct"/>
                  <w:tcBorders>
                    <w:tl2br w:val="nil"/>
                    <w:tr2bl w:val="nil"/>
                  </w:tcBorders>
                  <w:shd w:val="clear" w:color="auto" w:fill="auto"/>
                  <w:vAlign w:val="center"/>
                </w:tcPr>
                <w:p w14:paraId="4A496BF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r>
            <w:tr w14:paraId="015B8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0FAD5C43">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4</w:t>
                  </w:r>
                </w:p>
              </w:tc>
              <w:tc>
                <w:tcPr>
                  <w:tcW w:w="839" w:type="pct"/>
                  <w:tcBorders>
                    <w:tl2br w:val="nil"/>
                    <w:tr2bl w:val="nil"/>
                  </w:tcBorders>
                  <w:shd w:val="clear" w:color="auto" w:fill="auto"/>
                  <w:vAlign w:val="center"/>
                </w:tcPr>
                <w:p w14:paraId="0948ED7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废石蜡</w:t>
                  </w:r>
                </w:p>
              </w:tc>
              <w:tc>
                <w:tcPr>
                  <w:tcW w:w="1260" w:type="pct"/>
                  <w:tcBorders>
                    <w:tl2br w:val="nil"/>
                    <w:tr2bl w:val="nil"/>
                  </w:tcBorders>
                  <w:shd w:val="clear" w:color="auto" w:fill="auto"/>
                  <w:vAlign w:val="center"/>
                </w:tcPr>
                <w:p w14:paraId="0E9A52A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蜡模铸造工艺</w:t>
                  </w:r>
                </w:p>
              </w:tc>
              <w:tc>
                <w:tcPr>
                  <w:tcW w:w="792" w:type="pct"/>
                  <w:tcBorders>
                    <w:tl2br w:val="nil"/>
                    <w:tr2bl w:val="nil"/>
                  </w:tcBorders>
                  <w:shd w:val="clear" w:color="auto" w:fill="auto"/>
                  <w:vAlign w:val="center"/>
                </w:tcPr>
                <w:p w14:paraId="666D484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否</w:t>
                  </w:r>
                </w:p>
              </w:tc>
              <w:tc>
                <w:tcPr>
                  <w:tcW w:w="597" w:type="pct"/>
                  <w:tcBorders>
                    <w:tl2br w:val="nil"/>
                    <w:tr2bl w:val="nil"/>
                  </w:tcBorders>
                  <w:shd w:val="clear" w:color="auto" w:fill="auto"/>
                  <w:vAlign w:val="center"/>
                </w:tcPr>
                <w:p w14:paraId="515111E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c>
                <w:tcPr>
                  <w:tcW w:w="1007" w:type="pct"/>
                  <w:tcBorders>
                    <w:tl2br w:val="nil"/>
                    <w:tr2bl w:val="nil"/>
                  </w:tcBorders>
                  <w:shd w:val="clear" w:color="auto" w:fill="auto"/>
                  <w:vAlign w:val="center"/>
                </w:tcPr>
                <w:p w14:paraId="2B531185">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r>
            <w:tr w14:paraId="0F5EE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12101F8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5</w:t>
                  </w:r>
                </w:p>
              </w:tc>
              <w:tc>
                <w:tcPr>
                  <w:tcW w:w="839" w:type="pct"/>
                  <w:tcBorders>
                    <w:tl2br w:val="nil"/>
                    <w:tr2bl w:val="nil"/>
                  </w:tcBorders>
                  <w:shd w:val="clear" w:color="auto" w:fill="auto"/>
                  <w:vAlign w:val="center"/>
                </w:tcPr>
                <w:p w14:paraId="26575FC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废边角料</w:t>
                  </w:r>
                </w:p>
              </w:tc>
              <w:tc>
                <w:tcPr>
                  <w:tcW w:w="1260" w:type="pct"/>
                  <w:tcBorders>
                    <w:tl2br w:val="nil"/>
                    <w:tr2bl w:val="nil"/>
                  </w:tcBorders>
                  <w:shd w:val="clear" w:color="auto" w:fill="auto"/>
                  <w:vAlign w:val="center"/>
                </w:tcPr>
                <w:p w14:paraId="257542E5">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rPr>
                  </w:pPr>
                  <w:r>
                    <w:rPr>
                      <w:rStyle w:val="125"/>
                      <w:rFonts w:hint="default" w:ascii="Times New Roman" w:hAnsi="Times New Roman" w:eastAsia="宋体" w:cs="Times New Roman"/>
                      <w:color w:val="auto"/>
                      <w:sz w:val="18"/>
                      <w:szCs w:val="18"/>
                      <w:lang w:val="en-US" w:eastAsia="zh-CN" w:bidi="ar"/>
                    </w:rPr>
                    <w:t>红冲工艺切割分段、修边抛光、压铸抛光去毛刺</w:t>
                  </w:r>
                  <w:r>
                    <w:rPr>
                      <w:rStyle w:val="125"/>
                      <w:rFonts w:hint="eastAsia" w:cs="Times New Roman"/>
                      <w:color w:val="auto"/>
                      <w:sz w:val="18"/>
                      <w:szCs w:val="18"/>
                      <w:lang w:val="en-US" w:eastAsia="zh-CN" w:bidi="ar"/>
                    </w:rPr>
                    <w:t>，铸件机加工</w:t>
                  </w:r>
                </w:p>
              </w:tc>
              <w:tc>
                <w:tcPr>
                  <w:tcW w:w="792" w:type="pct"/>
                  <w:tcBorders>
                    <w:tl2br w:val="nil"/>
                    <w:tr2bl w:val="nil"/>
                  </w:tcBorders>
                  <w:shd w:val="clear" w:color="auto" w:fill="auto"/>
                  <w:vAlign w:val="center"/>
                </w:tcPr>
                <w:p w14:paraId="76F88CD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否</w:t>
                  </w:r>
                </w:p>
              </w:tc>
              <w:tc>
                <w:tcPr>
                  <w:tcW w:w="597" w:type="pct"/>
                  <w:tcBorders>
                    <w:tl2br w:val="nil"/>
                    <w:tr2bl w:val="nil"/>
                  </w:tcBorders>
                  <w:shd w:val="clear" w:color="auto" w:fill="auto"/>
                  <w:vAlign w:val="center"/>
                </w:tcPr>
                <w:p w14:paraId="34636F89">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c>
                <w:tcPr>
                  <w:tcW w:w="1007" w:type="pct"/>
                  <w:tcBorders>
                    <w:tl2br w:val="nil"/>
                    <w:tr2bl w:val="nil"/>
                  </w:tcBorders>
                  <w:shd w:val="clear" w:color="auto" w:fill="auto"/>
                  <w:vAlign w:val="center"/>
                </w:tcPr>
                <w:p w14:paraId="4E6E1055">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r>
            <w:tr w14:paraId="2BAE1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6C98C518">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6</w:t>
                  </w:r>
                </w:p>
              </w:tc>
              <w:tc>
                <w:tcPr>
                  <w:tcW w:w="839" w:type="pct"/>
                  <w:tcBorders>
                    <w:tl2br w:val="nil"/>
                    <w:tr2bl w:val="nil"/>
                  </w:tcBorders>
                  <w:shd w:val="clear" w:color="auto" w:fill="auto"/>
                  <w:vAlign w:val="center"/>
                </w:tcPr>
                <w:p w14:paraId="17B826D8">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涤纶边角料</w:t>
                  </w:r>
                </w:p>
              </w:tc>
              <w:tc>
                <w:tcPr>
                  <w:tcW w:w="1260" w:type="pct"/>
                  <w:tcBorders>
                    <w:tl2br w:val="nil"/>
                    <w:tr2bl w:val="nil"/>
                  </w:tcBorders>
                  <w:shd w:val="clear" w:color="auto" w:fill="auto"/>
                  <w:vAlign w:val="center"/>
                </w:tcPr>
                <w:p w14:paraId="38938A0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捻丝、织造</w:t>
                  </w:r>
                </w:p>
              </w:tc>
              <w:tc>
                <w:tcPr>
                  <w:tcW w:w="792" w:type="pct"/>
                  <w:tcBorders>
                    <w:tl2br w:val="nil"/>
                    <w:tr2bl w:val="nil"/>
                  </w:tcBorders>
                  <w:shd w:val="clear" w:color="auto" w:fill="auto"/>
                  <w:vAlign w:val="center"/>
                </w:tcPr>
                <w:p w14:paraId="7B6AA60E">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否</w:t>
                  </w:r>
                </w:p>
              </w:tc>
              <w:tc>
                <w:tcPr>
                  <w:tcW w:w="597" w:type="pct"/>
                  <w:tcBorders>
                    <w:tl2br w:val="nil"/>
                    <w:tr2bl w:val="nil"/>
                  </w:tcBorders>
                  <w:shd w:val="clear" w:color="auto" w:fill="auto"/>
                  <w:vAlign w:val="center"/>
                </w:tcPr>
                <w:p w14:paraId="57A2E1C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c>
                <w:tcPr>
                  <w:tcW w:w="1007" w:type="pct"/>
                  <w:tcBorders>
                    <w:tl2br w:val="nil"/>
                    <w:tr2bl w:val="nil"/>
                  </w:tcBorders>
                  <w:shd w:val="clear" w:color="auto" w:fill="auto"/>
                  <w:vAlign w:val="center"/>
                </w:tcPr>
                <w:p w14:paraId="03E812E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w:t>
                  </w:r>
                </w:p>
              </w:tc>
            </w:tr>
            <w:tr w14:paraId="29DED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32D29ADE">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7</w:t>
                  </w:r>
                </w:p>
              </w:tc>
              <w:tc>
                <w:tcPr>
                  <w:tcW w:w="839" w:type="pct"/>
                  <w:tcBorders>
                    <w:tl2br w:val="nil"/>
                    <w:tr2bl w:val="nil"/>
                  </w:tcBorders>
                  <w:shd w:val="clear" w:color="auto" w:fill="auto"/>
                  <w:vAlign w:val="center"/>
                </w:tcPr>
                <w:p w14:paraId="204071E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铝灰渣</w:t>
                  </w:r>
                </w:p>
              </w:tc>
              <w:tc>
                <w:tcPr>
                  <w:tcW w:w="1260" w:type="pct"/>
                  <w:tcBorders>
                    <w:tl2br w:val="nil"/>
                    <w:tr2bl w:val="nil"/>
                  </w:tcBorders>
                  <w:shd w:val="clear" w:color="auto" w:fill="auto"/>
                  <w:vAlign w:val="center"/>
                </w:tcPr>
                <w:p w14:paraId="0E7CA677">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压铸电熔炉熔化</w:t>
                  </w:r>
                </w:p>
              </w:tc>
              <w:tc>
                <w:tcPr>
                  <w:tcW w:w="792" w:type="pct"/>
                  <w:tcBorders>
                    <w:tl2br w:val="nil"/>
                    <w:tr2bl w:val="nil"/>
                  </w:tcBorders>
                  <w:shd w:val="clear" w:color="auto" w:fill="auto"/>
                  <w:vAlign w:val="center"/>
                </w:tcPr>
                <w:p w14:paraId="4C2ED43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是</w:t>
                  </w:r>
                </w:p>
              </w:tc>
              <w:tc>
                <w:tcPr>
                  <w:tcW w:w="597" w:type="pct"/>
                  <w:tcBorders>
                    <w:tl2br w:val="nil"/>
                    <w:tr2bl w:val="nil"/>
                  </w:tcBorders>
                  <w:shd w:val="clear" w:color="auto" w:fill="auto"/>
                  <w:vAlign w:val="center"/>
                </w:tcPr>
                <w:p w14:paraId="575ADE04">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R,T</w:t>
                  </w:r>
                </w:p>
              </w:tc>
              <w:tc>
                <w:tcPr>
                  <w:tcW w:w="1007" w:type="pct"/>
                  <w:tcBorders>
                    <w:tl2br w:val="nil"/>
                    <w:tr2bl w:val="nil"/>
                  </w:tcBorders>
                  <w:shd w:val="clear" w:color="auto" w:fill="auto"/>
                  <w:vAlign w:val="center"/>
                </w:tcPr>
                <w:p w14:paraId="66D365C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HW48</w:t>
                  </w:r>
                  <w:r>
                    <w:rPr>
                      <w:rStyle w:val="125"/>
                      <w:rFonts w:hint="default" w:ascii="Times New Roman" w:hAnsi="Times New Roman" w:eastAsia="宋体" w:cs="Times New Roman"/>
                      <w:color w:val="auto"/>
                      <w:sz w:val="18"/>
                      <w:szCs w:val="18"/>
                      <w:lang w:val="en-US" w:eastAsia="zh-CN" w:bidi="ar"/>
                    </w:rPr>
                    <w:t>，</w:t>
                  </w:r>
                  <w:r>
                    <w:rPr>
                      <w:rStyle w:val="126"/>
                      <w:rFonts w:hint="default" w:ascii="Times New Roman" w:hAnsi="Times New Roman" w:eastAsia="宋体" w:cs="Times New Roman"/>
                      <w:color w:val="auto"/>
                      <w:sz w:val="18"/>
                      <w:szCs w:val="18"/>
                      <w:lang w:val="en-US" w:eastAsia="zh-CN" w:bidi="ar"/>
                    </w:rPr>
                    <w:t>321-02</w:t>
                  </w:r>
                  <w:r>
                    <w:rPr>
                      <w:rStyle w:val="126"/>
                      <w:rFonts w:hint="eastAsia" w:cs="Times New Roman"/>
                      <w:color w:val="auto"/>
                      <w:sz w:val="18"/>
                      <w:szCs w:val="18"/>
                      <w:lang w:val="en-US" w:eastAsia="zh-CN" w:bidi="ar"/>
                    </w:rPr>
                    <w:t>6</w:t>
                  </w:r>
                  <w:r>
                    <w:rPr>
                      <w:rStyle w:val="126"/>
                      <w:rFonts w:hint="default" w:ascii="Times New Roman" w:hAnsi="Times New Roman" w:eastAsia="宋体" w:cs="Times New Roman"/>
                      <w:color w:val="auto"/>
                      <w:sz w:val="18"/>
                      <w:szCs w:val="18"/>
                      <w:lang w:val="en-US" w:eastAsia="zh-CN" w:bidi="ar"/>
                    </w:rPr>
                    <w:t>-48</w:t>
                  </w:r>
                </w:p>
              </w:tc>
            </w:tr>
            <w:tr w14:paraId="43F15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17CE4EA5">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Style w:val="126"/>
                      <w:rFonts w:hint="default" w:ascii="Times New Roman" w:hAnsi="Times New Roman" w:eastAsia="宋体" w:cs="Times New Roman"/>
                      <w:color w:val="auto"/>
                      <w:sz w:val="18"/>
                      <w:szCs w:val="18"/>
                      <w:lang w:val="en-US" w:eastAsia="zh-CN" w:bidi="ar"/>
                    </w:rPr>
                    <w:t>8</w:t>
                  </w:r>
                </w:p>
              </w:tc>
              <w:tc>
                <w:tcPr>
                  <w:tcW w:w="839" w:type="pct"/>
                  <w:tcBorders>
                    <w:tl2br w:val="nil"/>
                    <w:tr2bl w:val="nil"/>
                  </w:tcBorders>
                  <w:shd w:val="clear" w:color="auto" w:fill="auto"/>
                  <w:vAlign w:val="center"/>
                </w:tcPr>
                <w:p w14:paraId="46BD4FF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Style w:val="125"/>
                      <w:rFonts w:hint="default" w:ascii="Times New Roman" w:hAnsi="Times New Roman" w:eastAsia="宋体" w:cs="Times New Roman"/>
                      <w:color w:val="auto"/>
                      <w:sz w:val="18"/>
                      <w:szCs w:val="18"/>
                      <w:lang w:val="en-US" w:eastAsia="zh-CN" w:bidi="ar"/>
                    </w:rPr>
                  </w:pPr>
                  <w:r>
                    <w:rPr>
                      <w:rStyle w:val="125"/>
                      <w:rFonts w:hint="eastAsia" w:cs="Times New Roman"/>
                      <w:color w:val="auto"/>
                      <w:sz w:val="18"/>
                      <w:szCs w:val="18"/>
                      <w:lang w:val="en-US" w:eastAsia="zh-CN" w:bidi="ar"/>
                    </w:rPr>
                    <w:t>袋式除尘器收集的</w:t>
                  </w:r>
                  <w:r>
                    <w:rPr>
                      <w:rStyle w:val="125"/>
                      <w:rFonts w:hint="default" w:ascii="Times New Roman" w:hAnsi="Times New Roman" w:eastAsia="宋体" w:cs="Times New Roman"/>
                      <w:color w:val="auto"/>
                      <w:sz w:val="18"/>
                      <w:szCs w:val="18"/>
                      <w:lang w:val="en-US" w:eastAsia="zh-CN" w:bidi="ar"/>
                    </w:rPr>
                    <w:t>铝灰</w:t>
                  </w:r>
                </w:p>
              </w:tc>
              <w:tc>
                <w:tcPr>
                  <w:tcW w:w="1260" w:type="pct"/>
                  <w:tcBorders>
                    <w:tl2br w:val="nil"/>
                    <w:tr2bl w:val="nil"/>
                  </w:tcBorders>
                  <w:shd w:val="clear" w:color="auto" w:fill="auto"/>
                  <w:vAlign w:val="center"/>
                </w:tcPr>
                <w:p w14:paraId="3E53875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Style w:val="125"/>
                      <w:rFonts w:hint="default" w:ascii="Times New Roman" w:hAnsi="Times New Roman" w:eastAsia="宋体" w:cs="Times New Roman"/>
                      <w:color w:val="auto"/>
                      <w:sz w:val="18"/>
                      <w:szCs w:val="18"/>
                      <w:lang w:val="en-US" w:eastAsia="zh-CN" w:bidi="ar"/>
                    </w:rPr>
                  </w:pPr>
                  <w:r>
                    <w:rPr>
                      <w:rStyle w:val="125"/>
                      <w:rFonts w:hint="eastAsia" w:cs="Times New Roman"/>
                      <w:color w:val="auto"/>
                      <w:sz w:val="18"/>
                      <w:szCs w:val="18"/>
                      <w:lang w:val="en-US" w:eastAsia="zh-CN" w:bidi="ar"/>
                    </w:rPr>
                    <w:t>铝合金熔化、压铸废气治理（袋式除尘器收集的灰渣）</w:t>
                  </w:r>
                </w:p>
              </w:tc>
              <w:tc>
                <w:tcPr>
                  <w:tcW w:w="792" w:type="pct"/>
                  <w:tcBorders>
                    <w:tl2br w:val="nil"/>
                    <w:tr2bl w:val="nil"/>
                  </w:tcBorders>
                  <w:shd w:val="clear" w:color="auto" w:fill="auto"/>
                  <w:vAlign w:val="center"/>
                </w:tcPr>
                <w:p w14:paraId="75FFF6A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Style w:val="125"/>
                      <w:rFonts w:hint="default" w:ascii="Times New Roman" w:hAnsi="Times New Roman" w:eastAsia="宋体" w:cs="Times New Roman"/>
                      <w:color w:val="auto"/>
                      <w:sz w:val="18"/>
                      <w:szCs w:val="18"/>
                      <w:lang w:val="en-US" w:eastAsia="zh-CN" w:bidi="ar"/>
                    </w:rPr>
                    <w:t>是</w:t>
                  </w:r>
                </w:p>
              </w:tc>
              <w:tc>
                <w:tcPr>
                  <w:tcW w:w="597" w:type="pct"/>
                  <w:tcBorders>
                    <w:tl2br w:val="nil"/>
                    <w:tr2bl w:val="nil"/>
                  </w:tcBorders>
                  <w:shd w:val="clear" w:color="auto" w:fill="auto"/>
                  <w:vAlign w:val="center"/>
                </w:tcPr>
                <w:p w14:paraId="5377045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Style w:val="126"/>
                      <w:rFonts w:hint="default" w:ascii="Times New Roman" w:hAnsi="Times New Roman" w:eastAsia="宋体" w:cs="Times New Roman"/>
                      <w:color w:val="auto"/>
                      <w:sz w:val="18"/>
                      <w:szCs w:val="18"/>
                      <w:lang w:val="en-US" w:eastAsia="zh-CN" w:bidi="ar"/>
                    </w:rPr>
                    <w:t>R,T</w:t>
                  </w:r>
                </w:p>
              </w:tc>
              <w:tc>
                <w:tcPr>
                  <w:tcW w:w="1007" w:type="pct"/>
                  <w:tcBorders>
                    <w:tl2br w:val="nil"/>
                    <w:tr2bl w:val="nil"/>
                  </w:tcBorders>
                  <w:shd w:val="clear" w:color="auto" w:fill="auto"/>
                  <w:vAlign w:val="center"/>
                </w:tcPr>
                <w:p w14:paraId="7E5926F4">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Style w:val="126"/>
                      <w:rFonts w:hint="default" w:ascii="Times New Roman" w:hAnsi="Times New Roman" w:eastAsia="宋体" w:cs="Times New Roman"/>
                      <w:color w:val="auto"/>
                      <w:sz w:val="18"/>
                      <w:szCs w:val="18"/>
                      <w:lang w:val="en-US" w:eastAsia="zh-CN" w:bidi="ar"/>
                    </w:rPr>
                    <w:t>HW48</w:t>
                  </w:r>
                  <w:r>
                    <w:rPr>
                      <w:rStyle w:val="125"/>
                      <w:rFonts w:hint="default" w:ascii="Times New Roman" w:hAnsi="Times New Roman" w:eastAsia="宋体" w:cs="Times New Roman"/>
                      <w:color w:val="auto"/>
                      <w:sz w:val="18"/>
                      <w:szCs w:val="18"/>
                      <w:lang w:val="en-US" w:eastAsia="zh-CN" w:bidi="ar"/>
                    </w:rPr>
                    <w:t>，</w:t>
                  </w:r>
                  <w:r>
                    <w:rPr>
                      <w:rStyle w:val="126"/>
                      <w:rFonts w:hint="default" w:ascii="Times New Roman" w:hAnsi="Times New Roman" w:eastAsia="宋体" w:cs="Times New Roman"/>
                      <w:color w:val="auto"/>
                      <w:sz w:val="18"/>
                      <w:szCs w:val="18"/>
                      <w:lang w:val="en-US" w:eastAsia="zh-CN" w:bidi="ar"/>
                    </w:rPr>
                    <w:t>321-0</w:t>
                  </w:r>
                  <w:r>
                    <w:rPr>
                      <w:rStyle w:val="126"/>
                      <w:rFonts w:hint="eastAsia" w:cs="Times New Roman"/>
                      <w:color w:val="auto"/>
                      <w:sz w:val="18"/>
                      <w:szCs w:val="18"/>
                      <w:lang w:val="en-US" w:eastAsia="zh-CN" w:bidi="ar"/>
                    </w:rPr>
                    <w:t>34</w:t>
                  </w:r>
                  <w:r>
                    <w:rPr>
                      <w:rStyle w:val="126"/>
                      <w:rFonts w:hint="default" w:ascii="Times New Roman" w:hAnsi="Times New Roman" w:eastAsia="宋体" w:cs="Times New Roman"/>
                      <w:color w:val="auto"/>
                      <w:sz w:val="18"/>
                      <w:szCs w:val="18"/>
                      <w:lang w:val="en-US" w:eastAsia="zh-CN" w:bidi="ar"/>
                    </w:rPr>
                    <w:t>-48</w:t>
                  </w:r>
                </w:p>
              </w:tc>
            </w:tr>
            <w:tr w14:paraId="299D8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54537394">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Style w:val="126"/>
                      <w:rFonts w:hint="default" w:ascii="Times New Roman" w:hAnsi="Times New Roman" w:eastAsia="宋体" w:cs="Times New Roman"/>
                      <w:color w:val="auto"/>
                      <w:sz w:val="18"/>
                      <w:szCs w:val="18"/>
                      <w:lang w:val="en-US" w:eastAsia="zh-CN" w:bidi="ar"/>
                    </w:rPr>
                    <w:t>9</w:t>
                  </w:r>
                </w:p>
              </w:tc>
              <w:tc>
                <w:tcPr>
                  <w:tcW w:w="839" w:type="pct"/>
                  <w:tcBorders>
                    <w:tl2br w:val="nil"/>
                    <w:tr2bl w:val="nil"/>
                  </w:tcBorders>
                  <w:shd w:val="clear" w:color="auto" w:fill="auto"/>
                  <w:vAlign w:val="center"/>
                </w:tcPr>
                <w:p w14:paraId="0B2AAAB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废切削液</w:t>
                  </w:r>
                </w:p>
              </w:tc>
              <w:tc>
                <w:tcPr>
                  <w:tcW w:w="1260" w:type="pct"/>
                  <w:tcBorders>
                    <w:tl2br w:val="nil"/>
                    <w:tr2bl w:val="nil"/>
                  </w:tcBorders>
                  <w:shd w:val="clear" w:color="auto" w:fill="auto"/>
                  <w:vAlign w:val="center"/>
                </w:tcPr>
                <w:p w14:paraId="4CEB462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机加工</w:t>
                  </w:r>
                </w:p>
              </w:tc>
              <w:tc>
                <w:tcPr>
                  <w:tcW w:w="792" w:type="pct"/>
                  <w:tcBorders>
                    <w:tl2br w:val="nil"/>
                    <w:tr2bl w:val="nil"/>
                  </w:tcBorders>
                  <w:shd w:val="clear" w:color="auto" w:fill="auto"/>
                  <w:vAlign w:val="center"/>
                </w:tcPr>
                <w:p w14:paraId="6EC96273">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是</w:t>
                  </w:r>
                </w:p>
              </w:tc>
              <w:tc>
                <w:tcPr>
                  <w:tcW w:w="597" w:type="pct"/>
                  <w:tcBorders>
                    <w:tl2br w:val="nil"/>
                    <w:tr2bl w:val="nil"/>
                  </w:tcBorders>
                  <w:shd w:val="clear" w:color="auto" w:fill="auto"/>
                  <w:vAlign w:val="center"/>
                </w:tcPr>
                <w:p w14:paraId="7E92A0F7">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T</w:t>
                  </w:r>
                </w:p>
              </w:tc>
              <w:tc>
                <w:tcPr>
                  <w:tcW w:w="1007" w:type="pct"/>
                  <w:tcBorders>
                    <w:tl2br w:val="nil"/>
                    <w:tr2bl w:val="nil"/>
                  </w:tcBorders>
                  <w:shd w:val="clear" w:color="auto" w:fill="auto"/>
                  <w:vAlign w:val="center"/>
                </w:tcPr>
                <w:p w14:paraId="68CDC5B9">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HW09</w:t>
                  </w:r>
                  <w:r>
                    <w:rPr>
                      <w:rStyle w:val="125"/>
                      <w:rFonts w:hint="default" w:ascii="Times New Roman" w:hAnsi="Times New Roman" w:eastAsia="宋体" w:cs="Times New Roman"/>
                      <w:color w:val="auto"/>
                      <w:sz w:val="18"/>
                      <w:szCs w:val="18"/>
                      <w:lang w:val="en-US" w:eastAsia="zh-CN" w:bidi="ar"/>
                    </w:rPr>
                    <w:t>，</w:t>
                  </w:r>
                  <w:r>
                    <w:rPr>
                      <w:rStyle w:val="126"/>
                      <w:rFonts w:hint="default" w:ascii="Times New Roman" w:hAnsi="Times New Roman" w:eastAsia="宋体" w:cs="Times New Roman"/>
                      <w:color w:val="auto"/>
                      <w:sz w:val="18"/>
                      <w:szCs w:val="18"/>
                      <w:lang w:val="en-US" w:eastAsia="zh-CN" w:bidi="ar"/>
                    </w:rPr>
                    <w:t>900-006-09</w:t>
                  </w:r>
                </w:p>
              </w:tc>
            </w:tr>
            <w:tr w14:paraId="34BAC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18A0F8C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w:t>
                  </w:r>
                </w:p>
              </w:tc>
              <w:tc>
                <w:tcPr>
                  <w:tcW w:w="839" w:type="pct"/>
                  <w:tcBorders>
                    <w:tl2br w:val="nil"/>
                    <w:tr2bl w:val="nil"/>
                  </w:tcBorders>
                  <w:shd w:val="clear" w:color="auto" w:fill="auto"/>
                  <w:vAlign w:val="center"/>
                </w:tcPr>
                <w:p w14:paraId="5A467DF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废液压油</w:t>
                  </w:r>
                </w:p>
              </w:tc>
              <w:tc>
                <w:tcPr>
                  <w:tcW w:w="1260" w:type="pct"/>
                  <w:tcBorders>
                    <w:tl2br w:val="nil"/>
                    <w:tr2bl w:val="nil"/>
                  </w:tcBorders>
                  <w:shd w:val="clear" w:color="auto" w:fill="auto"/>
                  <w:vAlign w:val="center"/>
                </w:tcPr>
                <w:p w14:paraId="75E17B31">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红冲、压铸</w:t>
                  </w:r>
                </w:p>
              </w:tc>
              <w:tc>
                <w:tcPr>
                  <w:tcW w:w="792" w:type="pct"/>
                  <w:tcBorders>
                    <w:tl2br w:val="nil"/>
                    <w:tr2bl w:val="nil"/>
                  </w:tcBorders>
                  <w:shd w:val="clear" w:color="auto" w:fill="auto"/>
                  <w:vAlign w:val="center"/>
                </w:tcPr>
                <w:p w14:paraId="1EB2F2C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是</w:t>
                  </w:r>
                </w:p>
              </w:tc>
              <w:tc>
                <w:tcPr>
                  <w:tcW w:w="597" w:type="pct"/>
                  <w:tcBorders>
                    <w:tl2br w:val="nil"/>
                    <w:tr2bl w:val="nil"/>
                  </w:tcBorders>
                  <w:shd w:val="clear" w:color="auto" w:fill="auto"/>
                  <w:vAlign w:val="center"/>
                </w:tcPr>
                <w:p w14:paraId="0CD4747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T,I</w:t>
                  </w:r>
                </w:p>
              </w:tc>
              <w:tc>
                <w:tcPr>
                  <w:tcW w:w="1007" w:type="pct"/>
                  <w:tcBorders>
                    <w:tl2br w:val="nil"/>
                    <w:tr2bl w:val="nil"/>
                  </w:tcBorders>
                  <w:shd w:val="clear" w:color="auto" w:fill="auto"/>
                  <w:vAlign w:val="center"/>
                </w:tcPr>
                <w:p w14:paraId="08E7FCB8">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HW08</w:t>
                  </w:r>
                  <w:r>
                    <w:rPr>
                      <w:rStyle w:val="125"/>
                      <w:rFonts w:hint="default" w:ascii="Times New Roman" w:hAnsi="Times New Roman" w:eastAsia="宋体" w:cs="Times New Roman"/>
                      <w:color w:val="auto"/>
                      <w:sz w:val="18"/>
                      <w:szCs w:val="18"/>
                      <w:lang w:val="en-US" w:eastAsia="zh-CN" w:bidi="ar"/>
                    </w:rPr>
                    <w:t>，</w:t>
                  </w:r>
                  <w:r>
                    <w:rPr>
                      <w:rStyle w:val="126"/>
                      <w:rFonts w:hint="default" w:ascii="Times New Roman" w:hAnsi="Times New Roman" w:eastAsia="宋体" w:cs="Times New Roman"/>
                      <w:color w:val="auto"/>
                      <w:sz w:val="18"/>
                      <w:szCs w:val="18"/>
                      <w:lang w:val="en-US" w:eastAsia="zh-CN" w:bidi="ar"/>
                    </w:rPr>
                    <w:t>900-218-08</w:t>
                  </w:r>
                </w:p>
              </w:tc>
            </w:tr>
            <w:tr w14:paraId="77EA0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502" w:type="pct"/>
                  <w:tcBorders>
                    <w:tl2br w:val="nil"/>
                    <w:tr2bl w:val="nil"/>
                  </w:tcBorders>
                  <w:shd w:val="clear" w:color="auto" w:fill="auto"/>
                  <w:vAlign w:val="center"/>
                </w:tcPr>
                <w:p w14:paraId="0750456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11</w:t>
                  </w:r>
                </w:p>
              </w:tc>
              <w:tc>
                <w:tcPr>
                  <w:tcW w:w="839" w:type="pct"/>
                  <w:tcBorders>
                    <w:tl2br w:val="nil"/>
                    <w:tr2bl w:val="nil"/>
                  </w:tcBorders>
                  <w:shd w:val="clear" w:color="auto" w:fill="auto"/>
                  <w:vAlign w:val="center"/>
                </w:tcPr>
                <w:p w14:paraId="07529BD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废活性炭（废气处理）</w:t>
                  </w:r>
                </w:p>
              </w:tc>
              <w:tc>
                <w:tcPr>
                  <w:tcW w:w="1260" w:type="pct"/>
                  <w:tcBorders>
                    <w:tl2br w:val="nil"/>
                    <w:tr2bl w:val="nil"/>
                  </w:tcBorders>
                  <w:shd w:val="clear" w:color="auto" w:fill="auto"/>
                  <w:vAlign w:val="center"/>
                </w:tcPr>
                <w:p w14:paraId="027737D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废气处理</w:t>
                  </w:r>
                </w:p>
              </w:tc>
              <w:tc>
                <w:tcPr>
                  <w:tcW w:w="792" w:type="pct"/>
                  <w:tcBorders>
                    <w:tl2br w:val="nil"/>
                    <w:tr2bl w:val="nil"/>
                  </w:tcBorders>
                  <w:shd w:val="clear" w:color="auto" w:fill="auto"/>
                  <w:vAlign w:val="center"/>
                </w:tcPr>
                <w:p w14:paraId="2FC00887">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5"/>
                      <w:rFonts w:hint="default" w:ascii="Times New Roman" w:hAnsi="Times New Roman" w:eastAsia="宋体" w:cs="Times New Roman"/>
                      <w:color w:val="auto"/>
                      <w:sz w:val="18"/>
                      <w:szCs w:val="18"/>
                      <w:lang w:val="en-US" w:eastAsia="zh-CN" w:bidi="ar"/>
                    </w:rPr>
                    <w:t>是</w:t>
                  </w:r>
                </w:p>
              </w:tc>
              <w:tc>
                <w:tcPr>
                  <w:tcW w:w="597" w:type="pct"/>
                  <w:tcBorders>
                    <w:tl2br w:val="nil"/>
                    <w:tr2bl w:val="nil"/>
                  </w:tcBorders>
                  <w:shd w:val="clear" w:color="auto" w:fill="auto"/>
                  <w:vAlign w:val="center"/>
                </w:tcPr>
                <w:p w14:paraId="59D9CB7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T,I</w:t>
                  </w:r>
                </w:p>
              </w:tc>
              <w:tc>
                <w:tcPr>
                  <w:tcW w:w="1007" w:type="pct"/>
                  <w:tcBorders>
                    <w:tl2br w:val="nil"/>
                    <w:tr2bl w:val="nil"/>
                  </w:tcBorders>
                  <w:shd w:val="clear" w:color="auto" w:fill="auto"/>
                  <w:vAlign w:val="center"/>
                </w:tcPr>
                <w:p w14:paraId="765435A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HW49</w:t>
                  </w:r>
                  <w:r>
                    <w:rPr>
                      <w:rStyle w:val="125"/>
                      <w:rFonts w:hint="default" w:ascii="Times New Roman" w:hAnsi="Times New Roman" w:eastAsia="宋体" w:cs="Times New Roman"/>
                      <w:color w:val="auto"/>
                      <w:sz w:val="18"/>
                      <w:szCs w:val="18"/>
                      <w:lang w:val="en-US" w:eastAsia="zh-CN" w:bidi="ar"/>
                    </w:rPr>
                    <w:t>，</w:t>
                  </w:r>
                  <w:r>
                    <w:rPr>
                      <w:rStyle w:val="126"/>
                      <w:rFonts w:hint="default" w:ascii="Times New Roman" w:hAnsi="Times New Roman" w:eastAsia="宋体" w:cs="Times New Roman"/>
                      <w:color w:val="auto"/>
                      <w:sz w:val="18"/>
                      <w:szCs w:val="18"/>
                      <w:lang w:val="en-US" w:eastAsia="zh-CN" w:bidi="ar"/>
                    </w:rPr>
                    <w:t>900-039-49</w:t>
                  </w:r>
                </w:p>
              </w:tc>
            </w:tr>
          </w:tbl>
          <w:p w14:paraId="0A391F06">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eastAsia="黑体"/>
                <w:color w:val="auto"/>
                <w:sz w:val="24"/>
                <w:szCs w:val="24"/>
                <w:lang w:val="en-US" w:eastAsia="zh-CN"/>
              </w:rPr>
            </w:pPr>
            <w:r>
              <w:rPr>
                <w:rFonts w:hint="eastAsia"/>
                <w:color w:val="auto"/>
                <w:sz w:val="24"/>
                <w:szCs w:val="24"/>
              </w:rPr>
              <w:t>4</w:t>
            </w:r>
            <w:r>
              <w:rPr>
                <w:color w:val="auto"/>
                <w:sz w:val="24"/>
                <w:szCs w:val="24"/>
              </w:rPr>
              <w:t>.</w:t>
            </w:r>
            <w:r>
              <w:rPr>
                <w:rFonts w:hint="eastAsia"/>
                <w:color w:val="auto"/>
                <w:sz w:val="24"/>
                <w:szCs w:val="24"/>
                <w:lang w:val="en-US" w:eastAsia="zh-CN"/>
              </w:rPr>
              <w:t>2</w:t>
            </w:r>
            <w:r>
              <w:rPr>
                <w:rFonts w:hint="eastAsia"/>
                <w:color w:val="auto"/>
                <w:sz w:val="24"/>
                <w:szCs w:val="24"/>
              </w:rPr>
              <w:t>固体废物</w:t>
            </w:r>
            <w:r>
              <w:rPr>
                <w:rFonts w:hint="eastAsia"/>
                <w:color w:val="auto"/>
                <w:sz w:val="24"/>
                <w:szCs w:val="24"/>
                <w:lang w:val="en-US" w:eastAsia="zh-CN"/>
              </w:rPr>
              <w:t>产生及处置情况</w:t>
            </w:r>
          </w:p>
          <w:p w14:paraId="18F26719">
            <w:pPr>
              <w:spacing w:line="360" w:lineRule="auto"/>
              <w:ind w:firstLine="482" w:firstLineChars="200"/>
              <w:rPr>
                <w:rFonts w:hint="default" w:eastAsia="宋体"/>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rFonts w:hint="eastAsia"/>
                <w:b/>
                <w:bCs/>
                <w:color w:val="auto"/>
                <w:sz w:val="24"/>
                <w:szCs w:val="24"/>
                <w:lang w:val="en-US" w:eastAsia="zh-CN"/>
              </w:rPr>
              <w:t>一般工业固体废物</w:t>
            </w:r>
          </w:p>
          <w:p w14:paraId="45409FB6">
            <w:pPr>
              <w:spacing w:line="360" w:lineRule="auto"/>
              <w:ind w:firstLine="480" w:firstLineChars="200"/>
              <w:rPr>
                <w:rFonts w:hint="eastAsia"/>
                <w:color w:val="auto"/>
                <w:sz w:val="24"/>
                <w:szCs w:val="24"/>
              </w:rPr>
            </w:pPr>
            <w:r>
              <w:rPr>
                <w:rFonts w:hint="eastAsia"/>
                <w:color w:val="auto"/>
                <w:sz w:val="24"/>
                <w:szCs w:val="24"/>
              </w:rPr>
              <w:t>①中频炉废炉渣</w:t>
            </w:r>
          </w:p>
          <w:p w14:paraId="4C7314A5">
            <w:pPr>
              <w:spacing w:line="360" w:lineRule="auto"/>
              <w:ind w:firstLine="480" w:firstLineChars="200"/>
              <w:rPr>
                <w:rFonts w:hint="eastAsia"/>
                <w:color w:val="auto"/>
                <w:sz w:val="24"/>
                <w:szCs w:val="24"/>
              </w:rPr>
            </w:pPr>
            <w:r>
              <w:rPr>
                <w:rFonts w:hint="eastAsia"/>
                <w:color w:val="auto"/>
                <w:sz w:val="24"/>
                <w:szCs w:val="24"/>
              </w:rPr>
              <w:t>中频感应熔炼炉熔化的生铁、废钢、硅铁、铁合金等</w:t>
            </w:r>
            <w:r>
              <w:rPr>
                <w:rFonts w:hint="eastAsia"/>
                <w:color w:val="auto"/>
                <w:sz w:val="24"/>
                <w:szCs w:val="24"/>
                <w:lang w:val="en-US" w:eastAsia="zh-CN"/>
              </w:rPr>
              <w:t>入炉</w:t>
            </w:r>
            <w:r>
              <w:rPr>
                <w:rFonts w:hint="eastAsia"/>
                <w:color w:val="auto"/>
                <w:sz w:val="24"/>
                <w:szCs w:val="24"/>
              </w:rPr>
              <w:t>原料用量共约</w:t>
            </w:r>
            <w:r>
              <w:rPr>
                <w:rFonts w:hint="eastAsia"/>
                <w:color w:val="auto"/>
                <w:sz w:val="24"/>
                <w:szCs w:val="24"/>
                <w:lang w:val="en-US" w:eastAsia="zh-CN"/>
              </w:rPr>
              <w:t>15656</w:t>
            </w:r>
            <w:r>
              <w:rPr>
                <w:rFonts w:hint="eastAsia"/>
                <w:color w:val="auto"/>
                <w:sz w:val="24"/>
                <w:szCs w:val="24"/>
              </w:rPr>
              <w:t>t/a，</w:t>
            </w:r>
            <w:r>
              <w:rPr>
                <w:rFonts w:hint="eastAsia"/>
                <w:color w:val="auto"/>
                <w:sz w:val="24"/>
                <w:szCs w:val="24"/>
                <w:lang w:val="en-US" w:eastAsia="zh-CN"/>
              </w:rPr>
              <w:t>炉渣产生量约为原料用量的4%</w:t>
            </w:r>
            <w:r>
              <w:rPr>
                <w:rFonts w:hint="eastAsia"/>
                <w:color w:val="auto"/>
                <w:sz w:val="24"/>
                <w:szCs w:val="24"/>
              </w:rPr>
              <w:t>，则项目铸造熔化炉渣的产生量约为</w:t>
            </w:r>
            <w:r>
              <w:rPr>
                <w:rFonts w:hint="eastAsia"/>
                <w:color w:val="auto"/>
                <w:sz w:val="24"/>
                <w:szCs w:val="24"/>
                <w:lang w:val="en-US" w:eastAsia="zh-CN"/>
              </w:rPr>
              <w:t>626.24</w:t>
            </w:r>
            <w:r>
              <w:rPr>
                <w:rFonts w:hint="eastAsia"/>
                <w:color w:val="auto"/>
                <w:sz w:val="24"/>
                <w:szCs w:val="24"/>
              </w:rPr>
              <w:t>t/a，主要成分为氧化硅、氧化铁、氧化钙等，收集后可外售水泥厂综合利用。</w:t>
            </w:r>
          </w:p>
          <w:p w14:paraId="183BFC5A">
            <w:pPr>
              <w:spacing w:line="360" w:lineRule="auto"/>
              <w:ind w:firstLine="480" w:firstLineChars="200"/>
              <w:rPr>
                <w:rFonts w:hint="eastAsia"/>
                <w:color w:val="auto"/>
                <w:sz w:val="24"/>
                <w:szCs w:val="24"/>
              </w:rPr>
            </w:pPr>
            <w:r>
              <w:rPr>
                <w:rFonts w:hint="eastAsia"/>
                <w:color w:val="auto"/>
                <w:sz w:val="24"/>
                <w:szCs w:val="24"/>
              </w:rPr>
              <w:t>②废砂</w:t>
            </w:r>
          </w:p>
          <w:p w14:paraId="4A588FD6">
            <w:pPr>
              <w:spacing w:line="360" w:lineRule="auto"/>
              <w:ind w:firstLine="480" w:firstLineChars="200"/>
              <w:rPr>
                <w:rFonts w:hint="eastAsia"/>
                <w:color w:val="auto"/>
                <w:sz w:val="24"/>
                <w:szCs w:val="24"/>
              </w:rPr>
            </w:pPr>
            <w:r>
              <w:rPr>
                <w:rFonts w:hint="eastAsia"/>
                <w:color w:val="auto"/>
                <w:sz w:val="24"/>
                <w:szCs w:val="24"/>
              </w:rPr>
              <w:t>项目树脂自硬砂铸造和粘土砂铸造废砂包括：型砂再生产生的废砂和浇注后废砂芯产生的废砂，产生量共约3</w:t>
            </w:r>
            <w:r>
              <w:rPr>
                <w:rFonts w:hint="eastAsia"/>
                <w:color w:val="auto"/>
                <w:sz w:val="24"/>
                <w:szCs w:val="24"/>
                <w:lang w:val="en-US" w:eastAsia="zh-CN"/>
              </w:rPr>
              <w:t>0</w:t>
            </w:r>
            <w:r>
              <w:rPr>
                <w:rFonts w:hint="eastAsia"/>
                <w:color w:val="auto"/>
                <w:sz w:val="24"/>
                <w:szCs w:val="24"/>
              </w:rPr>
              <w:t>0t/a，可由相关单位回收利用。</w:t>
            </w:r>
          </w:p>
          <w:p w14:paraId="21F81002">
            <w:pPr>
              <w:spacing w:line="360" w:lineRule="auto"/>
              <w:ind w:firstLine="480" w:firstLineChars="200"/>
              <w:rPr>
                <w:rFonts w:hint="eastAsia"/>
                <w:color w:val="auto"/>
                <w:sz w:val="24"/>
                <w:szCs w:val="24"/>
              </w:rPr>
            </w:pPr>
            <w:r>
              <w:rPr>
                <w:rFonts w:hint="eastAsia"/>
                <w:color w:val="auto"/>
                <w:sz w:val="24"/>
                <w:szCs w:val="24"/>
              </w:rPr>
              <w:t>项目熔模铸件脱壳产生的废砂量约为</w:t>
            </w:r>
            <w:r>
              <w:rPr>
                <w:rFonts w:hint="eastAsia"/>
                <w:color w:val="auto"/>
                <w:sz w:val="24"/>
                <w:szCs w:val="24"/>
                <w:lang w:val="en-US" w:eastAsia="zh-CN"/>
              </w:rPr>
              <w:t>1540</w:t>
            </w:r>
            <w:r>
              <w:rPr>
                <w:rFonts w:hint="eastAsia"/>
                <w:color w:val="auto"/>
                <w:sz w:val="24"/>
                <w:szCs w:val="24"/>
              </w:rPr>
              <w:t>t/a，主要成分为</w:t>
            </w:r>
            <w:r>
              <w:rPr>
                <w:rFonts w:hint="eastAsia"/>
                <w:color w:val="auto"/>
                <w:sz w:val="24"/>
                <w:szCs w:val="24"/>
                <w:lang w:val="en-US" w:eastAsia="zh-CN"/>
              </w:rPr>
              <w:t>石英砂、石英粉</w:t>
            </w:r>
            <w:r>
              <w:rPr>
                <w:rFonts w:hint="eastAsia"/>
                <w:color w:val="auto"/>
                <w:sz w:val="24"/>
                <w:szCs w:val="24"/>
              </w:rPr>
              <w:t>等，属于耐高温材料，可由相关单位回收利用。</w:t>
            </w:r>
          </w:p>
          <w:p w14:paraId="64DC67F6">
            <w:pPr>
              <w:spacing w:line="360" w:lineRule="auto"/>
              <w:ind w:firstLine="480" w:firstLineChars="200"/>
              <w:rPr>
                <w:rFonts w:hint="eastAsia"/>
                <w:color w:val="auto"/>
                <w:sz w:val="24"/>
                <w:szCs w:val="24"/>
              </w:rPr>
            </w:pPr>
            <w:r>
              <w:rPr>
                <w:rFonts w:hint="eastAsia"/>
                <w:color w:val="auto"/>
                <w:sz w:val="24"/>
                <w:szCs w:val="24"/>
              </w:rPr>
              <w:t>③</w:t>
            </w:r>
            <w:r>
              <w:rPr>
                <w:rFonts w:hint="eastAsia"/>
                <w:color w:val="auto"/>
                <w:sz w:val="24"/>
                <w:szCs w:val="24"/>
                <w:lang w:eastAsia="zh-CN"/>
              </w:rPr>
              <w:t>袋式除尘器</w:t>
            </w:r>
            <w:r>
              <w:rPr>
                <w:rFonts w:hint="eastAsia"/>
                <w:color w:val="auto"/>
                <w:sz w:val="24"/>
                <w:szCs w:val="24"/>
              </w:rPr>
              <w:t>粉尘</w:t>
            </w:r>
          </w:p>
          <w:p w14:paraId="43164254">
            <w:pPr>
              <w:spacing w:line="360" w:lineRule="auto"/>
              <w:ind w:firstLine="480" w:firstLineChars="200"/>
              <w:rPr>
                <w:rFonts w:hint="eastAsia" w:eastAsia="宋体"/>
                <w:color w:val="auto"/>
                <w:sz w:val="24"/>
                <w:szCs w:val="24"/>
                <w:lang w:val="en-US" w:eastAsia="zh-CN"/>
              </w:rPr>
            </w:pPr>
            <w:r>
              <w:rPr>
                <w:rFonts w:hint="eastAsia"/>
                <w:color w:val="auto"/>
                <w:sz w:val="24"/>
                <w:szCs w:val="24"/>
              </w:rPr>
              <w:t>根据净化装置对废气颗粒物的去除量核算，本项目铸造工序</w:t>
            </w:r>
            <w:r>
              <w:rPr>
                <w:rFonts w:hint="eastAsia"/>
                <w:color w:val="auto"/>
                <w:sz w:val="24"/>
                <w:szCs w:val="24"/>
                <w:lang w:eastAsia="zh-CN"/>
              </w:rPr>
              <w:t>、</w:t>
            </w:r>
            <w:r>
              <w:rPr>
                <w:rFonts w:hint="eastAsia"/>
                <w:color w:val="auto"/>
                <w:sz w:val="24"/>
                <w:szCs w:val="24"/>
                <w:lang w:val="en-US" w:eastAsia="zh-CN"/>
              </w:rPr>
              <w:t>砂再生、抛丸</w:t>
            </w:r>
            <w:r>
              <w:rPr>
                <w:rFonts w:hint="eastAsia"/>
                <w:color w:val="auto"/>
                <w:sz w:val="24"/>
                <w:szCs w:val="24"/>
              </w:rPr>
              <w:t>、红冲工序投料拌料工序等收集的粉尘量约</w:t>
            </w:r>
            <w:r>
              <w:rPr>
                <w:rFonts w:hint="eastAsia"/>
                <w:color w:val="auto"/>
                <w:sz w:val="24"/>
                <w:szCs w:val="24"/>
                <w:lang w:val="en-US" w:eastAsia="zh-CN"/>
              </w:rPr>
              <w:t>367.470</w:t>
            </w:r>
            <w:r>
              <w:rPr>
                <w:rFonts w:hint="eastAsia"/>
                <w:color w:val="auto"/>
                <w:sz w:val="24"/>
                <w:szCs w:val="24"/>
              </w:rPr>
              <w:t>t/a，属于一般工业固体废物，可由相关单位回收利用</w:t>
            </w:r>
            <w:r>
              <w:rPr>
                <w:rFonts w:hint="eastAsia"/>
                <w:color w:val="auto"/>
                <w:sz w:val="24"/>
                <w:szCs w:val="24"/>
                <w:lang w:eastAsia="zh-CN"/>
              </w:rPr>
              <w:t>。</w:t>
            </w:r>
          </w:p>
          <w:p w14:paraId="5C4AB7B2">
            <w:pPr>
              <w:spacing w:line="360" w:lineRule="auto"/>
              <w:ind w:firstLine="480" w:firstLineChars="200"/>
              <w:rPr>
                <w:rFonts w:hint="eastAsia"/>
                <w:color w:val="auto"/>
                <w:sz w:val="24"/>
                <w:szCs w:val="24"/>
              </w:rPr>
            </w:pPr>
            <w:r>
              <w:rPr>
                <w:rFonts w:hint="eastAsia"/>
                <w:color w:val="auto"/>
                <w:sz w:val="24"/>
                <w:szCs w:val="24"/>
              </w:rPr>
              <w:t>④废石蜡</w:t>
            </w:r>
          </w:p>
          <w:p w14:paraId="15B9F4E0">
            <w:pPr>
              <w:spacing w:line="360" w:lineRule="auto"/>
              <w:ind w:firstLine="480" w:firstLineChars="200"/>
              <w:rPr>
                <w:rFonts w:hint="eastAsia"/>
                <w:color w:val="auto"/>
                <w:sz w:val="24"/>
                <w:szCs w:val="24"/>
              </w:rPr>
            </w:pPr>
            <w:r>
              <w:rPr>
                <w:rFonts w:hint="eastAsia"/>
                <w:color w:val="auto"/>
                <w:sz w:val="24"/>
                <w:szCs w:val="24"/>
              </w:rPr>
              <w:t>熔模铸造过程石蜡可循环使用，定期补充损耗量，该损耗主要为滤渣和型壳带走的。根据建设单位统计，石蜡重复利用率约为98%，则本项目废石蜡的产生量约为0</w:t>
            </w:r>
            <w:r>
              <w:rPr>
                <w:rFonts w:hint="eastAsia"/>
                <w:color w:val="auto"/>
                <w:sz w:val="24"/>
                <w:szCs w:val="24"/>
                <w:lang w:val="en-US" w:eastAsia="zh-CN"/>
              </w:rPr>
              <w:t>.1</w:t>
            </w:r>
            <w:r>
              <w:rPr>
                <w:rFonts w:hint="eastAsia"/>
                <w:color w:val="auto"/>
                <w:sz w:val="24"/>
                <w:szCs w:val="24"/>
              </w:rPr>
              <w:t>t/a，可由相关单位回收利用。</w:t>
            </w:r>
          </w:p>
          <w:p w14:paraId="6095EBEB">
            <w:pPr>
              <w:spacing w:line="360" w:lineRule="auto"/>
              <w:ind w:firstLine="480" w:firstLineChars="200"/>
              <w:rPr>
                <w:rFonts w:hint="eastAsia"/>
                <w:color w:val="auto"/>
                <w:sz w:val="24"/>
                <w:szCs w:val="24"/>
              </w:rPr>
            </w:pPr>
            <w:r>
              <w:rPr>
                <w:rFonts w:hint="eastAsia"/>
                <w:color w:val="auto"/>
                <w:sz w:val="24"/>
                <w:szCs w:val="24"/>
              </w:rPr>
              <w:t>⑤废边角料</w:t>
            </w:r>
          </w:p>
          <w:p w14:paraId="798C8BF8">
            <w:pPr>
              <w:spacing w:line="360" w:lineRule="auto"/>
              <w:ind w:firstLine="480" w:firstLineChars="200"/>
              <w:rPr>
                <w:rFonts w:hint="eastAsia"/>
                <w:color w:val="auto"/>
                <w:sz w:val="24"/>
                <w:szCs w:val="24"/>
              </w:rPr>
            </w:pPr>
            <w:r>
              <w:rPr>
                <w:rFonts w:hint="eastAsia"/>
                <w:color w:val="auto"/>
                <w:sz w:val="24"/>
                <w:szCs w:val="24"/>
              </w:rPr>
              <w:t>本项目废边角料包括：红冲工序中切割分段、</w:t>
            </w:r>
            <w:r>
              <w:rPr>
                <w:rFonts w:hint="eastAsia"/>
                <w:color w:val="auto"/>
                <w:sz w:val="24"/>
                <w:szCs w:val="24"/>
                <w:lang w:val="en-US" w:eastAsia="zh-CN"/>
              </w:rPr>
              <w:t>激光切割</w:t>
            </w:r>
            <w:r>
              <w:rPr>
                <w:rFonts w:hint="eastAsia"/>
                <w:color w:val="auto"/>
                <w:sz w:val="24"/>
                <w:szCs w:val="24"/>
              </w:rPr>
              <w:t>产生的废边角料；压铸抛光去毛刺产生的</w:t>
            </w:r>
            <w:r>
              <w:rPr>
                <w:rFonts w:hint="eastAsia"/>
                <w:color w:val="auto"/>
                <w:sz w:val="24"/>
                <w:szCs w:val="24"/>
                <w:lang w:val="en-US" w:eastAsia="zh-CN"/>
              </w:rPr>
              <w:t>金属碎屑</w:t>
            </w:r>
            <w:r>
              <w:rPr>
                <w:rFonts w:hint="eastAsia"/>
                <w:color w:val="auto"/>
                <w:sz w:val="24"/>
                <w:szCs w:val="24"/>
              </w:rPr>
              <w:t>。</w:t>
            </w:r>
          </w:p>
          <w:p w14:paraId="41A8B7E5">
            <w:pPr>
              <w:spacing w:line="360" w:lineRule="auto"/>
              <w:ind w:firstLine="480" w:firstLineChars="200"/>
              <w:rPr>
                <w:rFonts w:hint="eastAsia"/>
                <w:color w:val="auto"/>
                <w:sz w:val="24"/>
                <w:szCs w:val="24"/>
              </w:rPr>
            </w:pPr>
            <w:r>
              <w:rPr>
                <w:rFonts w:hint="eastAsia"/>
                <w:color w:val="auto"/>
                <w:sz w:val="24"/>
                <w:szCs w:val="24"/>
              </w:rPr>
              <w:t>铜棒在切边过程会产生一定量的废边角料，项目铜棒用量约159</w:t>
            </w:r>
            <w:r>
              <w:rPr>
                <w:rFonts w:hint="eastAsia"/>
                <w:color w:val="auto"/>
                <w:sz w:val="24"/>
                <w:szCs w:val="24"/>
                <w:lang w:val="en-US" w:eastAsia="zh-CN"/>
              </w:rPr>
              <w:t>0</w:t>
            </w:r>
            <w:r>
              <w:rPr>
                <w:rFonts w:hint="eastAsia"/>
                <w:color w:val="auto"/>
                <w:sz w:val="24"/>
                <w:szCs w:val="24"/>
              </w:rPr>
              <w:t>t/a，根据建设单位统计，铜棒利用率约为9</w:t>
            </w:r>
            <w:r>
              <w:rPr>
                <w:rFonts w:hint="eastAsia"/>
                <w:color w:val="auto"/>
                <w:sz w:val="24"/>
                <w:szCs w:val="24"/>
                <w:lang w:val="en-US" w:eastAsia="zh-CN"/>
              </w:rPr>
              <w:t>9</w:t>
            </w:r>
            <w:r>
              <w:rPr>
                <w:rFonts w:hint="eastAsia"/>
                <w:color w:val="auto"/>
                <w:sz w:val="24"/>
                <w:szCs w:val="24"/>
              </w:rPr>
              <w:t>%，则废边角料产生量约为</w:t>
            </w:r>
            <w:r>
              <w:rPr>
                <w:rFonts w:hint="eastAsia"/>
                <w:color w:val="auto"/>
                <w:sz w:val="24"/>
                <w:szCs w:val="24"/>
                <w:lang w:val="en-US" w:eastAsia="zh-CN"/>
              </w:rPr>
              <w:t>15.9</w:t>
            </w:r>
            <w:r>
              <w:rPr>
                <w:rFonts w:hint="eastAsia"/>
                <w:color w:val="auto"/>
                <w:sz w:val="24"/>
                <w:szCs w:val="24"/>
              </w:rPr>
              <w:t>t/a。</w:t>
            </w:r>
          </w:p>
          <w:p w14:paraId="3070C7B2">
            <w:pPr>
              <w:spacing w:line="360" w:lineRule="auto"/>
              <w:ind w:firstLine="480" w:firstLineChars="200"/>
              <w:rPr>
                <w:rFonts w:hint="eastAsia"/>
                <w:color w:val="auto"/>
                <w:sz w:val="24"/>
                <w:szCs w:val="24"/>
              </w:rPr>
            </w:pPr>
            <w:r>
              <w:rPr>
                <w:rFonts w:hint="eastAsia"/>
                <w:color w:val="auto"/>
                <w:sz w:val="24"/>
                <w:szCs w:val="24"/>
              </w:rPr>
              <w:t>项目铝合金铸件经机加工等工序会产生一定量的废边角料，项目铝合金锭用量约</w:t>
            </w:r>
            <w:r>
              <w:rPr>
                <w:rFonts w:hint="eastAsia"/>
                <w:color w:val="auto"/>
                <w:sz w:val="24"/>
                <w:szCs w:val="24"/>
                <w:lang w:val="en-US" w:eastAsia="zh-CN"/>
              </w:rPr>
              <w:t>3330</w:t>
            </w:r>
            <w:r>
              <w:rPr>
                <w:rFonts w:hint="eastAsia"/>
                <w:color w:val="auto"/>
                <w:sz w:val="24"/>
                <w:szCs w:val="24"/>
              </w:rPr>
              <w:t>t/a，边角料产生量约占原材料的</w:t>
            </w:r>
            <w:r>
              <w:rPr>
                <w:rFonts w:hint="eastAsia"/>
                <w:color w:val="auto"/>
                <w:sz w:val="24"/>
                <w:szCs w:val="24"/>
                <w:lang w:val="en-US" w:eastAsia="zh-CN"/>
              </w:rPr>
              <w:t>0.5</w:t>
            </w:r>
            <w:r>
              <w:rPr>
                <w:rFonts w:hint="eastAsia"/>
                <w:color w:val="auto"/>
                <w:sz w:val="24"/>
                <w:szCs w:val="24"/>
              </w:rPr>
              <w:t>%，则废边角料产生量约</w:t>
            </w:r>
            <w:r>
              <w:rPr>
                <w:rFonts w:hint="eastAsia"/>
                <w:color w:val="auto"/>
                <w:sz w:val="24"/>
                <w:szCs w:val="24"/>
                <w:lang w:val="en-US" w:eastAsia="zh-CN"/>
              </w:rPr>
              <w:t>16.65</w:t>
            </w:r>
            <w:r>
              <w:rPr>
                <w:rFonts w:hint="eastAsia"/>
                <w:color w:val="auto"/>
                <w:sz w:val="24"/>
                <w:szCs w:val="24"/>
              </w:rPr>
              <w:t>t/a。</w:t>
            </w:r>
          </w:p>
          <w:p w14:paraId="27E0F678">
            <w:pPr>
              <w:spacing w:line="360" w:lineRule="auto"/>
              <w:ind w:firstLine="480" w:firstLineChars="200"/>
              <w:rPr>
                <w:rFonts w:hint="eastAsia"/>
                <w:color w:val="auto"/>
                <w:sz w:val="24"/>
                <w:szCs w:val="24"/>
              </w:rPr>
            </w:pPr>
            <w:r>
              <w:rPr>
                <w:rFonts w:hint="eastAsia"/>
                <w:color w:val="auto"/>
                <w:sz w:val="24"/>
                <w:szCs w:val="24"/>
                <w:lang w:val="en-US" w:eastAsia="zh-CN"/>
              </w:rPr>
              <w:t>灭火器筒体冷轧板切割</w:t>
            </w:r>
            <w:r>
              <w:rPr>
                <w:rFonts w:hint="eastAsia"/>
                <w:color w:val="auto"/>
                <w:sz w:val="24"/>
                <w:szCs w:val="24"/>
              </w:rPr>
              <w:t>会产生一定量的废边角料，项目</w:t>
            </w:r>
            <w:r>
              <w:rPr>
                <w:rFonts w:hint="eastAsia"/>
                <w:color w:val="auto"/>
                <w:sz w:val="24"/>
                <w:szCs w:val="24"/>
                <w:lang w:val="en-US" w:eastAsia="zh-CN"/>
              </w:rPr>
              <w:t>冷轧板</w:t>
            </w:r>
            <w:r>
              <w:rPr>
                <w:rFonts w:hint="eastAsia"/>
                <w:color w:val="auto"/>
                <w:sz w:val="24"/>
                <w:szCs w:val="24"/>
              </w:rPr>
              <w:t>量约</w:t>
            </w:r>
            <w:r>
              <w:rPr>
                <w:rFonts w:hint="eastAsia"/>
                <w:color w:val="auto"/>
                <w:sz w:val="24"/>
                <w:szCs w:val="24"/>
                <w:lang w:val="en-US" w:eastAsia="zh-CN"/>
              </w:rPr>
              <w:t>3000</w:t>
            </w:r>
            <w:r>
              <w:rPr>
                <w:rFonts w:hint="eastAsia"/>
                <w:color w:val="auto"/>
                <w:sz w:val="24"/>
                <w:szCs w:val="24"/>
              </w:rPr>
              <w:t>t/a，边角料产生量约占原材料的1%，则废边角料产生量约</w:t>
            </w:r>
            <w:r>
              <w:rPr>
                <w:rFonts w:hint="eastAsia"/>
                <w:color w:val="auto"/>
                <w:sz w:val="24"/>
                <w:szCs w:val="24"/>
                <w:lang w:val="en-US" w:eastAsia="zh-CN"/>
              </w:rPr>
              <w:t>30</w:t>
            </w:r>
            <w:r>
              <w:rPr>
                <w:rFonts w:hint="eastAsia"/>
                <w:color w:val="auto"/>
                <w:sz w:val="24"/>
                <w:szCs w:val="24"/>
              </w:rPr>
              <w:t>t/a。</w:t>
            </w:r>
          </w:p>
          <w:p w14:paraId="5822F270">
            <w:pPr>
              <w:spacing w:line="360" w:lineRule="auto"/>
              <w:ind w:firstLine="480" w:firstLineChars="200"/>
              <w:rPr>
                <w:rFonts w:hint="default" w:eastAsia="宋体"/>
                <w:color w:val="auto"/>
                <w:sz w:val="24"/>
                <w:szCs w:val="24"/>
                <w:lang w:val="en-US" w:eastAsia="zh-CN"/>
              </w:rPr>
            </w:pPr>
            <w:r>
              <w:rPr>
                <w:rFonts w:hint="default" w:eastAsia="宋体"/>
                <w:color w:val="auto"/>
                <w:sz w:val="24"/>
                <w:szCs w:val="24"/>
                <w:lang w:val="en-US" w:eastAsia="zh-CN"/>
              </w:rPr>
              <w:t>⑥涤纶边角料</w:t>
            </w:r>
          </w:p>
          <w:p w14:paraId="699986FA">
            <w:pPr>
              <w:spacing w:line="360" w:lineRule="auto"/>
              <w:ind w:firstLine="480" w:firstLineChars="200"/>
              <w:rPr>
                <w:rFonts w:hint="default" w:eastAsia="宋体"/>
                <w:color w:val="auto"/>
                <w:sz w:val="24"/>
                <w:szCs w:val="24"/>
                <w:lang w:val="en-US" w:eastAsia="zh-CN"/>
              </w:rPr>
            </w:pPr>
            <w:r>
              <w:rPr>
                <w:rFonts w:hint="default" w:eastAsia="宋体"/>
                <w:color w:val="auto"/>
                <w:sz w:val="24"/>
                <w:szCs w:val="24"/>
                <w:lang w:val="en-US" w:eastAsia="zh-CN"/>
              </w:rPr>
              <w:t>本项目捻丝、织造过程会产生少量边角料，根据建设单位提供资料，涤纶边角料产生量约占原料用量的0.1%，则涤纶边角料产生量0.99</w:t>
            </w:r>
            <w:r>
              <w:rPr>
                <w:rFonts w:hint="eastAsia"/>
                <w:color w:val="auto"/>
                <w:sz w:val="24"/>
                <w:szCs w:val="24"/>
                <w:lang w:val="en-US" w:eastAsia="zh-CN"/>
              </w:rPr>
              <w:t>t</w:t>
            </w:r>
            <w:r>
              <w:rPr>
                <w:rFonts w:hint="default" w:eastAsia="宋体"/>
                <w:color w:val="auto"/>
                <w:sz w:val="24"/>
                <w:szCs w:val="24"/>
                <w:lang w:val="en-US" w:eastAsia="zh-CN"/>
              </w:rPr>
              <w:t>/a，属于一般工业固体废物，由相关单位</w:t>
            </w:r>
            <w:r>
              <w:rPr>
                <w:rFonts w:hint="eastAsia"/>
                <w:color w:val="auto"/>
                <w:sz w:val="24"/>
                <w:szCs w:val="24"/>
                <w:lang w:val="en-US" w:eastAsia="zh-CN"/>
              </w:rPr>
              <w:t>回收</w:t>
            </w:r>
            <w:r>
              <w:rPr>
                <w:rFonts w:hint="default" w:eastAsia="宋体"/>
                <w:color w:val="auto"/>
                <w:sz w:val="24"/>
                <w:szCs w:val="24"/>
                <w:lang w:val="en-US" w:eastAsia="zh-CN"/>
              </w:rPr>
              <w:t>综合利用。</w:t>
            </w:r>
          </w:p>
          <w:p w14:paraId="106F5196">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⑦不含铝灰的废除尘布袋</w:t>
            </w:r>
          </w:p>
          <w:p w14:paraId="73F08979">
            <w:p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项目</w:t>
            </w:r>
            <w:r>
              <w:rPr>
                <w:rFonts w:hint="eastAsia"/>
                <w:color w:val="auto"/>
                <w:sz w:val="24"/>
                <w:szCs w:val="24"/>
              </w:rPr>
              <w:t>铸造工序</w:t>
            </w:r>
            <w:r>
              <w:rPr>
                <w:rFonts w:hint="eastAsia"/>
                <w:color w:val="auto"/>
                <w:sz w:val="24"/>
                <w:szCs w:val="24"/>
                <w:lang w:eastAsia="zh-CN"/>
              </w:rPr>
              <w:t>、</w:t>
            </w:r>
            <w:r>
              <w:rPr>
                <w:rFonts w:hint="eastAsia"/>
                <w:color w:val="auto"/>
                <w:sz w:val="24"/>
                <w:szCs w:val="24"/>
                <w:lang w:val="en-US" w:eastAsia="zh-CN"/>
              </w:rPr>
              <w:t>砂再生、抛丸</w:t>
            </w:r>
            <w:r>
              <w:rPr>
                <w:rFonts w:hint="eastAsia"/>
                <w:color w:val="auto"/>
                <w:sz w:val="24"/>
                <w:szCs w:val="24"/>
              </w:rPr>
              <w:t>、红冲工序投料拌料工序</w:t>
            </w:r>
            <w:r>
              <w:rPr>
                <w:rFonts w:hint="eastAsia"/>
                <w:color w:val="auto"/>
                <w:sz w:val="24"/>
                <w:szCs w:val="24"/>
                <w:lang w:val="en-US" w:eastAsia="zh-CN"/>
              </w:rPr>
              <w:t>产生的废气采用袋式除尘器进行处理，袋式除尘器布袋需要定期更换，根据建设单位提供资料，布袋约2年更换一次，属于一般工业固体废物，产生量约2.5t/a，外售相关单位综合利用。</w:t>
            </w:r>
          </w:p>
          <w:p w14:paraId="1F738D34">
            <w:pPr>
              <w:spacing w:line="360" w:lineRule="auto"/>
              <w:ind w:firstLine="482" w:firstLineChars="200"/>
              <w:rPr>
                <w:rFonts w:hint="eastAsia"/>
                <w:b/>
                <w:bCs/>
                <w:color w:val="auto"/>
                <w:sz w:val="24"/>
                <w:szCs w:val="24"/>
              </w:rPr>
            </w:pPr>
            <w:r>
              <w:rPr>
                <w:rFonts w:hint="eastAsia"/>
                <w:b/>
                <w:bCs/>
                <w:color w:val="auto"/>
                <w:sz w:val="24"/>
                <w:szCs w:val="24"/>
              </w:rPr>
              <w:t>（2）危险废物</w:t>
            </w:r>
          </w:p>
          <w:p w14:paraId="25369B41">
            <w:pPr>
              <w:spacing w:line="360" w:lineRule="auto"/>
              <w:ind w:firstLine="480" w:firstLineChars="200"/>
              <w:rPr>
                <w:rFonts w:hint="eastAsia"/>
                <w:color w:val="auto"/>
                <w:sz w:val="24"/>
                <w:szCs w:val="24"/>
              </w:rPr>
            </w:pPr>
            <w:r>
              <w:rPr>
                <w:rFonts w:hint="eastAsia"/>
                <w:color w:val="auto"/>
                <w:sz w:val="24"/>
                <w:szCs w:val="24"/>
              </w:rPr>
              <w:t>①铝灰渣</w:t>
            </w:r>
          </w:p>
          <w:p w14:paraId="00BF7616">
            <w:pPr>
              <w:spacing w:line="360" w:lineRule="auto"/>
              <w:ind w:firstLine="480" w:firstLineChars="200"/>
              <w:rPr>
                <w:rFonts w:hint="eastAsia"/>
                <w:color w:val="auto"/>
                <w:sz w:val="24"/>
                <w:szCs w:val="24"/>
              </w:rPr>
            </w:pPr>
            <w:r>
              <w:rPr>
                <w:rFonts w:hint="eastAsia"/>
                <w:color w:val="auto"/>
                <w:sz w:val="24"/>
                <w:szCs w:val="24"/>
              </w:rPr>
              <w:t>压铸电熔炉熔化的铝合金锭量为</w:t>
            </w:r>
            <w:r>
              <w:rPr>
                <w:rFonts w:hint="eastAsia"/>
                <w:color w:val="auto"/>
                <w:sz w:val="24"/>
                <w:szCs w:val="24"/>
                <w:lang w:val="en-US" w:eastAsia="zh-CN"/>
              </w:rPr>
              <w:t>3330</w:t>
            </w:r>
            <w:r>
              <w:rPr>
                <w:rFonts w:hint="eastAsia"/>
                <w:color w:val="auto"/>
                <w:sz w:val="24"/>
                <w:szCs w:val="24"/>
              </w:rPr>
              <w:t>t/a，</w:t>
            </w:r>
            <w:r>
              <w:rPr>
                <w:rFonts w:hint="eastAsia"/>
                <w:color w:val="auto"/>
                <w:sz w:val="24"/>
                <w:szCs w:val="24"/>
                <w:lang w:val="en-US" w:eastAsia="zh-CN"/>
              </w:rPr>
              <w:t>炉渣产生量约为原料用量的0.5%</w:t>
            </w:r>
            <w:r>
              <w:rPr>
                <w:rFonts w:hint="eastAsia"/>
                <w:color w:val="auto"/>
                <w:sz w:val="24"/>
                <w:szCs w:val="24"/>
              </w:rPr>
              <w:t>，则本项目铝灰渣产生量约为</w:t>
            </w:r>
            <w:r>
              <w:rPr>
                <w:rFonts w:hint="eastAsia"/>
                <w:color w:val="auto"/>
                <w:sz w:val="24"/>
                <w:szCs w:val="24"/>
                <w:lang w:val="en-US" w:eastAsia="zh-CN"/>
              </w:rPr>
              <w:t>16.65</w:t>
            </w:r>
            <w:r>
              <w:rPr>
                <w:rFonts w:hint="eastAsia"/>
                <w:color w:val="auto"/>
                <w:sz w:val="24"/>
                <w:szCs w:val="24"/>
              </w:rPr>
              <w:t>t/a，属于危险废物（HW48，321-02</w:t>
            </w:r>
            <w:r>
              <w:rPr>
                <w:rFonts w:hint="eastAsia"/>
                <w:color w:val="auto"/>
                <w:sz w:val="24"/>
                <w:szCs w:val="24"/>
                <w:lang w:val="en-US" w:eastAsia="zh-CN"/>
              </w:rPr>
              <w:t>6</w:t>
            </w:r>
            <w:r>
              <w:rPr>
                <w:rFonts w:hint="eastAsia"/>
                <w:color w:val="auto"/>
                <w:sz w:val="24"/>
                <w:szCs w:val="24"/>
              </w:rPr>
              <w:t>-48），应委托有资质单位统一处置。</w:t>
            </w:r>
          </w:p>
          <w:p w14:paraId="2598EEEA">
            <w:pPr>
              <w:spacing w:line="360" w:lineRule="auto"/>
              <w:ind w:firstLine="480" w:firstLineChars="200"/>
              <w:rPr>
                <w:rFonts w:hint="default" w:eastAsia="宋体"/>
                <w:color w:val="auto"/>
                <w:sz w:val="24"/>
                <w:szCs w:val="24"/>
                <w:lang w:val="en-US" w:eastAsia="zh-CN"/>
              </w:rPr>
            </w:pPr>
            <w:r>
              <w:rPr>
                <w:rFonts w:hint="eastAsia"/>
                <w:color w:val="auto"/>
                <w:sz w:val="24"/>
                <w:szCs w:val="24"/>
                <w:lang w:val="en-US" w:eastAsia="zh-CN"/>
              </w:rPr>
              <w:t>②袋式除尘器收集的铝灰</w:t>
            </w:r>
          </w:p>
          <w:p w14:paraId="42FE744F">
            <w:pPr>
              <w:spacing w:line="360" w:lineRule="auto"/>
              <w:ind w:firstLine="480" w:firstLineChars="200"/>
              <w:rPr>
                <w:rFonts w:hint="eastAsia"/>
                <w:color w:val="auto"/>
                <w:sz w:val="24"/>
                <w:szCs w:val="24"/>
              </w:rPr>
            </w:pPr>
            <w:r>
              <w:rPr>
                <w:rFonts w:hint="eastAsia"/>
                <w:color w:val="auto"/>
                <w:sz w:val="24"/>
                <w:szCs w:val="24"/>
                <w:lang w:val="en-US" w:eastAsia="zh-CN"/>
              </w:rPr>
              <w:t>铝合金锭熔化、压铸废气单独配备一套袋式除尘器，</w:t>
            </w:r>
            <w:r>
              <w:rPr>
                <w:rFonts w:hint="eastAsia"/>
                <w:color w:val="auto"/>
                <w:sz w:val="24"/>
                <w:szCs w:val="24"/>
              </w:rPr>
              <w:t>根据净化装置对</w:t>
            </w:r>
            <w:r>
              <w:rPr>
                <w:rFonts w:hint="eastAsia"/>
                <w:color w:val="auto"/>
                <w:sz w:val="24"/>
                <w:szCs w:val="24"/>
                <w:lang w:val="en-US" w:eastAsia="zh-CN"/>
              </w:rPr>
              <w:t>上述废气</w:t>
            </w:r>
            <w:r>
              <w:rPr>
                <w:rFonts w:hint="eastAsia"/>
                <w:color w:val="auto"/>
                <w:sz w:val="24"/>
                <w:szCs w:val="24"/>
              </w:rPr>
              <w:t>颗粒物的去除量核算，收集的粉尘量约</w:t>
            </w:r>
            <w:r>
              <w:rPr>
                <w:rFonts w:hint="eastAsia"/>
                <w:color w:val="auto"/>
                <w:sz w:val="24"/>
                <w:szCs w:val="24"/>
                <w:lang w:val="en-US" w:eastAsia="zh-CN"/>
              </w:rPr>
              <w:t>1.848</w:t>
            </w:r>
            <w:r>
              <w:rPr>
                <w:rFonts w:hint="eastAsia"/>
                <w:color w:val="auto"/>
                <w:sz w:val="24"/>
                <w:szCs w:val="24"/>
              </w:rPr>
              <w:t>t/a，属于危险废物（HW48，321-0</w:t>
            </w:r>
            <w:r>
              <w:rPr>
                <w:rFonts w:hint="eastAsia"/>
                <w:color w:val="auto"/>
                <w:sz w:val="24"/>
                <w:szCs w:val="24"/>
                <w:lang w:val="en-US" w:eastAsia="zh-CN"/>
              </w:rPr>
              <w:t>34</w:t>
            </w:r>
            <w:r>
              <w:rPr>
                <w:rFonts w:hint="eastAsia"/>
                <w:color w:val="auto"/>
                <w:sz w:val="24"/>
                <w:szCs w:val="24"/>
              </w:rPr>
              <w:t>-48），应委托有资质单位统一处置。</w:t>
            </w:r>
          </w:p>
          <w:p w14:paraId="29A69878">
            <w:pPr>
              <w:spacing w:line="360" w:lineRule="auto"/>
              <w:ind w:firstLine="480" w:firstLineChars="200"/>
              <w:rPr>
                <w:rFonts w:hint="default" w:eastAsia="宋体"/>
                <w:color w:val="auto"/>
                <w:sz w:val="24"/>
                <w:szCs w:val="24"/>
                <w:lang w:val="en-US" w:eastAsia="zh-CN"/>
              </w:rPr>
            </w:pPr>
            <w:r>
              <w:rPr>
                <w:rFonts w:hint="eastAsia"/>
                <w:color w:val="auto"/>
                <w:sz w:val="24"/>
                <w:szCs w:val="24"/>
                <w:lang w:val="en-US" w:eastAsia="zh-CN"/>
              </w:rPr>
              <w:t>③含铝灰的废除尘布袋</w:t>
            </w:r>
          </w:p>
          <w:p w14:paraId="30B94E8D">
            <w:pPr>
              <w:spacing w:line="360" w:lineRule="auto"/>
              <w:ind w:firstLine="480" w:firstLineChars="200"/>
              <w:rPr>
                <w:rFonts w:hint="eastAsia"/>
                <w:color w:val="auto"/>
                <w:sz w:val="24"/>
                <w:szCs w:val="24"/>
              </w:rPr>
            </w:pPr>
            <w:r>
              <w:rPr>
                <w:rFonts w:hint="eastAsia"/>
                <w:color w:val="auto"/>
                <w:sz w:val="24"/>
                <w:szCs w:val="24"/>
                <w:lang w:val="en-US" w:eastAsia="zh-CN"/>
              </w:rPr>
              <w:t>项目铝合金锭熔化、压铸过程产生的废气单独配备一套袋式除尘器进行处理，袋式除尘器布袋需要定期更换，根据建设单位提供资料，布袋约2年更换一次，更换的废除尘布袋</w:t>
            </w:r>
            <w:r>
              <w:rPr>
                <w:rFonts w:hint="eastAsia"/>
                <w:color w:val="auto"/>
                <w:sz w:val="24"/>
                <w:szCs w:val="24"/>
              </w:rPr>
              <w:t>量约</w:t>
            </w:r>
            <w:r>
              <w:rPr>
                <w:rFonts w:hint="eastAsia"/>
                <w:color w:val="auto"/>
                <w:sz w:val="24"/>
                <w:szCs w:val="24"/>
                <w:lang w:val="en-US" w:eastAsia="zh-CN"/>
              </w:rPr>
              <w:t>0.2</w:t>
            </w:r>
            <w:r>
              <w:rPr>
                <w:rFonts w:hint="eastAsia"/>
                <w:color w:val="auto"/>
                <w:sz w:val="24"/>
                <w:szCs w:val="24"/>
              </w:rPr>
              <w:t>t/a，属于危险废物（HW4</w:t>
            </w:r>
            <w:r>
              <w:rPr>
                <w:rFonts w:hint="eastAsia"/>
                <w:color w:val="auto"/>
                <w:sz w:val="24"/>
                <w:szCs w:val="24"/>
                <w:lang w:val="en-US" w:eastAsia="zh-CN"/>
              </w:rPr>
              <w:t>9</w:t>
            </w:r>
            <w:r>
              <w:rPr>
                <w:rFonts w:hint="eastAsia"/>
                <w:color w:val="auto"/>
                <w:sz w:val="24"/>
                <w:szCs w:val="24"/>
              </w:rPr>
              <w:t>，900-041-49），应委托有资质单位统一处置。</w:t>
            </w:r>
          </w:p>
          <w:p w14:paraId="41445442">
            <w:pPr>
              <w:spacing w:line="360" w:lineRule="auto"/>
              <w:ind w:firstLine="480" w:firstLineChars="200"/>
              <w:rPr>
                <w:rFonts w:hint="eastAsia"/>
                <w:color w:val="auto"/>
                <w:sz w:val="24"/>
                <w:szCs w:val="24"/>
              </w:rPr>
            </w:pPr>
            <w:r>
              <w:rPr>
                <w:rFonts w:hint="eastAsia"/>
                <w:color w:val="auto"/>
                <w:sz w:val="24"/>
                <w:szCs w:val="24"/>
              </w:rPr>
              <w:t>④废切削液</w:t>
            </w:r>
          </w:p>
          <w:p w14:paraId="489EC083">
            <w:pPr>
              <w:spacing w:line="360" w:lineRule="auto"/>
              <w:ind w:firstLine="480" w:firstLineChars="200"/>
              <w:rPr>
                <w:rFonts w:hint="eastAsia"/>
                <w:color w:val="auto"/>
                <w:sz w:val="24"/>
                <w:szCs w:val="24"/>
              </w:rPr>
            </w:pPr>
            <w:r>
              <w:rPr>
                <w:rFonts w:hint="eastAsia"/>
                <w:color w:val="auto"/>
                <w:sz w:val="24"/>
                <w:szCs w:val="24"/>
              </w:rPr>
              <w:t>经建设单位介绍，本项目</w:t>
            </w:r>
            <w:r>
              <w:rPr>
                <w:rFonts w:hint="eastAsia"/>
                <w:color w:val="auto"/>
                <w:sz w:val="24"/>
                <w:szCs w:val="24"/>
                <w:lang w:val="en-US" w:eastAsia="zh-CN"/>
              </w:rPr>
              <w:t>铸件</w:t>
            </w:r>
            <w:r>
              <w:rPr>
                <w:rFonts w:hint="eastAsia"/>
                <w:color w:val="auto"/>
                <w:sz w:val="24"/>
                <w:szCs w:val="24"/>
              </w:rPr>
              <w:t>机加工需使用切削液，切削液定期（约一周）经过滤回收系统处理后循环使用，废切削液主要来源于多次循环使用、损耗后的切削液残液/渣，产生量约0.</w:t>
            </w:r>
            <w:r>
              <w:rPr>
                <w:rFonts w:hint="eastAsia"/>
                <w:color w:val="auto"/>
                <w:sz w:val="24"/>
                <w:szCs w:val="24"/>
                <w:lang w:val="en-US" w:eastAsia="zh-CN"/>
              </w:rPr>
              <w:t>5</w:t>
            </w:r>
            <w:r>
              <w:rPr>
                <w:rFonts w:hint="eastAsia"/>
                <w:color w:val="auto"/>
                <w:sz w:val="24"/>
                <w:szCs w:val="24"/>
              </w:rPr>
              <w:t>t/a，属于危险废物（危险类别为HW09，900-006-09），定期送具有危险废物处理资质单位统一处置。</w:t>
            </w:r>
          </w:p>
          <w:p w14:paraId="0AB76170">
            <w:pPr>
              <w:spacing w:line="360" w:lineRule="auto"/>
              <w:ind w:firstLine="480" w:firstLineChars="200"/>
              <w:rPr>
                <w:rFonts w:hint="eastAsia"/>
                <w:color w:val="auto"/>
                <w:sz w:val="24"/>
                <w:szCs w:val="24"/>
              </w:rPr>
            </w:pPr>
            <w:r>
              <w:rPr>
                <w:rFonts w:hint="eastAsia"/>
                <w:color w:val="auto"/>
                <w:sz w:val="24"/>
                <w:szCs w:val="24"/>
              </w:rPr>
              <w:t>⑤废液压油</w:t>
            </w:r>
          </w:p>
          <w:p w14:paraId="1B68D072">
            <w:pPr>
              <w:spacing w:line="360" w:lineRule="auto"/>
              <w:ind w:firstLine="480" w:firstLineChars="200"/>
              <w:rPr>
                <w:rFonts w:hint="eastAsia"/>
                <w:color w:val="auto"/>
                <w:sz w:val="24"/>
                <w:szCs w:val="24"/>
              </w:rPr>
            </w:pPr>
            <w:r>
              <w:rPr>
                <w:rFonts w:hint="eastAsia"/>
                <w:color w:val="auto"/>
                <w:sz w:val="24"/>
                <w:szCs w:val="24"/>
              </w:rPr>
              <w:t>项目红冲和压铸工序需要使用液压油，定期（约1年）更换产生废液压油，产生量约1.8t/a，属于危险废物（危险类别为HW08，900-218-08），定期送具有危险废物处理资质单位统一处置。</w:t>
            </w:r>
          </w:p>
          <w:p w14:paraId="2CF40E5A">
            <w:pPr>
              <w:spacing w:line="360" w:lineRule="auto"/>
              <w:ind w:firstLine="480" w:firstLineChars="200"/>
              <w:rPr>
                <w:rFonts w:hint="eastAsia"/>
                <w:color w:val="auto"/>
                <w:sz w:val="24"/>
                <w:szCs w:val="24"/>
              </w:rPr>
            </w:pPr>
            <w:r>
              <w:rPr>
                <w:rFonts w:hint="eastAsia"/>
                <w:color w:val="auto"/>
                <w:sz w:val="24"/>
                <w:szCs w:val="24"/>
                <w:lang w:val="en-US" w:eastAsia="zh-CN"/>
              </w:rPr>
              <w:t>⑥</w:t>
            </w:r>
            <w:r>
              <w:rPr>
                <w:rFonts w:hint="eastAsia"/>
                <w:color w:val="auto"/>
                <w:sz w:val="24"/>
                <w:szCs w:val="24"/>
              </w:rPr>
              <w:t>废包装桶</w:t>
            </w:r>
          </w:p>
          <w:p w14:paraId="2F481E4F">
            <w:pPr>
              <w:spacing w:line="360" w:lineRule="auto"/>
              <w:ind w:firstLine="480" w:firstLineChars="200"/>
              <w:rPr>
                <w:rFonts w:hint="eastAsia"/>
                <w:color w:val="auto"/>
                <w:sz w:val="24"/>
                <w:szCs w:val="24"/>
              </w:rPr>
            </w:pPr>
            <w:r>
              <w:rPr>
                <w:rFonts w:hint="eastAsia"/>
                <w:color w:val="auto"/>
                <w:sz w:val="24"/>
                <w:szCs w:val="24"/>
              </w:rPr>
              <w:t>本项目废包装桶主要包括切削液</w:t>
            </w:r>
            <w:r>
              <w:rPr>
                <w:rFonts w:hint="eastAsia"/>
                <w:color w:val="auto"/>
                <w:sz w:val="24"/>
                <w:szCs w:val="24"/>
                <w:lang w:eastAsia="zh-CN"/>
              </w:rPr>
              <w:t>、</w:t>
            </w:r>
            <w:r>
              <w:rPr>
                <w:rFonts w:hint="eastAsia"/>
                <w:color w:val="auto"/>
                <w:sz w:val="24"/>
                <w:szCs w:val="24"/>
                <w:lang w:val="en-US" w:eastAsia="zh-CN"/>
              </w:rPr>
              <w:t>润滑油</w:t>
            </w:r>
            <w:r>
              <w:rPr>
                <w:rFonts w:hint="eastAsia"/>
                <w:color w:val="auto"/>
                <w:sz w:val="24"/>
                <w:szCs w:val="24"/>
              </w:rPr>
              <w:t>等原辅料的废包装桶，根据建设单位统计，本项目产生的废包装桶约</w:t>
            </w:r>
            <w:r>
              <w:rPr>
                <w:rFonts w:hint="eastAsia"/>
                <w:color w:val="auto"/>
                <w:sz w:val="24"/>
                <w:szCs w:val="24"/>
                <w:lang w:val="en-US" w:eastAsia="zh-CN"/>
              </w:rPr>
              <w:t>30</w:t>
            </w:r>
            <w:r>
              <w:rPr>
                <w:rFonts w:hint="eastAsia"/>
                <w:color w:val="auto"/>
                <w:sz w:val="24"/>
                <w:szCs w:val="24"/>
              </w:rPr>
              <w:t>个/a</w:t>
            </w:r>
            <w:r>
              <w:rPr>
                <w:rFonts w:hint="eastAsia"/>
                <w:color w:val="auto"/>
                <w:sz w:val="24"/>
                <w:szCs w:val="24"/>
                <w:lang w:eastAsia="zh-CN"/>
              </w:rPr>
              <w:t>（</w:t>
            </w:r>
            <w:r>
              <w:rPr>
                <w:rFonts w:hint="eastAsia"/>
                <w:color w:val="auto"/>
                <w:sz w:val="24"/>
                <w:szCs w:val="24"/>
                <w:lang w:val="en-US" w:eastAsia="zh-CN"/>
              </w:rPr>
              <w:t>约0.45t/a</w:t>
            </w:r>
            <w:r>
              <w:rPr>
                <w:rFonts w:hint="eastAsia"/>
                <w:color w:val="auto"/>
                <w:sz w:val="24"/>
                <w:szCs w:val="24"/>
                <w:lang w:eastAsia="zh-CN"/>
              </w:rPr>
              <w:t>）</w:t>
            </w:r>
            <w:r>
              <w:rPr>
                <w:rFonts w:hint="eastAsia"/>
                <w:color w:val="auto"/>
                <w:sz w:val="24"/>
                <w:szCs w:val="24"/>
              </w:rPr>
              <w:t>，集中收集后由原生产厂家进行回收利用。</w:t>
            </w:r>
          </w:p>
          <w:p w14:paraId="3D528A0E">
            <w:pPr>
              <w:spacing w:line="360" w:lineRule="auto"/>
              <w:ind w:firstLine="480" w:firstLineChars="200"/>
              <w:rPr>
                <w:rFonts w:hint="eastAsia" w:eastAsia="宋体"/>
                <w:color w:val="auto"/>
                <w:sz w:val="24"/>
                <w:szCs w:val="24"/>
                <w:lang w:eastAsia="zh-CN"/>
              </w:rPr>
            </w:pPr>
            <w:r>
              <w:rPr>
                <w:rFonts w:hint="eastAsia"/>
                <w:color w:val="auto"/>
                <w:sz w:val="24"/>
                <w:szCs w:val="24"/>
              </w:rPr>
              <w:t>根据《固体废物鉴别标准通则》（GB34330-2017），任何不需要修复和加工即可用于原始用途的物质，或者在产生点经过修复和加工后满足国家、地方制定或行业通行的产品治理标准并用于原始用途物质可不作为固体废物管理，因此本项目废包装桶可不作为固体废物管理，不属于危险废物</w:t>
            </w:r>
            <w:r>
              <w:rPr>
                <w:rFonts w:hint="eastAsia"/>
                <w:color w:val="auto"/>
                <w:sz w:val="24"/>
                <w:szCs w:val="24"/>
                <w:lang w:eastAsia="zh-CN"/>
              </w:rPr>
              <w:t>。</w:t>
            </w:r>
          </w:p>
          <w:p w14:paraId="0D08BDC7">
            <w:pPr>
              <w:spacing w:line="360" w:lineRule="auto"/>
              <w:ind w:firstLine="480" w:firstLineChars="200"/>
              <w:rPr>
                <w:rFonts w:hint="eastAsia"/>
                <w:color w:val="auto"/>
                <w:sz w:val="24"/>
                <w:szCs w:val="24"/>
              </w:rPr>
            </w:pPr>
            <w:r>
              <w:rPr>
                <w:rFonts w:hint="eastAsia"/>
                <w:color w:val="auto"/>
                <w:sz w:val="24"/>
                <w:szCs w:val="24"/>
                <w:lang w:val="en-US" w:eastAsia="zh-CN"/>
              </w:rPr>
              <w:t>⑦</w:t>
            </w:r>
            <w:r>
              <w:rPr>
                <w:rFonts w:hint="eastAsia"/>
                <w:color w:val="auto"/>
                <w:sz w:val="24"/>
                <w:szCs w:val="24"/>
              </w:rPr>
              <w:t>废活性炭</w:t>
            </w:r>
          </w:p>
          <w:p w14:paraId="0ACEAE12">
            <w:pPr>
              <w:spacing w:line="360" w:lineRule="auto"/>
              <w:ind w:firstLine="480" w:firstLineChars="200"/>
              <w:rPr>
                <w:rFonts w:hint="eastAsia"/>
                <w:color w:val="auto"/>
                <w:sz w:val="24"/>
                <w:szCs w:val="24"/>
              </w:rPr>
            </w:pPr>
            <w:r>
              <w:rPr>
                <w:rFonts w:hint="eastAsia"/>
                <w:color w:val="auto"/>
                <w:sz w:val="24"/>
                <w:szCs w:val="24"/>
              </w:rPr>
              <w:t>项目铸造工艺、压铸脱模废气、造粒挤出废气采用活性炭吸附装置进行治理， 酸性废水采用活性炭进行过滤吸附，该过程会产生废活性炭。其中有机废气净化的废活性炭产生量与企业运行工况、废气初始浓度等相关因素有关，根据《活性炭纤维在挥发性有机废气处理中应用》（杨芬 刘品华）的试验结果表明，每公斤活性炭可吸附0.22-0.25kg的有机废气，本次环评取每公斤活性炭吸附有机废气量为0.25kg，根据</w:t>
            </w:r>
            <w:r>
              <w:rPr>
                <w:rFonts w:hint="eastAsia"/>
                <w:color w:val="auto"/>
                <w:sz w:val="24"/>
                <w:szCs w:val="24"/>
                <w:lang w:val="en-US" w:eastAsia="zh-CN"/>
              </w:rPr>
              <w:t>废气</w:t>
            </w:r>
            <w:r>
              <w:rPr>
                <w:rFonts w:hint="eastAsia"/>
                <w:color w:val="auto"/>
                <w:sz w:val="24"/>
                <w:szCs w:val="24"/>
              </w:rPr>
              <w:t>源强核算结果，本项目</w:t>
            </w:r>
            <w:r>
              <w:rPr>
                <w:rFonts w:hint="eastAsia"/>
                <w:color w:val="auto"/>
                <w:sz w:val="24"/>
                <w:szCs w:val="24"/>
                <w:lang w:val="en-US" w:eastAsia="zh-CN"/>
              </w:rPr>
              <w:t>活性炭有机废气吸附量为2.644t/a，则至少需要新鲜活性炭的量为10.576t/a。本项目共设5套活性炭吸附箱，结合各有机废气污染源强情况，活性炭更换频次及</w:t>
            </w:r>
            <w:r>
              <w:rPr>
                <w:rFonts w:hint="eastAsia"/>
                <w:color w:val="auto"/>
                <w:sz w:val="24"/>
                <w:szCs w:val="24"/>
              </w:rPr>
              <w:t>废活性炭产生</w:t>
            </w:r>
            <w:r>
              <w:rPr>
                <w:rFonts w:hint="eastAsia"/>
                <w:color w:val="auto"/>
                <w:sz w:val="24"/>
                <w:szCs w:val="24"/>
                <w:lang w:val="en-US" w:eastAsia="zh-CN"/>
              </w:rPr>
              <w:t>情况见下表</w:t>
            </w:r>
            <w:r>
              <w:rPr>
                <w:rFonts w:hint="eastAsia"/>
                <w:color w:val="auto"/>
                <w:sz w:val="24"/>
                <w:szCs w:val="24"/>
              </w:rPr>
              <w:t>。废活性炭属于危险废物，应委托有资质单位统一处置。</w:t>
            </w:r>
          </w:p>
          <w:p w14:paraId="77039D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bCs/>
                <w:color w:val="auto"/>
                <w:sz w:val="24"/>
                <w:szCs w:val="24"/>
                <w:lang w:val="en-US" w:eastAsia="zh-CN"/>
              </w:rPr>
            </w:pPr>
            <w:r>
              <w:rPr>
                <w:rFonts w:hint="eastAsia"/>
                <w:b/>
                <w:bCs/>
                <w:color w:val="auto"/>
                <w:sz w:val="24"/>
                <w:szCs w:val="24"/>
                <w:lang w:val="en-US" w:eastAsia="zh-CN"/>
              </w:rPr>
              <w:t>表4-38  项目废活性炭产生量</w:t>
            </w:r>
          </w:p>
          <w:tbl>
            <w:tblPr>
              <w:tblStyle w:val="29"/>
              <w:tblW w:w="84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3" w:type="dxa"/>
                <w:bottom w:w="0" w:type="dxa"/>
                <w:right w:w="23" w:type="dxa"/>
              </w:tblCellMar>
            </w:tblPr>
            <w:tblGrid>
              <w:gridCol w:w="622"/>
              <w:gridCol w:w="1635"/>
              <w:gridCol w:w="1104"/>
              <w:gridCol w:w="855"/>
              <w:gridCol w:w="1368"/>
              <w:gridCol w:w="747"/>
              <w:gridCol w:w="1044"/>
              <w:gridCol w:w="1033"/>
            </w:tblGrid>
            <w:tr w14:paraId="22590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369" w:type="pct"/>
                  <w:tcBorders>
                    <w:tl2br w:val="nil"/>
                    <w:tr2bl w:val="nil"/>
                  </w:tcBorders>
                  <w:shd w:val="clear" w:color="auto" w:fill="auto"/>
                  <w:vAlign w:val="center"/>
                </w:tcPr>
                <w:p w14:paraId="1602E10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rPr>
                  </w:pPr>
                  <w:r>
                    <w:rPr>
                      <w:rStyle w:val="125"/>
                      <w:rFonts w:hint="default" w:ascii="Times New Roman" w:hAnsi="Times New Roman" w:eastAsia="宋体" w:cs="Times New Roman"/>
                      <w:b/>
                      <w:bCs/>
                      <w:color w:val="auto"/>
                      <w:sz w:val="18"/>
                      <w:szCs w:val="18"/>
                      <w:lang w:val="en-US" w:eastAsia="zh-CN" w:bidi="ar"/>
                    </w:rPr>
                    <w:t>序号</w:t>
                  </w:r>
                </w:p>
              </w:tc>
              <w:tc>
                <w:tcPr>
                  <w:tcW w:w="972" w:type="pct"/>
                  <w:tcBorders>
                    <w:tl2br w:val="nil"/>
                    <w:tr2bl w:val="nil"/>
                  </w:tcBorders>
                  <w:shd w:val="clear" w:color="auto" w:fill="auto"/>
                  <w:vAlign w:val="center"/>
                </w:tcPr>
                <w:p w14:paraId="580A5A4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lang w:val="en-US"/>
                    </w:rPr>
                  </w:pPr>
                  <w:r>
                    <w:rPr>
                      <w:rStyle w:val="125"/>
                      <w:rFonts w:hint="eastAsia" w:cs="Times New Roman"/>
                      <w:b/>
                      <w:bCs/>
                      <w:color w:val="auto"/>
                      <w:sz w:val="18"/>
                      <w:szCs w:val="18"/>
                      <w:lang w:val="en-US" w:eastAsia="zh-CN" w:bidi="ar"/>
                    </w:rPr>
                    <w:t>污染源名称</w:t>
                  </w:r>
                </w:p>
              </w:tc>
              <w:tc>
                <w:tcPr>
                  <w:tcW w:w="656" w:type="pct"/>
                  <w:tcBorders>
                    <w:tl2br w:val="nil"/>
                    <w:tr2bl w:val="nil"/>
                  </w:tcBorders>
                  <w:shd w:val="clear" w:color="auto" w:fill="auto"/>
                  <w:vAlign w:val="center"/>
                </w:tcPr>
                <w:p w14:paraId="2DA5205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有机废气去除量（t/a）</w:t>
                  </w:r>
                </w:p>
              </w:tc>
              <w:tc>
                <w:tcPr>
                  <w:tcW w:w="508" w:type="pct"/>
                  <w:tcBorders>
                    <w:tl2br w:val="nil"/>
                    <w:tr2bl w:val="nil"/>
                  </w:tcBorders>
                  <w:shd w:val="clear" w:color="auto" w:fill="auto"/>
                  <w:vAlign w:val="center"/>
                </w:tcPr>
                <w:p w14:paraId="62D79B9E">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活性炭需求量（t/a）</w:t>
                  </w:r>
                </w:p>
              </w:tc>
              <w:tc>
                <w:tcPr>
                  <w:tcW w:w="813" w:type="pct"/>
                  <w:tcBorders>
                    <w:tl2br w:val="nil"/>
                    <w:tr2bl w:val="nil"/>
                  </w:tcBorders>
                  <w:shd w:val="clear" w:color="auto" w:fill="auto"/>
                  <w:vAlign w:val="center"/>
                </w:tcPr>
                <w:p w14:paraId="68754E18">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废气净化装置活性炭装填量（t）</w:t>
                  </w:r>
                </w:p>
              </w:tc>
              <w:tc>
                <w:tcPr>
                  <w:tcW w:w="444" w:type="pct"/>
                  <w:tcBorders>
                    <w:tl2br w:val="nil"/>
                    <w:tr2bl w:val="nil"/>
                  </w:tcBorders>
                  <w:shd w:val="clear" w:color="auto" w:fill="auto"/>
                  <w:vAlign w:val="center"/>
                </w:tcPr>
                <w:p w14:paraId="1BBF0155">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更换频次</w:t>
                  </w:r>
                </w:p>
              </w:tc>
              <w:tc>
                <w:tcPr>
                  <w:tcW w:w="620" w:type="pct"/>
                  <w:tcBorders>
                    <w:tl2br w:val="nil"/>
                    <w:tr2bl w:val="nil"/>
                  </w:tcBorders>
                  <w:shd w:val="clear" w:color="auto" w:fill="auto"/>
                  <w:vAlign w:val="center"/>
                </w:tcPr>
                <w:p w14:paraId="551C784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b/>
                      <w:bCs/>
                      <w:color w:val="auto"/>
                      <w:sz w:val="18"/>
                      <w:szCs w:val="18"/>
                      <w:lang w:val="en-US" w:eastAsia="zh-CN"/>
                    </w:rPr>
                  </w:pPr>
                  <w:r>
                    <w:rPr>
                      <w:rFonts w:hint="eastAsia" w:cs="Times New Roman"/>
                      <w:b/>
                      <w:bCs/>
                      <w:color w:val="auto"/>
                      <w:sz w:val="18"/>
                      <w:szCs w:val="18"/>
                      <w:lang w:val="en-US" w:eastAsia="zh-CN"/>
                    </w:rPr>
                    <w:t>活性炭实际用量（t/a）</w:t>
                  </w:r>
                </w:p>
              </w:tc>
              <w:tc>
                <w:tcPr>
                  <w:tcW w:w="614" w:type="pct"/>
                  <w:tcBorders>
                    <w:tl2br w:val="nil"/>
                    <w:tr2bl w:val="nil"/>
                  </w:tcBorders>
                  <w:shd w:val="clear" w:color="auto" w:fill="auto"/>
                  <w:vAlign w:val="center"/>
                </w:tcPr>
                <w:p w14:paraId="2487DCA1">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废活性炭产生量（t/a）</w:t>
                  </w:r>
                </w:p>
              </w:tc>
            </w:tr>
            <w:tr w14:paraId="7BD46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369" w:type="pct"/>
                  <w:tcBorders>
                    <w:tl2br w:val="nil"/>
                    <w:tr2bl w:val="nil"/>
                  </w:tcBorders>
                  <w:shd w:val="clear" w:color="auto" w:fill="auto"/>
                  <w:vAlign w:val="center"/>
                </w:tcPr>
                <w:p w14:paraId="7451E30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1</w:t>
                  </w:r>
                </w:p>
              </w:tc>
              <w:tc>
                <w:tcPr>
                  <w:tcW w:w="972" w:type="pct"/>
                  <w:tcBorders>
                    <w:tl2br w:val="nil"/>
                    <w:tr2bl w:val="nil"/>
                  </w:tcBorders>
                  <w:shd w:val="clear" w:color="auto" w:fill="auto"/>
                  <w:vAlign w:val="center"/>
                </w:tcPr>
                <w:p w14:paraId="12ACE423">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Fonts w:hint="eastAsia" w:ascii="宋体" w:hAnsi="宋体" w:cs="宋体"/>
                      <w:color w:val="auto"/>
                      <w:sz w:val="18"/>
                      <w:szCs w:val="18"/>
                      <w:lang w:val="en-US" w:eastAsia="zh-CN"/>
                    </w:rPr>
                    <w:t>制芯、树脂砂造型及浇注</w:t>
                  </w:r>
                  <w:r>
                    <w:rPr>
                      <w:rFonts w:hint="eastAsia" w:ascii="宋体" w:hAnsi="宋体" w:cs="宋体"/>
                      <w:color w:val="auto"/>
                      <w:kern w:val="0"/>
                      <w:sz w:val="18"/>
                      <w:szCs w:val="18"/>
                      <w:lang w:val="en-US" w:eastAsia="zh-CN" w:bidi="ar"/>
                    </w:rPr>
                    <w:t>废气</w:t>
                  </w:r>
                </w:p>
              </w:tc>
              <w:tc>
                <w:tcPr>
                  <w:tcW w:w="656" w:type="pct"/>
                  <w:tcBorders>
                    <w:tl2br w:val="nil"/>
                    <w:tr2bl w:val="nil"/>
                  </w:tcBorders>
                  <w:shd w:val="clear" w:color="auto" w:fill="auto"/>
                  <w:vAlign w:val="center"/>
                </w:tcPr>
                <w:p w14:paraId="36FF524E">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1.855</w:t>
                  </w:r>
                </w:p>
              </w:tc>
              <w:tc>
                <w:tcPr>
                  <w:tcW w:w="508" w:type="pct"/>
                  <w:tcBorders>
                    <w:tl2br w:val="nil"/>
                    <w:tr2bl w:val="nil"/>
                  </w:tcBorders>
                  <w:shd w:val="clear" w:color="auto" w:fill="auto"/>
                  <w:vAlign w:val="center"/>
                </w:tcPr>
                <w:p w14:paraId="164C7CE9">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7.42</w:t>
                  </w:r>
                  <w:r>
                    <w:rPr>
                      <w:rFonts w:hint="eastAsia" w:cs="Times New Roman"/>
                      <w:i w:val="0"/>
                      <w:iCs w:val="0"/>
                      <w:color w:val="auto"/>
                      <w:kern w:val="0"/>
                      <w:sz w:val="18"/>
                      <w:szCs w:val="18"/>
                      <w:u w:val="none"/>
                      <w:lang w:val="en-US" w:eastAsia="zh-CN" w:bidi="ar"/>
                    </w:rPr>
                    <w:t>0</w:t>
                  </w:r>
                </w:p>
              </w:tc>
              <w:tc>
                <w:tcPr>
                  <w:tcW w:w="813" w:type="pct"/>
                  <w:tcBorders>
                    <w:tl2br w:val="nil"/>
                    <w:tr2bl w:val="nil"/>
                  </w:tcBorders>
                  <w:shd w:val="clear" w:color="auto" w:fill="auto"/>
                  <w:vAlign w:val="center"/>
                </w:tcPr>
                <w:p w14:paraId="49E07756">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0.7</w:t>
                  </w:r>
                  <w:r>
                    <w:rPr>
                      <w:rFonts w:hint="eastAsia" w:cs="Times New Roman"/>
                      <w:i w:val="0"/>
                      <w:iCs w:val="0"/>
                      <w:color w:val="auto"/>
                      <w:kern w:val="0"/>
                      <w:sz w:val="18"/>
                      <w:szCs w:val="18"/>
                      <w:u w:val="none"/>
                      <w:lang w:val="en-US" w:eastAsia="zh-CN" w:bidi="ar"/>
                    </w:rPr>
                    <w:t>0</w:t>
                  </w:r>
                </w:p>
              </w:tc>
              <w:tc>
                <w:tcPr>
                  <w:tcW w:w="444" w:type="pct"/>
                  <w:tcBorders>
                    <w:tl2br w:val="nil"/>
                    <w:tr2bl w:val="nil"/>
                  </w:tcBorders>
                  <w:shd w:val="clear" w:color="auto" w:fill="auto"/>
                  <w:vAlign w:val="center"/>
                </w:tcPr>
                <w:p w14:paraId="7E61C68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12次/年</w:t>
                  </w:r>
                </w:p>
              </w:tc>
              <w:tc>
                <w:tcPr>
                  <w:tcW w:w="620" w:type="pct"/>
                  <w:tcBorders>
                    <w:tl2br w:val="nil"/>
                    <w:tr2bl w:val="nil"/>
                  </w:tcBorders>
                  <w:shd w:val="clear" w:color="auto" w:fill="auto"/>
                  <w:vAlign w:val="center"/>
                </w:tcPr>
                <w:p w14:paraId="2D5EDC5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8.400</w:t>
                  </w:r>
                </w:p>
              </w:tc>
              <w:tc>
                <w:tcPr>
                  <w:tcW w:w="614" w:type="pct"/>
                  <w:tcBorders>
                    <w:tl2br w:val="nil"/>
                    <w:tr2bl w:val="nil"/>
                  </w:tcBorders>
                  <w:shd w:val="clear" w:color="auto" w:fill="auto"/>
                  <w:vAlign w:val="center"/>
                </w:tcPr>
                <w:p w14:paraId="62BE7BD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10.255</w:t>
                  </w:r>
                </w:p>
              </w:tc>
            </w:tr>
            <w:tr w14:paraId="5EBAE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369" w:type="pct"/>
                  <w:tcBorders>
                    <w:tl2br w:val="nil"/>
                    <w:tr2bl w:val="nil"/>
                  </w:tcBorders>
                  <w:shd w:val="clear" w:color="auto" w:fill="auto"/>
                  <w:vAlign w:val="center"/>
                </w:tcPr>
                <w:p w14:paraId="7D6CE57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2</w:t>
                  </w:r>
                </w:p>
              </w:tc>
              <w:tc>
                <w:tcPr>
                  <w:tcW w:w="972" w:type="pct"/>
                  <w:tcBorders>
                    <w:tl2br w:val="nil"/>
                    <w:tr2bl w:val="nil"/>
                  </w:tcBorders>
                  <w:shd w:val="clear" w:color="auto" w:fill="auto"/>
                  <w:vAlign w:val="center"/>
                </w:tcPr>
                <w:p w14:paraId="0D0CA79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Fonts w:hint="eastAsia" w:ascii="宋体" w:hAnsi="宋体" w:cs="宋体"/>
                      <w:color w:val="auto"/>
                      <w:sz w:val="18"/>
                      <w:szCs w:val="18"/>
                      <w:lang w:val="en-US" w:eastAsia="zh-CN"/>
                    </w:rPr>
                    <w:t>蜡模组树</w:t>
                  </w:r>
                </w:p>
              </w:tc>
              <w:tc>
                <w:tcPr>
                  <w:tcW w:w="656" w:type="pct"/>
                  <w:tcBorders>
                    <w:tl2br w:val="nil"/>
                    <w:tr2bl w:val="nil"/>
                  </w:tcBorders>
                  <w:shd w:val="clear" w:color="auto" w:fill="auto"/>
                  <w:vAlign w:val="center"/>
                </w:tcPr>
                <w:p w14:paraId="0D3EBAE7">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0.066</w:t>
                  </w:r>
                </w:p>
              </w:tc>
              <w:tc>
                <w:tcPr>
                  <w:tcW w:w="508" w:type="pct"/>
                  <w:tcBorders>
                    <w:tl2br w:val="nil"/>
                    <w:tr2bl w:val="nil"/>
                  </w:tcBorders>
                  <w:shd w:val="clear" w:color="auto" w:fill="auto"/>
                  <w:vAlign w:val="center"/>
                </w:tcPr>
                <w:p w14:paraId="76FE5D5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0.264</w:t>
                  </w:r>
                </w:p>
              </w:tc>
              <w:tc>
                <w:tcPr>
                  <w:tcW w:w="813" w:type="pct"/>
                  <w:tcBorders>
                    <w:tl2br w:val="nil"/>
                    <w:tr2bl w:val="nil"/>
                  </w:tcBorders>
                  <w:shd w:val="clear" w:color="auto" w:fill="auto"/>
                  <w:vAlign w:val="center"/>
                </w:tcPr>
                <w:p w14:paraId="0A1ACEBB">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0.07</w:t>
                  </w:r>
                </w:p>
              </w:tc>
              <w:tc>
                <w:tcPr>
                  <w:tcW w:w="444" w:type="pct"/>
                  <w:tcBorders>
                    <w:tl2br w:val="nil"/>
                    <w:tr2bl w:val="nil"/>
                  </w:tcBorders>
                  <w:shd w:val="clear" w:color="auto" w:fill="auto"/>
                  <w:vAlign w:val="center"/>
                </w:tcPr>
                <w:p w14:paraId="7A7BD9FF">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4次/年</w:t>
                  </w:r>
                </w:p>
              </w:tc>
              <w:tc>
                <w:tcPr>
                  <w:tcW w:w="620" w:type="pct"/>
                  <w:tcBorders>
                    <w:tl2br w:val="nil"/>
                    <w:tr2bl w:val="nil"/>
                  </w:tcBorders>
                  <w:shd w:val="clear" w:color="auto" w:fill="auto"/>
                  <w:vAlign w:val="center"/>
                </w:tcPr>
                <w:p w14:paraId="4FC3C5D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0.280</w:t>
                  </w:r>
                </w:p>
              </w:tc>
              <w:tc>
                <w:tcPr>
                  <w:tcW w:w="614" w:type="pct"/>
                  <w:tcBorders>
                    <w:tl2br w:val="nil"/>
                    <w:tr2bl w:val="nil"/>
                  </w:tcBorders>
                  <w:shd w:val="clear" w:color="auto" w:fill="auto"/>
                  <w:vAlign w:val="center"/>
                </w:tcPr>
                <w:p w14:paraId="4C3CBDB9">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default" w:cs="Times New Roman"/>
                      <w:color w:val="auto"/>
                      <w:sz w:val="18"/>
                      <w:szCs w:val="18"/>
                      <w:lang w:val="en-US" w:eastAsia="zh-CN"/>
                    </w:rPr>
                    <w:t>0.346</w:t>
                  </w:r>
                </w:p>
              </w:tc>
            </w:tr>
            <w:tr w14:paraId="749BF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369" w:type="pct"/>
                  <w:tcBorders>
                    <w:tl2br w:val="nil"/>
                    <w:tr2bl w:val="nil"/>
                  </w:tcBorders>
                  <w:shd w:val="clear" w:color="auto" w:fill="auto"/>
                  <w:vAlign w:val="center"/>
                </w:tcPr>
                <w:p w14:paraId="3511746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3</w:t>
                  </w:r>
                </w:p>
              </w:tc>
              <w:tc>
                <w:tcPr>
                  <w:tcW w:w="972" w:type="pct"/>
                  <w:tcBorders>
                    <w:tl2br w:val="nil"/>
                    <w:tr2bl w:val="nil"/>
                  </w:tcBorders>
                  <w:shd w:val="clear" w:color="auto" w:fill="auto"/>
                  <w:vAlign w:val="center"/>
                </w:tcPr>
                <w:p w14:paraId="35C9416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Fonts w:hint="eastAsia" w:ascii="宋体" w:hAnsi="宋体" w:cs="宋体"/>
                      <w:color w:val="auto"/>
                      <w:kern w:val="0"/>
                      <w:sz w:val="18"/>
                      <w:szCs w:val="18"/>
                      <w:lang w:val="en-US" w:eastAsia="zh-CN" w:bidi="ar"/>
                    </w:rPr>
                    <w:t>脱蜡、型壳焙烧废气</w:t>
                  </w:r>
                </w:p>
              </w:tc>
              <w:tc>
                <w:tcPr>
                  <w:tcW w:w="656" w:type="pct"/>
                  <w:tcBorders>
                    <w:tl2br w:val="nil"/>
                    <w:tr2bl w:val="nil"/>
                  </w:tcBorders>
                  <w:shd w:val="clear" w:color="auto" w:fill="auto"/>
                  <w:vAlign w:val="center"/>
                </w:tcPr>
                <w:p w14:paraId="6854223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0.083</w:t>
                  </w:r>
                </w:p>
              </w:tc>
              <w:tc>
                <w:tcPr>
                  <w:tcW w:w="508" w:type="pct"/>
                  <w:tcBorders>
                    <w:tl2br w:val="nil"/>
                    <w:tr2bl w:val="nil"/>
                  </w:tcBorders>
                  <w:shd w:val="clear" w:color="auto" w:fill="auto"/>
                  <w:vAlign w:val="center"/>
                </w:tcPr>
                <w:p w14:paraId="3E7237A3">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0.332</w:t>
                  </w:r>
                </w:p>
              </w:tc>
              <w:tc>
                <w:tcPr>
                  <w:tcW w:w="813" w:type="pct"/>
                  <w:tcBorders>
                    <w:tl2br w:val="nil"/>
                    <w:tr2bl w:val="nil"/>
                  </w:tcBorders>
                  <w:shd w:val="clear" w:color="auto" w:fill="auto"/>
                  <w:vAlign w:val="center"/>
                </w:tcPr>
                <w:p w14:paraId="3A88F92F">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0.09</w:t>
                  </w:r>
                </w:p>
              </w:tc>
              <w:tc>
                <w:tcPr>
                  <w:tcW w:w="444" w:type="pct"/>
                  <w:tcBorders>
                    <w:tl2br w:val="nil"/>
                    <w:tr2bl w:val="nil"/>
                  </w:tcBorders>
                  <w:shd w:val="clear" w:color="auto" w:fill="auto"/>
                  <w:vAlign w:val="center"/>
                </w:tcPr>
                <w:p w14:paraId="010BE799">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4次/年</w:t>
                  </w:r>
                </w:p>
              </w:tc>
              <w:tc>
                <w:tcPr>
                  <w:tcW w:w="620" w:type="pct"/>
                  <w:tcBorders>
                    <w:tl2br w:val="nil"/>
                    <w:tr2bl w:val="nil"/>
                  </w:tcBorders>
                  <w:shd w:val="clear" w:color="auto" w:fill="auto"/>
                  <w:vAlign w:val="center"/>
                </w:tcPr>
                <w:p w14:paraId="3CC4A4B1">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 xml:space="preserve">0.360 </w:t>
                  </w:r>
                </w:p>
              </w:tc>
              <w:tc>
                <w:tcPr>
                  <w:tcW w:w="614" w:type="pct"/>
                  <w:tcBorders>
                    <w:tl2br w:val="nil"/>
                    <w:tr2bl w:val="nil"/>
                  </w:tcBorders>
                  <w:shd w:val="clear" w:color="auto" w:fill="auto"/>
                  <w:vAlign w:val="center"/>
                </w:tcPr>
                <w:p w14:paraId="787D222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default" w:cs="Times New Roman"/>
                      <w:color w:val="auto"/>
                      <w:sz w:val="18"/>
                      <w:szCs w:val="18"/>
                      <w:lang w:val="en-US" w:eastAsia="zh-CN"/>
                    </w:rPr>
                    <w:t>0.443</w:t>
                  </w:r>
                </w:p>
              </w:tc>
            </w:tr>
            <w:tr w14:paraId="754B7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340" w:hRule="atLeast"/>
              </w:trPr>
              <w:tc>
                <w:tcPr>
                  <w:tcW w:w="369" w:type="pct"/>
                  <w:tcBorders>
                    <w:tl2br w:val="nil"/>
                    <w:tr2bl w:val="nil"/>
                  </w:tcBorders>
                  <w:shd w:val="clear" w:color="auto" w:fill="auto"/>
                  <w:vAlign w:val="center"/>
                </w:tcPr>
                <w:p w14:paraId="5036962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4</w:t>
                  </w:r>
                </w:p>
              </w:tc>
              <w:tc>
                <w:tcPr>
                  <w:tcW w:w="972" w:type="pct"/>
                  <w:tcBorders>
                    <w:tl2br w:val="nil"/>
                    <w:tr2bl w:val="nil"/>
                  </w:tcBorders>
                  <w:shd w:val="clear" w:color="auto" w:fill="auto"/>
                  <w:vAlign w:val="center"/>
                </w:tcPr>
                <w:p w14:paraId="32059BF9">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Fonts w:hint="eastAsia" w:ascii="宋体" w:hAnsi="宋体" w:cs="宋体"/>
                      <w:color w:val="auto"/>
                      <w:kern w:val="0"/>
                      <w:sz w:val="18"/>
                      <w:szCs w:val="18"/>
                      <w:lang w:val="en-US" w:eastAsia="zh-CN" w:bidi="ar"/>
                    </w:rPr>
                    <w:t>喷粉固化废气</w:t>
                  </w:r>
                </w:p>
              </w:tc>
              <w:tc>
                <w:tcPr>
                  <w:tcW w:w="656" w:type="pct"/>
                  <w:tcBorders>
                    <w:tl2br w:val="nil"/>
                    <w:tr2bl w:val="nil"/>
                  </w:tcBorders>
                  <w:shd w:val="clear" w:color="auto" w:fill="auto"/>
                  <w:vAlign w:val="center"/>
                </w:tcPr>
                <w:p w14:paraId="74E723E1">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0.162</w:t>
                  </w:r>
                </w:p>
              </w:tc>
              <w:tc>
                <w:tcPr>
                  <w:tcW w:w="508" w:type="pct"/>
                  <w:tcBorders>
                    <w:tl2br w:val="nil"/>
                    <w:tr2bl w:val="nil"/>
                  </w:tcBorders>
                  <w:shd w:val="clear" w:color="auto" w:fill="auto"/>
                  <w:vAlign w:val="center"/>
                </w:tcPr>
                <w:p w14:paraId="0E622E86">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eastAsia" w:cs="Times New Roman"/>
                      <w:i w:val="0"/>
                      <w:iCs w:val="0"/>
                      <w:color w:val="auto"/>
                      <w:kern w:val="0"/>
                      <w:sz w:val="18"/>
                      <w:szCs w:val="18"/>
                      <w:u w:val="none"/>
                      <w:lang w:val="en-US" w:eastAsia="zh-CN" w:bidi="ar"/>
                    </w:rPr>
                    <w:t>0.648</w:t>
                  </w:r>
                </w:p>
              </w:tc>
              <w:tc>
                <w:tcPr>
                  <w:tcW w:w="813" w:type="pct"/>
                  <w:tcBorders>
                    <w:tl2br w:val="nil"/>
                    <w:tr2bl w:val="nil"/>
                  </w:tcBorders>
                  <w:shd w:val="clear" w:color="auto" w:fill="auto"/>
                  <w:vAlign w:val="center"/>
                </w:tcPr>
                <w:p w14:paraId="3963D38A">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w:t>
                  </w:r>
                  <w:r>
                    <w:rPr>
                      <w:rFonts w:hint="eastAsia" w:cs="Times New Roman"/>
                      <w:i w:val="0"/>
                      <w:iCs w:val="0"/>
                      <w:color w:val="auto"/>
                      <w:kern w:val="0"/>
                      <w:sz w:val="18"/>
                      <w:szCs w:val="18"/>
                      <w:u w:val="none"/>
                      <w:lang w:val="en-US" w:eastAsia="zh-CN" w:bidi="ar"/>
                    </w:rPr>
                    <w:t>0</w:t>
                  </w:r>
                </w:p>
              </w:tc>
              <w:tc>
                <w:tcPr>
                  <w:tcW w:w="444" w:type="pct"/>
                  <w:tcBorders>
                    <w:tl2br w:val="nil"/>
                    <w:tr2bl w:val="nil"/>
                  </w:tcBorders>
                  <w:shd w:val="clear" w:color="auto" w:fill="auto"/>
                  <w:vAlign w:val="center"/>
                </w:tcPr>
                <w:p w14:paraId="46D572FB">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4次/年</w:t>
                  </w:r>
                </w:p>
              </w:tc>
              <w:tc>
                <w:tcPr>
                  <w:tcW w:w="620" w:type="pct"/>
                  <w:tcBorders>
                    <w:tl2br w:val="nil"/>
                    <w:tr2bl w:val="nil"/>
                  </w:tcBorders>
                  <w:shd w:val="clear" w:color="auto" w:fill="auto"/>
                  <w:vAlign w:val="center"/>
                </w:tcPr>
                <w:p w14:paraId="6F7F0C73">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 xml:space="preserve">0.800 </w:t>
                  </w:r>
                </w:p>
              </w:tc>
              <w:tc>
                <w:tcPr>
                  <w:tcW w:w="614" w:type="pct"/>
                  <w:tcBorders>
                    <w:tl2br w:val="nil"/>
                    <w:tr2bl w:val="nil"/>
                  </w:tcBorders>
                  <w:shd w:val="clear" w:color="auto" w:fill="auto"/>
                  <w:vAlign w:val="center"/>
                </w:tcPr>
                <w:p w14:paraId="73A4C7FD">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0.962</w:t>
                  </w:r>
                </w:p>
              </w:tc>
            </w:tr>
            <w:tr w14:paraId="0A8DE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369" w:type="pct"/>
                  <w:tcBorders>
                    <w:tl2br w:val="nil"/>
                    <w:tr2bl w:val="nil"/>
                  </w:tcBorders>
                  <w:shd w:val="clear" w:color="auto" w:fill="auto"/>
                  <w:vAlign w:val="center"/>
                </w:tcPr>
                <w:p w14:paraId="47479E9E">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Style w:val="126"/>
                      <w:rFonts w:hint="default" w:ascii="Times New Roman" w:hAnsi="Times New Roman" w:eastAsia="宋体" w:cs="Times New Roman"/>
                      <w:color w:val="auto"/>
                      <w:sz w:val="18"/>
                      <w:szCs w:val="18"/>
                      <w:lang w:val="en-US" w:eastAsia="zh-CN" w:bidi="ar"/>
                    </w:rPr>
                    <w:t>5</w:t>
                  </w:r>
                </w:p>
              </w:tc>
              <w:tc>
                <w:tcPr>
                  <w:tcW w:w="972" w:type="pct"/>
                  <w:tcBorders>
                    <w:tl2br w:val="nil"/>
                    <w:tr2bl w:val="nil"/>
                  </w:tcBorders>
                  <w:shd w:val="clear" w:color="auto" w:fill="auto"/>
                  <w:vAlign w:val="center"/>
                </w:tcPr>
                <w:p w14:paraId="1028BC39">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rPr>
                  </w:pPr>
                  <w:r>
                    <w:rPr>
                      <w:rFonts w:hint="eastAsia" w:ascii="宋体" w:hAnsi="宋体" w:cs="宋体"/>
                      <w:color w:val="auto"/>
                      <w:kern w:val="0"/>
                      <w:sz w:val="18"/>
                      <w:szCs w:val="18"/>
                      <w:lang w:val="en-US" w:eastAsia="zh-CN" w:bidi="ar"/>
                    </w:rPr>
                    <w:t>造粒、挤出、挤管废气</w:t>
                  </w:r>
                </w:p>
              </w:tc>
              <w:tc>
                <w:tcPr>
                  <w:tcW w:w="656" w:type="pct"/>
                  <w:tcBorders>
                    <w:tl2br w:val="nil"/>
                    <w:tr2bl w:val="nil"/>
                  </w:tcBorders>
                  <w:shd w:val="clear" w:color="auto" w:fill="auto"/>
                  <w:vAlign w:val="center"/>
                </w:tcPr>
                <w:p w14:paraId="23D09A28">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0.478</w:t>
                  </w:r>
                </w:p>
              </w:tc>
              <w:tc>
                <w:tcPr>
                  <w:tcW w:w="508" w:type="pct"/>
                  <w:tcBorders>
                    <w:tl2br w:val="nil"/>
                    <w:tr2bl w:val="nil"/>
                  </w:tcBorders>
                  <w:shd w:val="clear" w:color="auto" w:fill="auto"/>
                  <w:vAlign w:val="center"/>
                </w:tcPr>
                <w:p w14:paraId="0D2AACA7">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1.912</w:t>
                  </w:r>
                </w:p>
              </w:tc>
              <w:tc>
                <w:tcPr>
                  <w:tcW w:w="813" w:type="pct"/>
                  <w:tcBorders>
                    <w:tl2br w:val="nil"/>
                    <w:tr2bl w:val="nil"/>
                  </w:tcBorders>
                  <w:shd w:val="clear" w:color="auto" w:fill="auto"/>
                  <w:vAlign w:val="center"/>
                </w:tcPr>
                <w:p w14:paraId="68750D60">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0.16</w:t>
                  </w:r>
                </w:p>
              </w:tc>
              <w:tc>
                <w:tcPr>
                  <w:tcW w:w="444" w:type="pct"/>
                  <w:tcBorders>
                    <w:tl2br w:val="nil"/>
                    <w:tr2bl w:val="nil"/>
                  </w:tcBorders>
                  <w:shd w:val="clear" w:color="auto" w:fill="auto"/>
                  <w:vAlign w:val="center"/>
                </w:tcPr>
                <w:p w14:paraId="0462D49C">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12次/年</w:t>
                  </w:r>
                </w:p>
              </w:tc>
              <w:tc>
                <w:tcPr>
                  <w:tcW w:w="620" w:type="pct"/>
                  <w:tcBorders>
                    <w:tl2br w:val="nil"/>
                    <w:tr2bl w:val="nil"/>
                  </w:tcBorders>
                  <w:shd w:val="clear" w:color="auto" w:fill="auto"/>
                  <w:vAlign w:val="center"/>
                </w:tcPr>
                <w:p w14:paraId="0AE6279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 xml:space="preserve">1.920 </w:t>
                  </w:r>
                </w:p>
              </w:tc>
              <w:tc>
                <w:tcPr>
                  <w:tcW w:w="614" w:type="pct"/>
                  <w:tcBorders>
                    <w:tl2br w:val="nil"/>
                    <w:tr2bl w:val="nil"/>
                  </w:tcBorders>
                  <w:shd w:val="clear" w:color="auto" w:fill="auto"/>
                  <w:vAlign w:val="center"/>
                </w:tcPr>
                <w:p w14:paraId="64B792D5">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default" w:cs="Times New Roman"/>
                      <w:color w:val="auto"/>
                      <w:sz w:val="18"/>
                      <w:szCs w:val="18"/>
                      <w:lang w:val="en-US" w:eastAsia="zh-CN"/>
                    </w:rPr>
                    <w:t>2.398</w:t>
                  </w:r>
                </w:p>
              </w:tc>
            </w:tr>
            <w:tr w14:paraId="232D7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trPr>
              <w:tc>
                <w:tcPr>
                  <w:tcW w:w="1342" w:type="pct"/>
                  <w:gridSpan w:val="2"/>
                  <w:tcBorders>
                    <w:tl2br w:val="nil"/>
                    <w:tr2bl w:val="nil"/>
                  </w:tcBorders>
                  <w:shd w:val="clear" w:color="auto" w:fill="auto"/>
                  <w:vAlign w:val="center"/>
                </w:tcPr>
                <w:p w14:paraId="09448CF6">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合计</w:t>
                  </w:r>
                </w:p>
              </w:tc>
              <w:tc>
                <w:tcPr>
                  <w:tcW w:w="656" w:type="pct"/>
                  <w:tcBorders>
                    <w:tl2br w:val="nil"/>
                    <w:tr2bl w:val="nil"/>
                  </w:tcBorders>
                  <w:shd w:val="clear" w:color="auto" w:fill="auto"/>
                  <w:vAlign w:val="center"/>
                </w:tcPr>
                <w:p w14:paraId="50BD243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2.644</w:t>
                  </w:r>
                </w:p>
              </w:tc>
              <w:tc>
                <w:tcPr>
                  <w:tcW w:w="508" w:type="pct"/>
                  <w:tcBorders>
                    <w:tl2br w:val="nil"/>
                    <w:tr2bl w:val="nil"/>
                  </w:tcBorders>
                  <w:shd w:val="clear" w:color="auto" w:fill="auto"/>
                  <w:vAlign w:val="center"/>
                </w:tcPr>
                <w:p w14:paraId="4185ACCA">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10.576</w:t>
                  </w:r>
                </w:p>
              </w:tc>
              <w:tc>
                <w:tcPr>
                  <w:tcW w:w="813" w:type="pct"/>
                  <w:tcBorders>
                    <w:tl2br w:val="nil"/>
                    <w:tr2bl w:val="nil"/>
                  </w:tcBorders>
                  <w:shd w:val="clear" w:color="auto" w:fill="auto"/>
                  <w:vAlign w:val="center"/>
                </w:tcPr>
                <w:p w14:paraId="12809160">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444" w:type="pct"/>
                  <w:tcBorders>
                    <w:tl2br w:val="nil"/>
                    <w:tr2bl w:val="nil"/>
                  </w:tcBorders>
                  <w:shd w:val="clear" w:color="auto" w:fill="auto"/>
                  <w:vAlign w:val="center"/>
                </w:tcPr>
                <w:p w14:paraId="63241939">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620" w:type="pct"/>
                  <w:tcBorders>
                    <w:tl2br w:val="nil"/>
                    <w:tr2bl w:val="nil"/>
                  </w:tcBorders>
                  <w:shd w:val="clear" w:color="auto" w:fill="auto"/>
                  <w:vAlign w:val="center"/>
                </w:tcPr>
                <w:p w14:paraId="226BC9D3">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11.760</w:t>
                  </w:r>
                </w:p>
              </w:tc>
              <w:tc>
                <w:tcPr>
                  <w:tcW w:w="614" w:type="pct"/>
                  <w:tcBorders>
                    <w:tl2br w:val="nil"/>
                    <w:tr2bl w:val="nil"/>
                  </w:tcBorders>
                  <w:shd w:val="clear" w:color="auto" w:fill="auto"/>
                  <w:vAlign w:val="center"/>
                </w:tcPr>
                <w:p w14:paraId="02132A52">
                  <w:pPr>
                    <w:keepNext w:val="0"/>
                    <w:keepLines w:val="0"/>
                    <w:pageBreakBefore w:val="0"/>
                    <w:widowControl/>
                    <w:suppressLineNumbers w:val="0"/>
                    <w:kinsoku/>
                    <w:wordWrap/>
                    <w:overflowPunct/>
                    <w:topLinePunct w:val="0"/>
                    <w:autoSpaceDE w:val="0"/>
                    <w:autoSpaceDN w:val="0"/>
                    <w:bidi w:val="0"/>
                    <w:adjustRightInd/>
                    <w:snapToGrid/>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14.404</w:t>
                  </w:r>
                </w:p>
              </w:tc>
            </w:tr>
          </w:tbl>
          <w:p w14:paraId="1AE25B85">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3</w:t>
            </w:r>
            <w:r>
              <w:rPr>
                <w:rFonts w:hint="eastAsia"/>
                <w:b/>
                <w:bCs/>
                <w:color w:val="auto"/>
                <w:sz w:val="24"/>
                <w:szCs w:val="24"/>
                <w:lang w:eastAsia="zh-CN"/>
              </w:rPr>
              <w:t>）</w:t>
            </w:r>
            <w:r>
              <w:rPr>
                <w:b/>
                <w:bCs/>
                <w:color w:val="auto"/>
                <w:sz w:val="24"/>
                <w:szCs w:val="24"/>
              </w:rPr>
              <w:t>生活垃圾</w:t>
            </w:r>
          </w:p>
          <w:p w14:paraId="78DDC013">
            <w:pPr>
              <w:spacing w:line="360" w:lineRule="auto"/>
              <w:ind w:firstLine="480" w:firstLineChars="200"/>
              <w:rPr>
                <w:color w:val="auto"/>
                <w:sz w:val="24"/>
                <w:szCs w:val="24"/>
              </w:rPr>
            </w:pPr>
            <w:r>
              <w:rPr>
                <w:color w:val="auto"/>
                <w:sz w:val="24"/>
                <w:szCs w:val="24"/>
              </w:rPr>
              <w:t>生活垃圾主要为纸屑、塑料袋，来源于企业员工办公、生活，</w:t>
            </w:r>
            <w:r>
              <w:rPr>
                <w:rFonts w:hint="eastAsia"/>
                <w:color w:val="auto"/>
                <w:sz w:val="24"/>
                <w:szCs w:val="24"/>
                <w:lang w:val="en-US" w:eastAsia="zh-CN"/>
              </w:rPr>
              <w:t>住厂</w:t>
            </w:r>
            <w:r>
              <w:rPr>
                <w:rFonts w:hint="eastAsia"/>
                <w:color w:val="auto"/>
                <w:sz w:val="24"/>
                <w:szCs w:val="24"/>
              </w:rPr>
              <w:t>员工</w:t>
            </w:r>
            <w:r>
              <w:rPr>
                <w:color w:val="auto"/>
                <w:sz w:val="24"/>
                <w:szCs w:val="24"/>
              </w:rPr>
              <w:t>生活垃圾产生量按</w:t>
            </w:r>
            <w:r>
              <w:rPr>
                <w:rFonts w:hint="eastAsia"/>
                <w:color w:val="auto"/>
                <w:sz w:val="24"/>
                <w:szCs w:val="24"/>
                <w:lang w:val="en-US" w:eastAsia="zh-CN"/>
              </w:rPr>
              <w:t>1.0</w:t>
            </w:r>
            <w:r>
              <w:rPr>
                <w:color w:val="auto"/>
                <w:sz w:val="24"/>
                <w:szCs w:val="24"/>
              </w:rPr>
              <w:t>kg/人•d计</w:t>
            </w:r>
            <w:r>
              <w:rPr>
                <w:rFonts w:hint="eastAsia"/>
                <w:color w:val="auto"/>
                <w:sz w:val="24"/>
                <w:szCs w:val="24"/>
                <w:lang w:eastAsia="zh-CN"/>
              </w:rPr>
              <w:t>，</w:t>
            </w:r>
            <w:r>
              <w:rPr>
                <w:rFonts w:hint="eastAsia"/>
                <w:color w:val="auto"/>
                <w:sz w:val="24"/>
                <w:szCs w:val="24"/>
                <w:lang w:val="en-US" w:eastAsia="zh-CN"/>
              </w:rPr>
              <w:t>不住厂职工生活垃圾按0.50</w:t>
            </w:r>
            <w:r>
              <w:rPr>
                <w:color w:val="auto"/>
                <w:sz w:val="24"/>
                <w:szCs w:val="24"/>
              </w:rPr>
              <w:t>kg/人•d计，</w:t>
            </w:r>
            <w:r>
              <w:rPr>
                <w:rFonts w:hint="eastAsia"/>
                <w:color w:val="auto"/>
                <w:sz w:val="24"/>
                <w:szCs w:val="24"/>
              </w:rPr>
              <w:t>项目</w:t>
            </w:r>
            <w:r>
              <w:rPr>
                <w:color w:val="auto"/>
                <w:sz w:val="24"/>
                <w:szCs w:val="24"/>
              </w:rPr>
              <w:t>职工人数</w:t>
            </w:r>
            <w:r>
              <w:rPr>
                <w:rFonts w:hint="eastAsia"/>
                <w:color w:val="auto"/>
                <w:sz w:val="24"/>
                <w:szCs w:val="24"/>
                <w:lang w:val="en-US" w:eastAsia="zh-CN"/>
              </w:rPr>
              <w:t>150</w:t>
            </w:r>
            <w:r>
              <w:rPr>
                <w:color w:val="auto"/>
                <w:sz w:val="24"/>
                <w:szCs w:val="24"/>
              </w:rPr>
              <w:t>人</w:t>
            </w:r>
            <w:r>
              <w:rPr>
                <w:rFonts w:hint="eastAsia"/>
                <w:color w:val="auto"/>
                <w:sz w:val="24"/>
                <w:szCs w:val="24"/>
                <w:lang w:eastAsia="zh-CN"/>
              </w:rPr>
              <w:t>，</w:t>
            </w:r>
            <w:r>
              <w:rPr>
                <w:rFonts w:hint="eastAsia"/>
                <w:color w:val="auto"/>
                <w:sz w:val="24"/>
                <w:szCs w:val="24"/>
                <w:lang w:val="en-US" w:eastAsia="zh-CN"/>
              </w:rPr>
              <w:t>其中100人住厂</w:t>
            </w:r>
            <w:r>
              <w:rPr>
                <w:rFonts w:hint="eastAsia"/>
                <w:color w:val="auto"/>
                <w:sz w:val="24"/>
                <w:szCs w:val="24"/>
              </w:rPr>
              <w:t>，则员工生活垃圾产生量</w:t>
            </w:r>
            <w:r>
              <w:rPr>
                <w:rFonts w:hint="eastAsia"/>
                <w:color w:val="auto"/>
                <w:sz w:val="24"/>
                <w:szCs w:val="24"/>
                <w:lang w:val="en-US" w:eastAsia="zh-CN"/>
              </w:rPr>
              <w:t>37.5</w:t>
            </w:r>
            <w:r>
              <w:rPr>
                <w:color w:val="auto"/>
                <w:sz w:val="24"/>
                <w:szCs w:val="24"/>
              </w:rPr>
              <w:t>t/a</w:t>
            </w:r>
            <w:r>
              <w:rPr>
                <w:rFonts w:hint="eastAsia"/>
                <w:color w:val="auto"/>
                <w:sz w:val="24"/>
                <w:szCs w:val="24"/>
              </w:rPr>
              <w:t>，</w:t>
            </w:r>
            <w:r>
              <w:rPr>
                <w:color w:val="auto"/>
                <w:sz w:val="24"/>
                <w:szCs w:val="24"/>
              </w:rPr>
              <w:t>如不对其采取有效的处理措施，任其随意堆放，则可能造成这些废物的腐烂，滋生蚊、蝇、鼠、虫等，散发臭气，影响环境卫生，诱发各种传染病。本项目生活垃圾经收集后由市政环卫</w:t>
            </w:r>
            <w:r>
              <w:rPr>
                <w:rFonts w:hint="eastAsia"/>
                <w:color w:val="auto"/>
                <w:sz w:val="24"/>
                <w:szCs w:val="24"/>
                <w:lang w:val="en-US" w:eastAsia="zh-CN"/>
              </w:rPr>
              <w:t>部门</w:t>
            </w:r>
            <w:r>
              <w:rPr>
                <w:rFonts w:hint="eastAsia"/>
                <w:color w:val="auto"/>
                <w:sz w:val="24"/>
                <w:szCs w:val="24"/>
              </w:rPr>
              <w:t>定期清运</w:t>
            </w:r>
            <w:r>
              <w:rPr>
                <w:color w:val="auto"/>
                <w:sz w:val="24"/>
                <w:szCs w:val="24"/>
              </w:rPr>
              <w:t>。</w:t>
            </w:r>
          </w:p>
          <w:p w14:paraId="577EFCB0">
            <w:pPr>
              <w:autoSpaceDE w:val="0"/>
              <w:autoSpaceDN w:val="0"/>
              <w:spacing w:line="360" w:lineRule="auto"/>
              <w:jc w:val="center"/>
              <w:rPr>
                <w:b/>
                <w:bCs/>
                <w:color w:val="auto"/>
                <w:sz w:val="24"/>
                <w:szCs w:val="24"/>
                <w:lang w:val="zh-CN"/>
              </w:rPr>
            </w:pPr>
            <w:r>
              <w:rPr>
                <w:rFonts w:hint="eastAsia"/>
                <w:b/>
                <w:bCs/>
                <w:color w:val="auto"/>
                <w:sz w:val="24"/>
                <w:szCs w:val="24"/>
                <w:lang w:val="zh-CN"/>
              </w:rPr>
              <w:t>表</w:t>
            </w:r>
            <w:r>
              <w:rPr>
                <w:rFonts w:hint="eastAsia"/>
                <w:b/>
                <w:bCs/>
                <w:color w:val="auto"/>
                <w:sz w:val="24"/>
                <w:szCs w:val="24"/>
              </w:rPr>
              <w:t>4-</w:t>
            </w:r>
            <w:r>
              <w:rPr>
                <w:rFonts w:hint="eastAsia"/>
                <w:b/>
                <w:bCs/>
                <w:color w:val="auto"/>
                <w:sz w:val="24"/>
                <w:szCs w:val="24"/>
                <w:lang w:val="en-US" w:eastAsia="zh-CN"/>
              </w:rPr>
              <w:t>39</w:t>
            </w:r>
            <w:r>
              <w:rPr>
                <w:rFonts w:hint="eastAsia"/>
                <w:b/>
                <w:bCs/>
                <w:color w:val="auto"/>
                <w:sz w:val="24"/>
                <w:szCs w:val="24"/>
                <w:lang w:val="zh-CN"/>
              </w:rPr>
              <w:t xml:space="preserve">  项目固废产生与处置情况汇总表 </w:t>
            </w:r>
          </w:p>
          <w:tbl>
            <w:tblPr>
              <w:tblStyle w:val="30"/>
              <w:tblW w:w="84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817"/>
              <w:gridCol w:w="836"/>
              <w:gridCol w:w="745"/>
              <w:gridCol w:w="795"/>
              <w:gridCol w:w="604"/>
              <w:gridCol w:w="523"/>
              <w:gridCol w:w="615"/>
              <w:gridCol w:w="1117"/>
              <w:gridCol w:w="795"/>
              <w:gridCol w:w="806"/>
              <w:gridCol w:w="804"/>
            </w:tblGrid>
            <w:tr w14:paraId="5E90B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3DB0C088">
                  <w:pPr>
                    <w:pStyle w:val="24"/>
                    <w:spacing w:before="0" w:beforeAutospacing="0" w:after="0" w:afterAutospacing="0"/>
                    <w:jc w:val="center"/>
                    <w:rPr>
                      <w:rStyle w:val="36"/>
                      <w:rFonts w:hint="eastAsia"/>
                      <w:b/>
                      <w:bCs/>
                      <w:color w:val="auto"/>
                      <w:sz w:val="18"/>
                      <w:szCs w:val="18"/>
                    </w:rPr>
                  </w:pPr>
                  <w:r>
                    <w:rPr>
                      <w:rStyle w:val="36"/>
                      <w:rFonts w:hint="eastAsia"/>
                      <w:b/>
                      <w:bCs/>
                      <w:color w:val="auto"/>
                      <w:sz w:val="18"/>
                      <w:szCs w:val="18"/>
                    </w:rPr>
                    <w:t>名称</w:t>
                  </w:r>
                </w:p>
              </w:tc>
              <w:tc>
                <w:tcPr>
                  <w:tcW w:w="494" w:type="pct"/>
                  <w:tcBorders>
                    <w:tl2br w:val="nil"/>
                    <w:tr2bl w:val="nil"/>
                  </w:tcBorders>
                  <w:vAlign w:val="center"/>
                </w:tcPr>
                <w:p w14:paraId="40D6FE05">
                  <w:pPr>
                    <w:pStyle w:val="24"/>
                    <w:spacing w:before="0" w:beforeAutospacing="0" w:after="0" w:afterAutospacing="0"/>
                    <w:jc w:val="center"/>
                    <w:rPr>
                      <w:rStyle w:val="36"/>
                      <w:rFonts w:hint="eastAsia"/>
                      <w:b/>
                      <w:bCs/>
                      <w:color w:val="auto"/>
                      <w:sz w:val="18"/>
                      <w:szCs w:val="18"/>
                    </w:rPr>
                  </w:pPr>
                  <w:r>
                    <w:rPr>
                      <w:rStyle w:val="36"/>
                      <w:rFonts w:hint="eastAsia"/>
                      <w:b/>
                      <w:bCs/>
                      <w:color w:val="auto"/>
                      <w:sz w:val="18"/>
                      <w:szCs w:val="18"/>
                    </w:rPr>
                    <w:t>产生工序</w:t>
                  </w:r>
                </w:p>
              </w:tc>
              <w:tc>
                <w:tcPr>
                  <w:tcW w:w="440" w:type="pct"/>
                  <w:tcBorders>
                    <w:tl2br w:val="nil"/>
                    <w:tr2bl w:val="nil"/>
                  </w:tcBorders>
                  <w:vAlign w:val="center"/>
                </w:tcPr>
                <w:p w14:paraId="12DBCCC7">
                  <w:pPr>
                    <w:pStyle w:val="24"/>
                    <w:spacing w:before="0" w:beforeAutospacing="0" w:after="0" w:afterAutospacing="0"/>
                    <w:jc w:val="center"/>
                    <w:rPr>
                      <w:rStyle w:val="36"/>
                      <w:rFonts w:hint="eastAsia"/>
                      <w:b/>
                      <w:bCs/>
                      <w:color w:val="auto"/>
                      <w:sz w:val="18"/>
                      <w:szCs w:val="18"/>
                    </w:rPr>
                  </w:pPr>
                  <w:r>
                    <w:rPr>
                      <w:rStyle w:val="36"/>
                      <w:rFonts w:hint="eastAsia"/>
                      <w:b/>
                      <w:bCs/>
                      <w:color w:val="auto"/>
                      <w:sz w:val="18"/>
                      <w:szCs w:val="18"/>
                    </w:rPr>
                    <w:t>产生</w:t>
                  </w:r>
                  <w:r>
                    <w:rPr>
                      <w:rStyle w:val="36"/>
                      <w:rFonts w:ascii="Times New Roman" w:hAnsi="Times New Roman"/>
                      <w:b/>
                      <w:bCs/>
                      <w:color w:val="auto"/>
                      <w:sz w:val="18"/>
                      <w:szCs w:val="18"/>
                    </w:rPr>
                    <w:t>量</w:t>
                  </w:r>
                  <w:r>
                    <w:rPr>
                      <w:rStyle w:val="36"/>
                      <w:rFonts w:hint="eastAsia" w:ascii="Times New Roman" w:hAnsi="Times New Roman"/>
                      <w:b/>
                      <w:bCs/>
                      <w:color w:val="auto"/>
                      <w:sz w:val="18"/>
                      <w:szCs w:val="18"/>
                    </w:rPr>
                    <w:t>t/a</w:t>
                  </w:r>
                </w:p>
              </w:tc>
              <w:tc>
                <w:tcPr>
                  <w:tcW w:w="470" w:type="pct"/>
                  <w:tcBorders>
                    <w:tl2br w:val="nil"/>
                    <w:tr2bl w:val="nil"/>
                  </w:tcBorders>
                  <w:vAlign w:val="center"/>
                </w:tcPr>
                <w:p w14:paraId="154BA24C">
                  <w:pPr>
                    <w:pStyle w:val="24"/>
                    <w:spacing w:before="0" w:beforeAutospacing="0" w:after="0" w:afterAutospacing="0"/>
                    <w:jc w:val="center"/>
                    <w:rPr>
                      <w:rStyle w:val="36"/>
                      <w:rFonts w:hint="eastAsia" w:eastAsia="宋体"/>
                      <w:b/>
                      <w:bCs/>
                      <w:color w:val="auto"/>
                      <w:sz w:val="18"/>
                      <w:szCs w:val="18"/>
                      <w:lang w:eastAsia="zh-CN"/>
                    </w:rPr>
                  </w:pPr>
                  <w:r>
                    <w:rPr>
                      <w:rStyle w:val="36"/>
                      <w:rFonts w:hint="eastAsia" w:ascii="Times New Roman" w:hAnsi="Times New Roman"/>
                      <w:b/>
                      <w:bCs/>
                      <w:color w:val="auto"/>
                      <w:sz w:val="18"/>
                      <w:szCs w:val="18"/>
                      <w:lang w:val="en-US" w:eastAsia="zh-CN"/>
                    </w:rPr>
                    <w:t>主要成分</w:t>
                  </w:r>
                </w:p>
              </w:tc>
              <w:tc>
                <w:tcPr>
                  <w:tcW w:w="357" w:type="pct"/>
                  <w:tcBorders>
                    <w:tl2br w:val="nil"/>
                    <w:tr2bl w:val="nil"/>
                  </w:tcBorders>
                  <w:vAlign w:val="center"/>
                </w:tcPr>
                <w:p w14:paraId="119DF356">
                  <w:pPr>
                    <w:pStyle w:val="24"/>
                    <w:spacing w:before="0" w:beforeAutospacing="0" w:after="0" w:afterAutospacing="0"/>
                    <w:jc w:val="center"/>
                    <w:rPr>
                      <w:rStyle w:val="36"/>
                      <w:rFonts w:hint="eastAsia"/>
                      <w:b/>
                      <w:bCs/>
                      <w:color w:val="auto"/>
                      <w:sz w:val="18"/>
                      <w:szCs w:val="18"/>
                    </w:rPr>
                  </w:pPr>
                  <w:r>
                    <w:rPr>
                      <w:rStyle w:val="36"/>
                      <w:rFonts w:hint="eastAsia"/>
                      <w:b/>
                      <w:bCs/>
                      <w:color w:val="auto"/>
                      <w:sz w:val="18"/>
                      <w:szCs w:val="18"/>
                    </w:rPr>
                    <w:t>类别</w:t>
                  </w:r>
                </w:p>
              </w:tc>
              <w:tc>
                <w:tcPr>
                  <w:tcW w:w="309" w:type="pct"/>
                  <w:tcBorders>
                    <w:tl2br w:val="nil"/>
                    <w:tr2bl w:val="nil"/>
                  </w:tcBorders>
                  <w:vAlign w:val="center"/>
                </w:tcPr>
                <w:p w14:paraId="738CE6C8">
                  <w:pPr>
                    <w:pStyle w:val="24"/>
                    <w:spacing w:before="0" w:beforeAutospacing="0" w:after="0" w:afterAutospacing="0"/>
                    <w:jc w:val="center"/>
                    <w:rPr>
                      <w:rStyle w:val="36"/>
                      <w:rFonts w:hint="eastAsia"/>
                      <w:b/>
                      <w:bCs/>
                      <w:color w:val="auto"/>
                      <w:sz w:val="18"/>
                      <w:szCs w:val="18"/>
                    </w:rPr>
                  </w:pPr>
                  <w:r>
                    <w:rPr>
                      <w:rFonts w:hint="eastAsia" w:ascii="Times New Roman" w:hAnsi="Times New Roman"/>
                      <w:b/>
                      <w:bCs/>
                      <w:color w:val="auto"/>
                      <w:sz w:val="18"/>
                      <w:szCs w:val="18"/>
                    </w:rPr>
                    <w:t>形态</w:t>
                  </w:r>
                </w:p>
              </w:tc>
              <w:tc>
                <w:tcPr>
                  <w:tcW w:w="363" w:type="pct"/>
                  <w:tcBorders>
                    <w:tl2br w:val="nil"/>
                    <w:tr2bl w:val="nil"/>
                  </w:tcBorders>
                  <w:vAlign w:val="center"/>
                </w:tcPr>
                <w:p w14:paraId="5563D37F">
                  <w:pPr>
                    <w:pStyle w:val="24"/>
                    <w:spacing w:before="0" w:beforeAutospacing="0" w:after="0" w:afterAutospacing="0"/>
                    <w:jc w:val="center"/>
                    <w:rPr>
                      <w:rFonts w:hint="eastAsia" w:ascii="Times New Roman" w:hAnsi="Times New Roman" w:eastAsia="宋体"/>
                      <w:b/>
                      <w:bCs/>
                      <w:color w:val="auto"/>
                      <w:sz w:val="18"/>
                      <w:szCs w:val="18"/>
                      <w:lang w:val="en-US" w:eastAsia="zh-CN"/>
                    </w:rPr>
                  </w:pPr>
                  <w:r>
                    <w:rPr>
                      <w:rFonts w:hint="eastAsia" w:ascii="Times New Roman" w:hAnsi="Times New Roman"/>
                      <w:b/>
                      <w:bCs/>
                      <w:color w:val="auto"/>
                      <w:sz w:val="18"/>
                      <w:szCs w:val="18"/>
                      <w:lang w:val="en-US" w:eastAsia="zh-CN"/>
                    </w:rPr>
                    <w:t>废物种类</w:t>
                  </w:r>
                </w:p>
              </w:tc>
              <w:tc>
                <w:tcPr>
                  <w:tcW w:w="660" w:type="pct"/>
                  <w:tcBorders>
                    <w:tl2br w:val="nil"/>
                    <w:tr2bl w:val="nil"/>
                  </w:tcBorders>
                  <w:vAlign w:val="center"/>
                </w:tcPr>
                <w:p w14:paraId="7F7E7DDD">
                  <w:pPr>
                    <w:pStyle w:val="24"/>
                    <w:spacing w:before="0" w:beforeAutospacing="0" w:after="0" w:afterAutospacing="0"/>
                    <w:jc w:val="center"/>
                    <w:rPr>
                      <w:rStyle w:val="36"/>
                      <w:rFonts w:hint="eastAsia"/>
                      <w:b/>
                      <w:bCs/>
                      <w:color w:val="auto"/>
                      <w:sz w:val="18"/>
                      <w:szCs w:val="18"/>
                    </w:rPr>
                  </w:pPr>
                  <w:r>
                    <w:rPr>
                      <w:rStyle w:val="36"/>
                      <w:rFonts w:hint="eastAsia"/>
                      <w:b/>
                      <w:bCs/>
                      <w:color w:val="auto"/>
                      <w:sz w:val="18"/>
                      <w:szCs w:val="18"/>
                    </w:rPr>
                    <w:t>代码</w:t>
                  </w:r>
                </w:p>
              </w:tc>
              <w:tc>
                <w:tcPr>
                  <w:tcW w:w="470" w:type="pct"/>
                  <w:tcBorders>
                    <w:tl2br w:val="nil"/>
                    <w:tr2bl w:val="nil"/>
                  </w:tcBorders>
                  <w:vAlign w:val="center"/>
                </w:tcPr>
                <w:p w14:paraId="32AF8730">
                  <w:pPr>
                    <w:pStyle w:val="24"/>
                    <w:spacing w:before="0" w:beforeAutospacing="0" w:after="0" w:afterAutospacing="0"/>
                    <w:jc w:val="center"/>
                    <w:rPr>
                      <w:rStyle w:val="36"/>
                      <w:rFonts w:hint="eastAsia"/>
                      <w:b/>
                      <w:bCs/>
                      <w:color w:val="auto"/>
                      <w:sz w:val="18"/>
                      <w:szCs w:val="18"/>
                    </w:rPr>
                  </w:pPr>
                  <w:r>
                    <w:rPr>
                      <w:rStyle w:val="36"/>
                      <w:rFonts w:hint="eastAsia"/>
                      <w:b/>
                      <w:bCs/>
                      <w:color w:val="auto"/>
                      <w:sz w:val="18"/>
                      <w:szCs w:val="18"/>
                    </w:rPr>
                    <w:t>处置方式</w:t>
                  </w:r>
                </w:p>
              </w:tc>
              <w:tc>
                <w:tcPr>
                  <w:tcW w:w="476" w:type="pct"/>
                  <w:tcBorders>
                    <w:tl2br w:val="nil"/>
                    <w:tr2bl w:val="nil"/>
                  </w:tcBorders>
                  <w:vAlign w:val="center"/>
                </w:tcPr>
                <w:p w14:paraId="12E218AD">
                  <w:pPr>
                    <w:pStyle w:val="24"/>
                    <w:spacing w:before="0" w:beforeAutospacing="0" w:after="0" w:afterAutospacing="0"/>
                    <w:jc w:val="center"/>
                    <w:rPr>
                      <w:rStyle w:val="36"/>
                      <w:rFonts w:ascii="Times New Roman" w:hAnsi="Times New Roman"/>
                      <w:b/>
                      <w:bCs/>
                      <w:color w:val="auto"/>
                      <w:sz w:val="18"/>
                      <w:szCs w:val="18"/>
                    </w:rPr>
                  </w:pPr>
                  <w:r>
                    <w:rPr>
                      <w:b/>
                      <w:bCs/>
                      <w:color w:val="auto"/>
                      <w:sz w:val="18"/>
                      <w:szCs w:val="18"/>
                    </w:rPr>
                    <w:t>利用或处置量</w:t>
                  </w:r>
                  <w:r>
                    <w:rPr>
                      <w:rStyle w:val="36"/>
                      <w:rFonts w:hint="eastAsia" w:ascii="Times New Roman" w:hAnsi="Times New Roman"/>
                      <w:b/>
                      <w:bCs/>
                      <w:color w:val="auto"/>
                      <w:sz w:val="18"/>
                      <w:szCs w:val="18"/>
                    </w:rPr>
                    <w:t>t/a</w:t>
                  </w:r>
                </w:p>
              </w:tc>
              <w:tc>
                <w:tcPr>
                  <w:tcW w:w="475" w:type="pct"/>
                  <w:tcBorders>
                    <w:tl2br w:val="nil"/>
                    <w:tr2bl w:val="nil"/>
                  </w:tcBorders>
                  <w:vAlign w:val="center"/>
                </w:tcPr>
                <w:p w14:paraId="06D96F55">
                  <w:pPr>
                    <w:pStyle w:val="24"/>
                    <w:spacing w:before="0" w:beforeAutospacing="0" w:after="0" w:afterAutospacing="0"/>
                    <w:jc w:val="center"/>
                    <w:rPr>
                      <w:rStyle w:val="36"/>
                      <w:rFonts w:ascii="Times New Roman" w:hAnsi="Times New Roman"/>
                      <w:b/>
                      <w:bCs/>
                      <w:color w:val="auto"/>
                      <w:sz w:val="18"/>
                      <w:szCs w:val="18"/>
                    </w:rPr>
                  </w:pPr>
                  <w:r>
                    <w:rPr>
                      <w:rStyle w:val="36"/>
                      <w:rFonts w:hint="eastAsia" w:ascii="Times New Roman" w:hAnsi="Times New Roman"/>
                      <w:b/>
                      <w:bCs/>
                      <w:color w:val="auto"/>
                      <w:sz w:val="18"/>
                      <w:szCs w:val="18"/>
                    </w:rPr>
                    <w:t>环境管理要求</w:t>
                  </w:r>
                </w:p>
              </w:tc>
            </w:tr>
            <w:tr w14:paraId="208FC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700E2979">
                  <w:pPr>
                    <w:jc w:val="center"/>
                    <w:rPr>
                      <w:rFonts w:hint="eastAsia" w:hAnsi="宋体"/>
                      <w:color w:val="auto"/>
                      <w:sz w:val="18"/>
                      <w:szCs w:val="18"/>
                    </w:rPr>
                  </w:pPr>
                  <w:r>
                    <w:rPr>
                      <w:rFonts w:hint="eastAsia" w:hAnsi="宋体"/>
                      <w:color w:val="auto"/>
                      <w:sz w:val="18"/>
                      <w:szCs w:val="18"/>
                    </w:rPr>
                    <w:t>生活垃圾</w:t>
                  </w:r>
                </w:p>
              </w:tc>
              <w:tc>
                <w:tcPr>
                  <w:tcW w:w="494" w:type="pct"/>
                  <w:tcBorders>
                    <w:tl2br w:val="nil"/>
                    <w:tr2bl w:val="nil"/>
                  </w:tcBorders>
                  <w:vAlign w:val="center"/>
                </w:tcPr>
                <w:p w14:paraId="6A59FB78">
                  <w:pPr>
                    <w:jc w:val="center"/>
                    <w:rPr>
                      <w:color w:val="auto"/>
                      <w:sz w:val="18"/>
                      <w:szCs w:val="18"/>
                    </w:rPr>
                  </w:pPr>
                  <w:r>
                    <w:rPr>
                      <w:rFonts w:hint="eastAsia"/>
                      <w:color w:val="auto"/>
                      <w:sz w:val="18"/>
                      <w:szCs w:val="18"/>
                    </w:rPr>
                    <w:t>生活</w:t>
                  </w:r>
                </w:p>
              </w:tc>
              <w:tc>
                <w:tcPr>
                  <w:tcW w:w="440" w:type="pct"/>
                  <w:tcBorders>
                    <w:tl2br w:val="nil"/>
                    <w:tr2bl w:val="nil"/>
                  </w:tcBorders>
                  <w:vAlign w:val="center"/>
                </w:tcPr>
                <w:p w14:paraId="191115D2">
                  <w:pPr>
                    <w:jc w:val="center"/>
                    <w:rPr>
                      <w:rStyle w:val="36"/>
                      <w:rFonts w:hint="default" w:eastAsia="宋体"/>
                      <w:color w:val="auto"/>
                      <w:sz w:val="18"/>
                      <w:szCs w:val="18"/>
                      <w:lang w:val="en-US" w:eastAsia="zh-CN"/>
                    </w:rPr>
                  </w:pPr>
                  <w:r>
                    <w:rPr>
                      <w:rStyle w:val="36"/>
                      <w:rFonts w:hint="eastAsia"/>
                      <w:color w:val="auto"/>
                      <w:sz w:val="18"/>
                      <w:szCs w:val="18"/>
                      <w:lang w:val="en-US" w:eastAsia="zh-CN"/>
                    </w:rPr>
                    <w:t>37.5</w:t>
                  </w:r>
                </w:p>
              </w:tc>
              <w:tc>
                <w:tcPr>
                  <w:tcW w:w="470" w:type="pct"/>
                  <w:tcBorders>
                    <w:tl2br w:val="nil"/>
                    <w:tr2bl w:val="nil"/>
                  </w:tcBorders>
                  <w:vAlign w:val="center"/>
                </w:tcPr>
                <w:p w14:paraId="3F7EC9FE">
                  <w:pPr>
                    <w:jc w:val="center"/>
                    <w:rPr>
                      <w:rFonts w:hint="default"/>
                      <w:color w:val="auto"/>
                      <w:sz w:val="18"/>
                      <w:szCs w:val="18"/>
                      <w:lang w:val="en-US"/>
                    </w:rPr>
                  </w:pPr>
                  <w:r>
                    <w:rPr>
                      <w:rFonts w:hint="eastAsia"/>
                      <w:color w:val="auto"/>
                      <w:sz w:val="18"/>
                      <w:szCs w:val="18"/>
                      <w:lang w:val="en-US" w:eastAsia="zh-CN"/>
                    </w:rPr>
                    <w:t>食物残渣、废纸、废塑料</w:t>
                  </w:r>
                </w:p>
              </w:tc>
              <w:tc>
                <w:tcPr>
                  <w:tcW w:w="357" w:type="pct"/>
                  <w:tcBorders>
                    <w:tl2br w:val="nil"/>
                    <w:tr2bl w:val="nil"/>
                  </w:tcBorders>
                  <w:vAlign w:val="center"/>
                </w:tcPr>
                <w:p w14:paraId="7E17F1A8">
                  <w:pPr>
                    <w:jc w:val="center"/>
                    <w:rPr>
                      <w:color w:val="auto"/>
                      <w:sz w:val="18"/>
                      <w:szCs w:val="18"/>
                    </w:rPr>
                  </w:pPr>
                  <w:r>
                    <w:rPr>
                      <w:rFonts w:hint="eastAsia"/>
                      <w:color w:val="auto"/>
                      <w:sz w:val="18"/>
                      <w:szCs w:val="18"/>
                    </w:rPr>
                    <w:t>生活垃圾</w:t>
                  </w:r>
                </w:p>
              </w:tc>
              <w:tc>
                <w:tcPr>
                  <w:tcW w:w="309" w:type="pct"/>
                  <w:tcBorders>
                    <w:tl2br w:val="nil"/>
                    <w:tr2bl w:val="nil"/>
                  </w:tcBorders>
                  <w:vAlign w:val="center"/>
                </w:tcPr>
                <w:p w14:paraId="779EB8CF">
                  <w:pPr>
                    <w:jc w:val="center"/>
                    <w:rPr>
                      <w:rFonts w:hint="eastAsia" w:hAnsi="宋体"/>
                      <w:color w:val="auto"/>
                      <w:sz w:val="18"/>
                      <w:szCs w:val="18"/>
                    </w:rPr>
                  </w:pPr>
                  <w:r>
                    <w:rPr>
                      <w:rFonts w:hint="eastAsia" w:hAnsi="宋体"/>
                      <w:color w:val="auto"/>
                      <w:sz w:val="18"/>
                      <w:szCs w:val="18"/>
                    </w:rPr>
                    <w:t>固态</w:t>
                  </w:r>
                </w:p>
              </w:tc>
              <w:tc>
                <w:tcPr>
                  <w:tcW w:w="363" w:type="pct"/>
                  <w:tcBorders>
                    <w:tl2br w:val="nil"/>
                    <w:tr2bl w:val="nil"/>
                  </w:tcBorders>
                  <w:vAlign w:val="center"/>
                </w:tcPr>
                <w:p w14:paraId="222C7DFE">
                  <w:pPr>
                    <w:jc w:val="center"/>
                    <w:rPr>
                      <w:rFonts w:hint="eastAsia" w:hAnsi="宋体" w:eastAsia="宋体"/>
                      <w:color w:val="auto"/>
                      <w:sz w:val="18"/>
                      <w:szCs w:val="18"/>
                      <w:lang w:val="en-US" w:eastAsia="zh-CN"/>
                    </w:rPr>
                  </w:pPr>
                  <w:r>
                    <w:rPr>
                      <w:rFonts w:hint="eastAsia" w:hAnsi="宋体"/>
                      <w:color w:val="auto"/>
                      <w:sz w:val="18"/>
                      <w:szCs w:val="18"/>
                      <w:lang w:val="en-US" w:eastAsia="zh-CN"/>
                    </w:rPr>
                    <w:t>SW64</w:t>
                  </w:r>
                </w:p>
              </w:tc>
              <w:tc>
                <w:tcPr>
                  <w:tcW w:w="660" w:type="pct"/>
                  <w:tcBorders>
                    <w:tl2br w:val="nil"/>
                    <w:tr2bl w:val="nil"/>
                  </w:tcBorders>
                  <w:vAlign w:val="center"/>
                </w:tcPr>
                <w:p w14:paraId="1F24C3EE">
                  <w:pPr>
                    <w:jc w:val="center"/>
                    <w:rPr>
                      <w:rStyle w:val="36"/>
                      <w:rFonts w:hint="eastAsia" w:eastAsia="宋体"/>
                      <w:color w:val="auto"/>
                      <w:sz w:val="18"/>
                      <w:szCs w:val="18"/>
                      <w:lang w:eastAsia="zh-CN"/>
                    </w:rPr>
                  </w:pPr>
                  <w:r>
                    <w:rPr>
                      <w:rStyle w:val="36"/>
                      <w:rFonts w:hint="eastAsia"/>
                      <w:color w:val="auto"/>
                      <w:sz w:val="18"/>
                      <w:szCs w:val="18"/>
                    </w:rPr>
                    <w:t>900-001-S6</w:t>
                  </w:r>
                  <w:r>
                    <w:rPr>
                      <w:rStyle w:val="36"/>
                      <w:rFonts w:hint="eastAsia"/>
                      <w:color w:val="auto"/>
                      <w:sz w:val="18"/>
                      <w:szCs w:val="18"/>
                      <w:lang w:val="en-US" w:eastAsia="zh-CN"/>
                    </w:rPr>
                    <w:t>4</w:t>
                  </w:r>
                </w:p>
              </w:tc>
              <w:tc>
                <w:tcPr>
                  <w:tcW w:w="470" w:type="pct"/>
                  <w:tcBorders>
                    <w:tl2br w:val="nil"/>
                    <w:tr2bl w:val="nil"/>
                  </w:tcBorders>
                  <w:vAlign w:val="center"/>
                </w:tcPr>
                <w:p w14:paraId="607D3622">
                  <w:pPr>
                    <w:pStyle w:val="24"/>
                    <w:spacing w:before="0" w:beforeAutospacing="0" w:after="0" w:afterAutospacing="0"/>
                    <w:jc w:val="center"/>
                    <w:rPr>
                      <w:rStyle w:val="36"/>
                      <w:rFonts w:hint="eastAsia"/>
                      <w:color w:val="auto"/>
                      <w:sz w:val="18"/>
                      <w:szCs w:val="18"/>
                    </w:rPr>
                  </w:pPr>
                  <w:r>
                    <w:rPr>
                      <w:rStyle w:val="36"/>
                      <w:rFonts w:hint="eastAsia"/>
                      <w:color w:val="auto"/>
                      <w:sz w:val="18"/>
                      <w:szCs w:val="18"/>
                    </w:rPr>
                    <w:t>环卫部门清运</w:t>
                  </w:r>
                </w:p>
              </w:tc>
              <w:tc>
                <w:tcPr>
                  <w:tcW w:w="476" w:type="pct"/>
                  <w:tcBorders>
                    <w:tl2br w:val="nil"/>
                    <w:tr2bl w:val="nil"/>
                  </w:tcBorders>
                  <w:shd w:val="clear" w:color="auto" w:fill="auto"/>
                  <w:vAlign w:val="center"/>
                </w:tcPr>
                <w:p w14:paraId="3E92AACA">
                  <w:pPr>
                    <w:jc w:val="center"/>
                    <w:rPr>
                      <w:rFonts w:hint="default"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37.5</w:t>
                  </w:r>
                </w:p>
              </w:tc>
              <w:tc>
                <w:tcPr>
                  <w:tcW w:w="475" w:type="pct"/>
                  <w:tcBorders>
                    <w:tl2br w:val="nil"/>
                    <w:tr2bl w:val="nil"/>
                  </w:tcBorders>
                  <w:vAlign w:val="center"/>
                </w:tcPr>
                <w:p w14:paraId="1BAEEB91">
                  <w:pPr>
                    <w:pStyle w:val="24"/>
                    <w:spacing w:before="0" w:beforeAutospacing="0" w:after="0" w:afterAutospacing="0"/>
                    <w:jc w:val="center"/>
                    <w:rPr>
                      <w:rStyle w:val="36"/>
                      <w:rFonts w:hint="eastAsia"/>
                      <w:color w:val="auto"/>
                      <w:sz w:val="18"/>
                      <w:szCs w:val="18"/>
                    </w:rPr>
                  </w:pPr>
                  <w:r>
                    <w:rPr>
                      <w:rStyle w:val="36"/>
                      <w:rFonts w:hint="eastAsia"/>
                      <w:color w:val="auto"/>
                      <w:sz w:val="18"/>
                      <w:szCs w:val="18"/>
                    </w:rPr>
                    <w:t>/</w:t>
                  </w:r>
                </w:p>
              </w:tc>
            </w:tr>
            <w:tr w14:paraId="7B024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70FF1E17">
                  <w:pPr>
                    <w:jc w:val="center"/>
                    <w:rPr>
                      <w:rFonts w:hint="eastAsia" w:hAnsi="宋体"/>
                      <w:color w:val="auto"/>
                      <w:sz w:val="18"/>
                      <w:szCs w:val="18"/>
                    </w:rPr>
                  </w:pPr>
                  <w:r>
                    <w:rPr>
                      <w:rFonts w:hint="eastAsia" w:hAnsi="宋体"/>
                      <w:color w:val="auto"/>
                      <w:sz w:val="18"/>
                      <w:szCs w:val="18"/>
                    </w:rPr>
                    <w:t>中频炉废炉渣</w:t>
                  </w:r>
                </w:p>
              </w:tc>
              <w:tc>
                <w:tcPr>
                  <w:tcW w:w="494" w:type="pct"/>
                  <w:tcBorders>
                    <w:tl2br w:val="nil"/>
                    <w:tr2bl w:val="nil"/>
                  </w:tcBorders>
                  <w:vAlign w:val="center"/>
                </w:tcPr>
                <w:p w14:paraId="5A0E4A17">
                  <w:pPr>
                    <w:jc w:val="center"/>
                    <w:rPr>
                      <w:rFonts w:hint="eastAsia" w:eastAsia="宋体"/>
                      <w:color w:val="auto"/>
                      <w:sz w:val="18"/>
                      <w:szCs w:val="18"/>
                      <w:lang w:val="en-US" w:eastAsia="zh-CN"/>
                    </w:rPr>
                  </w:pPr>
                  <w:r>
                    <w:rPr>
                      <w:rFonts w:hint="eastAsia"/>
                      <w:color w:val="auto"/>
                      <w:sz w:val="18"/>
                      <w:szCs w:val="18"/>
                      <w:lang w:val="en-US" w:eastAsia="zh-CN"/>
                    </w:rPr>
                    <w:t>熔化</w:t>
                  </w:r>
                </w:p>
              </w:tc>
              <w:tc>
                <w:tcPr>
                  <w:tcW w:w="440" w:type="pct"/>
                  <w:tcBorders>
                    <w:tl2br w:val="nil"/>
                    <w:tr2bl w:val="nil"/>
                  </w:tcBorders>
                  <w:vAlign w:val="center"/>
                </w:tcPr>
                <w:p w14:paraId="3DCB30F4">
                  <w:pPr>
                    <w:jc w:val="center"/>
                    <w:rPr>
                      <w:rStyle w:val="36"/>
                      <w:rFonts w:hint="default"/>
                      <w:color w:val="auto"/>
                      <w:sz w:val="18"/>
                      <w:szCs w:val="18"/>
                      <w:lang w:val="en-US" w:eastAsia="zh-CN"/>
                    </w:rPr>
                  </w:pPr>
                  <w:r>
                    <w:rPr>
                      <w:rStyle w:val="36"/>
                      <w:rFonts w:hint="eastAsia"/>
                      <w:color w:val="auto"/>
                      <w:sz w:val="18"/>
                      <w:szCs w:val="18"/>
                      <w:lang w:val="en-US" w:eastAsia="zh-CN"/>
                    </w:rPr>
                    <w:t>626.24</w:t>
                  </w:r>
                </w:p>
              </w:tc>
              <w:tc>
                <w:tcPr>
                  <w:tcW w:w="470" w:type="pct"/>
                  <w:tcBorders>
                    <w:tl2br w:val="nil"/>
                    <w:tr2bl w:val="nil"/>
                  </w:tcBorders>
                  <w:vAlign w:val="center"/>
                </w:tcPr>
                <w:p w14:paraId="3FCB8B26">
                  <w:pPr>
                    <w:jc w:val="center"/>
                    <w:rPr>
                      <w:rFonts w:hint="default" w:eastAsia="宋体"/>
                      <w:color w:val="auto"/>
                      <w:sz w:val="18"/>
                      <w:szCs w:val="18"/>
                      <w:lang w:val="en-US" w:eastAsia="zh-CN"/>
                    </w:rPr>
                  </w:pPr>
                  <w:r>
                    <w:rPr>
                      <w:rFonts w:hint="eastAsia"/>
                      <w:color w:val="auto"/>
                      <w:sz w:val="18"/>
                      <w:szCs w:val="18"/>
                      <w:lang w:val="en-US" w:eastAsia="zh-CN"/>
                    </w:rPr>
                    <w:t>氧化铁</w:t>
                  </w:r>
                </w:p>
              </w:tc>
              <w:tc>
                <w:tcPr>
                  <w:tcW w:w="357" w:type="pct"/>
                  <w:vMerge w:val="restart"/>
                  <w:tcBorders>
                    <w:tl2br w:val="nil"/>
                    <w:tr2bl w:val="nil"/>
                  </w:tcBorders>
                  <w:vAlign w:val="center"/>
                </w:tcPr>
                <w:p w14:paraId="0327CD16">
                  <w:pPr>
                    <w:jc w:val="center"/>
                    <w:rPr>
                      <w:color w:val="auto"/>
                      <w:sz w:val="18"/>
                      <w:szCs w:val="18"/>
                    </w:rPr>
                  </w:pPr>
                  <w:r>
                    <w:rPr>
                      <w:rFonts w:hint="eastAsia"/>
                      <w:color w:val="auto"/>
                      <w:sz w:val="18"/>
                      <w:szCs w:val="18"/>
                    </w:rPr>
                    <w:t>一般工业固体废物</w:t>
                  </w:r>
                </w:p>
              </w:tc>
              <w:tc>
                <w:tcPr>
                  <w:tcW w:w="309" w:type="pct"/>
                  <w:tcBorders>
                    <w:tl2br w:val="nil"/>
                    <w:tr2bl w:val="nil"/>
                  </w:tcBorders>
                  <w:vAlign w:val="center"/>
                </w:tcPr>
                <w:p w14:paraId="3CE8E83D">
                  <w:pPr>
                    <w:jc w:val="center"/>
                    <w:rPr>
                      <w:rFonts w:hint="eastAsia" w:hAnsi="宋体"/>
                      <w:color w:val="auto"/>
                      <w:sz w:val="18"/>
                      <w:szCs w:val="18"/>
                    </w:rPr>
                  </w:pPr>
                  <w:r>
                    <w:rPr>
                      <w:rFonts w:hint="eastAsia" w:hAnsi="宋体"/>
                      <w:color w:val="auto"/>
                      <w:sz w:val="18"/>
                      <w:szCs w:val="18"/>
                    </w:rPr>
                    <w:t>固态</w:t>
                  </w:r>
                </w:p>
              </w:tc>
              <w:tc>
                <w:tcPr>
                  <w:tcW w:w="363" w:type="pct"/>
                  <w:tcBorders>
                    <w:tl2br w:val="nil"/>
                    <w:tr2bl w:val="nil"/>
                  </w:tcBorders>
                  <w:vAlign w:val="center"/>
                </w:tcPr>
                <w:p w14:paraId="5B78F21C">
                  <w:pPr>
                    <w:jc w:val="center"/>
                    <w:rPr>
                      <w:rFonts w:hint="eastAsia" w:hAnsi="宋体" w:eastAsia="宋体"/>
                      <w:color w:val="auto"/>
                      <w:sz w:val="18"/>
                      <w:szCs w:val="18"/>
                      <w:lang w:val="en-US" w:eastAsia="zh-CN"/>
                    </w:rPr>
                  </w:pPr>
                  <w:r>
                    <w:rPr>
                      <w:rFonts w:hint="eastAsia" w:hAnsi="宋体"/>
                      <w:color w:val="auto"/>
                      <w:sz w:val="18"/>
                      <w:szCs w:val="18"/>
                      <w:lang w:val="en-US" w:eastAsia="zh-CN"/>
                    </w:rPr>
                    <w:t>SW03</w:t>
                  </w:r>
                </w:p>
              </w:tc>
              <w:tc>
                <w:tcPr>
                  <w:tcW w:w="660" w:type="pct"/>
                  <w:tcBorders>
                    <w:tl2br w:val="nil"/>
                    <w:tr2bl w:val="nil"/>
                  </w:tcBorders>
                  <w:vAlign w:val="center"/>
                </w:tcPr>
                <w:p w14:paraId="124468B7">
                  <w:pPr>
                    <w:jc w:val="center"/>
                    <w:rPr>
                      <w:rStyle w:val="36"/>
                      <w:rFonts w:hint="eastAsia"/>
                      <w:color w:val="auto"/>
                      <w:sz w:val="18"/>
                      <w:szCs w:val="18"/>
                    </w:rPr>
                  </w:pPr>
                  <w:r>
                    <w:rPr>
                      <w:rStyle w:val="36"/>
                      <w:rFonts w:hint="eastAsia"/>
                      <w:color w:val="auto"/>
                      <w:sz w:val="18"/>
                      <w:szCs w:val="18"/>
                    </w:rPr>
                    <w:t>900-099-S03</w:t>
                  </w:r>
                </w:p>
              </w:tc>
              <w:tc>
                <w:tcPr>
                  <w:tcW w:w="470" w:type="pct"/>
                  <w:tcBorders>
                    <w:tl2br w:val="nil"/>
                    <w:tr2bl w:val="nil"/>
                  </w:tcBorders>
                  <w:vAlign w:val="center"/>
                </w:tcPr>
                <w:p w14:paraId="336854BA">
                  <w:pPr>
                    <w:pStyle w:val="24"/>
                    <w:spacing w:before="0" w:beforeAutospacing="0" w:after="0" w:afterAutospacing="0"/>
                    <w:jc w:val="center"/>
                    <w:rPr>
                      <w:rStyle w:val="36"/>
                      <w:rFonts w:hint="eastAsia"/>
                      <w:color w:val="auto"/>
                      <w:sz w:val="18"/>
                      <w:szCs w:val="18"/>
                    </w:rPr>
                  </w:pPr>
                  <w:r>
                    <w:rPr>
                      <w:rStyle w:val="36"/>
                      <w:rFonts w:hint="eastAsia"/>
                      <w:color w:val="auto"/>
                      <w:sz w:val="18"/>
                      <w:szCs w:val="18"/>
                    </w:rPr>
                    <w:t>外售水泥厂综合利用</w:t>
                  </w:r>
                </w:p>
              </w:tc>
              <w:tc>
                <w:tcPr>
                  <w:tcW w:w="476" w:type="pct"/>
                  <w:tcBorders>
                    <w:tl2br w:val="nil"/>
                    <w:tr2bl w:val="nil"/>
                  </w:tcBorders>
                  <w:shd w:val="clear" w:color="auto" w:fill="auto"/>
                  <w:vAlign w:val="center"/>
                </w:tcPr>
                <w:p w14:paraId="1B4DEAFB">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626.24</w:t>
                  </w:r>
                </w:p>
              </w:tc>
              <w:tc>
                <w:tcPr>
                  <w:tcW w:w="475" w:type="pct"/>
                  <w:vMerge w:val="restart"/>
                  <w:tcBorders>
                    <w:tl2br w:val="nil"/>
                    <w:tr2bl w:val="nil"/>
                  </w:tcBorders>
                  <w:vAlign w:val="center"/>
                </w:tcPr>
                <w:p w14:paraId="50F4A09E">
                  <w:pPr>
                    <w:pStyle w:val="24"/>
                    <w:spacing w:before="0" w:beforeAutospacing="0" w:after="0" w:afterAutospacing="0"/>
                    <w:jc w:val="center"/>
                    <w:rPr>
                      <w:rStyle w:val="36"/>
                      <w:rFonts w:hint="default" w:eastAsia="宋体"/>
                      <w:color w:val="auto"/>
                      <w:sz w:val="18"/>
                      <w:szCs w:val="18"/>
                      <w:lang w:val="en-US" w:eastAsia="zh-CN"/>
                    </w:rPr>
                  </w:pPr>
                  <w:r>
                    <w:rPr>
                      <w:rStyle w:val="36"/>
                      <w:rFonts w:hint="eastAsia"/>
                      <w:color w:val="auto"/>
                      <w:sz w:val="18"/>
                      <w:szCs w:val="18"/>
                      <w:lang w:val="en-US" w:eastAsia="zh-CN"/>
                    </w:rPr>
                    <w:t>暂存于一般固废间，做好管理台账</w:t>
                  </w:r>
                </w:p>
              </w:tc>
            </w:tr>
            <w:tr w14:paraId="74EAB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08963DB6">
                  <w:pPr>
                    <w:jc w:val="center"/>
                    <w:rPr>
                      <w:rFonts w:hint="eastAsia" w:hAnsi="宋体"/>
                      <w:color w:val="auto"/>
                      <w:sz w:val="18"/>
                      <w:szCs w:val="18"/>
                    </w:rPr>
                  </w:pPr>
                  <w:r>
                    <w:rPr>
                      <w:rFonts w:hint="eastAsia" w:hAnsi="宋体"/>
                      <w:color w:val="auto"/>
                      <w:sz w:val="18"/>
                      <w:szCs w:val="18"/>
                    </w:rPr>
                    <w:t>废砂</w:t>
                  </w:r>
                </w:p>
              </w:tc>
              <w:tc>
                <w:tcPr>
                  <w:tcW w:w="494" w:type="pct"/>
                  <w:tcBorders>
                    <w:tl2br w:val="nil"/>
                    <w:tr2bl w:val="nil"/>
                  </w:tcBorders>
                  <w:vAlign w:val="center"/>
                </w:tcPr>
                <w:p w14:paraId="581C027F">
                  <w:pPr>
                    <w:jc w:val="center"/>
                    <w:rPr>
                      <w:rFonts w:hint="eastAsia" w:hAnsi="宋体"/>
                      <w:color w:val="auto"/>
                      <w:sz w:val="18"/>
                      <w:szCs w:val="18"/>
                      <w:lang w:val="en-US" w:eastAsia="zh-CN"/>
                    </w:rPr>
                  </w:pPr>
                  <w:r>
                    <w:rPr>
                      <w:rFonts w:hint="eastAsia" w:hAnsi="宋体"/>
                      <w:color w:val="auto"/>
                      <w:sz w:val="18"/>
                      <w:szCs w:val="18"/>
                      <w:lang w:val="en-US" w:eastAsia="zh-CN"/>
                    </w:rPr>
                    <w:t>砂再生</w:t>
                  </w:r>
                </w:p>
              </w:tc>
              <w:tc>
                <w:tcPr>
                  <w:tcW w:w="440" w:type="pct"/>
                  <w:tcBorders>
                    <w:tl2br w:val="nil"/>
                    <w:tr2bl w:val="nil"/>
                  </w:tcBorders>
                  <w:vAlign w:val="center"/>
                </w:tcPr>
                <w:p w14:paraId="6CBA9CF5">
                  <w:pPr>
                    <w:jc w:val="center"/>
                    <w:rPr>
                      <w:rStyle w:val="36"/>
                      <w:rFonts w:hint="default"/>
                      <w:color w:val="auto"/>
                      <w:sz w:val="18"/>
                      <w:szCs w:val="18"/>
                      <w:lang w:val="en-US" w:eastAsia="zh-CN"/>
                    </w:rPr>
                  </w:pPr>
                  <w:r>
                    <w:rPr>
                      <w:rStyle w:val="36"/>
                      <w:rFonts w:hint="eastAsia"/>
                      <w:color w:val="auto"/>
                      <w:sz w:val="18"/>
                      <w:szCs w:val="18"/>
                      <w:lang w:val="en-US" w:eastAsia="zh-CN"/>
                    </w:rPr>
                    <w:t>1840</w:t>
                  </w:r>
                </w:p>
              </w:tc>
              <w:tc>
                <w:tcPr>
                  <w:tcW w:w="470" w:type="pct"/>
                  <w:tcBorders>
                    <w:tl2br w:val="nil"/>
                    <w:tr2bl w:val="nil"/>
                  </w:tcBorders>
                  <w:vAlign w:val="center"/>
                </w:tcPr>
                <w:p w14:paraId="0110757D">
                  <w:pPr>
                    <w:jc w:val="center"/>
                    <w:rPr>
                      <w:rFonts w:hint="default" w:eastAsia="宋体"/>
                      <w:color w:val="auto"/>
                      <w:sz w:val="18"/>
                      <w:szCs w:val="18"/>
                      <w:lang w:val="en-US" w:eastAsia="zh-CN"/>
                    </w:rPr>
                  </w:pPr>
                  <w:r>
                    <w:rPr>
                      <w:rFonts w:hint="eastAsia"/>
                      <w:color w:val="auto"/>
                      <w:sz w:val="18"/>
                      <w:szCs w:val="18"/>
                      <w:lang w:val="en-US" w:eastAsia="zh-CN"/>
                    </w:rPr>
                    <w:t>石英砂、粘土等</w:t>
                  </w:r>
                </w:p>
              </w:tc>
              <w:tc>
                <w:tcPr>
                  <w:tcW w:w="357" w:type="pct"/>
                  <w:vMerge w:val="continue"/>
                  <w:tcBorders>
                    <w:tl2br w:val="nil"/>
                    <w:tr2bl w:val="nil"/>
                  </w:tcBorders>
                  <w:vAlign w:val="center"/>
                </w:tcPr>
                <w:p w14:paraId="1F427425">
                  <w:pPr>
                    <w:jc w:val="center"/>
                    <w:rPr>
                      <w:rFonts w:hint="eastAsia"/>
                      <w:color w:val="auto"/>
                      <w:sz w:val="18"/>
                      <w:szCs w:val="18"/>
                    </w:rPr>
                  </w:pPr>
                </w:p>
              </w:tc>
              <w:tc>
                <w:tcPr>
                  <w:tcW w:w="309" w:type="pct"/>
                  <w:tcBorders>
                    <w:tl2br w:val="nil"/>
                    <w:tr2bl w:val="nil"/>
                  </w:tcBorders>
                  <w:shd w:val="clear" w:color="auto" w:fill="auto"/>
                  <w:vAlign w:val="center"/>
                </w:tcPr>
                <w:p w14:paraId="53D6C1DE">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rPr>
                    <w:t>固态</w:t>
                  </w:r>
                </w:p>
              </w:tc>
              <w:tc>
                <w:tcPr>
                  <w:tcW w:w="363" w:type="pct"/>
                  <w:tcBorders>
                    <w:tl2br w:val="nil"/>
                    <w:tr2bl w:val="nil"/>
                  </w:tcBorders>
                  <w:shd w:val="clear" w:color="auto" w:fill="auto"/>
                  <w:vAlign w:val="center"/>
                </w:tcPr>
                <w:p w14:paraId="721B480B">
                  <w:pPr>
                    <w:jc w:val="center"/>
                    <w:rPr>
                      <w:rFonts w:hint="eastAsia" w:hAnsi="宋体" w:eastAsia="宋体"/>
                      <w:color w:val="auto"/>
                      <w:sz w:val="18"/>
                      <w:szCs w:val="18"/>
                      <w:lang w:val="en-US" w:eastAsia="zh-CN"/>
                    </w:rPr>
                  </w:pPr>
                  <w:r>
                    <w:rPr>
                      <w:rFonts w:hint="eastAsia" w:hAnsi="宋体"/>
                      <w:color w:val="auto"/>
                      <w:sz w:val="18"/>
                      <w:szCs w:val="18"/>
                      <w:lang w:val="en-US" w:eastAsia="zh-CN"/>
                    </w:rPr>
                    <w:t>SW59</w:t>
                  </w:r>
                </w:p>
              </w:tc>
              <w:tc>
                <w:tcPr>
                  <w:tcW w:w="660" w:type="pct"/>
                  <w:tcBorders>
                    <w:tl2br w:val="nil"/>
                    <w:tr2bl w:val="nil"/>
                  </w:tcBorders>
                  <w:vAlign w:val="center"/>
                </w:tcPr>
                <w:p w14:paraId="6B50C4CF">
                  <w:pPr>
                    <w:jc w:val="center"/>
                    <w:rPr>
                      <w:rStyle w:val="36"/>
                      <w:rFonts w:hint="eastAsia"/>
                      <w:color w:val="auto"/>
                      <w:sz w:val="18"/>
                      <w:szCs w:val="18"/>
                    </w:rPr>
                  </w:pPr>
                  <w:r>
                    <w:rPr>
                      <w:rStyle w:val="36"/>
                      <w:rFonts w:hint="eastAsia"/>
                      <w:color w:val="auto"/>
                      <w:sz w:val="18"/>
                      <w:szCs w:val="18"/>
                    </w:rPr>
                    <w:t>900-001-S59</w:t>
                  </w:r>
                </w:p>
              </w:tc>
              <w:tc>
                <w:tcPr>
                  <w:tcW w:w="470" w:type="pct"/>
                  <w:vMerge w:val="restart"/>
                  <w:tcBorders>
                    <w:tl2br w:val="nil"/>
                    <w:tr2bl w:val="nil"/>
                  </w:tcBorders>
                  <w:vAlign w:val="center"/>
                </w:tcPr>
                <w:p w14:paraId="23347720">
                  <w:pPr>
                    <w:pStyle w:val="24"/>
                    <w:spacing w:before="0" w:beforeAutospacing="0" w:after="0" w:afterAutospacing="0"/>
                    <w:jc w:val="center"/>
                    <w:rPr>
                      <w:rStyle w:val="36"/>
                      <w:rFonts w:hint="eastAsia"/>
                      <w:color w:val="auto"/>
                      <w:sz w:val="18"/>
                      <w:szCs w:val="18"/>
                    </w:rPr>
                  </w:pPr>
                  <w:r>
                    <w:rPr>
                      <w:rStyle w:val="36"/>
                      <w:rFonts w:hint="eastAsia"/>
                      <w:color w:val="auto"/>
                      <w:sz w:val="18"/>
                      <w:szCs w:val="18"/>
                    </w:rPr>
                    <w:t>由相关单位回收利用</w:t>
                  </w:r>
                </w:p>
              </w:tc>
              <w:tc>
                <w:tcPr>
                  <w:tcW w:w="476" w:type="pct"/>
                  <w:tcBorders>
                    <w:tl2br w:val="nil"/>
                    <w:tr2bl w:val="nil"/>
                  </w:tcBorders>
                  <w:shd w:val="clear" w:color="auto" w:fill="auto"/>
                  <w:vAlign w:val="center"/>
                </w:tcPr>
                <w:p w14:paraId="6CE73A34">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1840</w:t>
                  </w:r>
                </w:p>
              </w:tc>
              <w:tc>
                <w:tcPr>
                  <w:tcW w:w="475" w:type="pct"/>
                  <w:vMerge w:val="continue"/>
                  <w:tcBorders>
                    <w:tl2br w:val="nil"/>
                    <w:tr2bl w:val="nil"/>
                  </w:tcBorders>
                  <w:vAlign w:val="center"/>
                </w:tcPr>
                <w:p w14:paraId="341AF615">
                  <w:pPr>
                    <w:pStyle w:val="24"/>
                    <w:spacing w:before="0" w:beforeAutospacing="0" w:after="0" w:afterAutospacing="0"/>
                    <w:jc w:val="center"/>
                    <w:rPr>
                      <w:rStyle w:val="36"/>
                      <w:rFonts w:hint="eastAsia"/>
                      <w:color w:val="auto"/>
                      <w:sz w:val="18"/>
                      <w:szCs w:val="18"/>
                    </w:rPr>
                  </w:pPr>
                </w:p>
              </w:tc>
            </w:tr>
            <w:tr w14:paraId="714BA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78EE4009">
                  <w:pPr>
                    <w:jc w:val="center"/>
                    <w:rPr>
                      <w:rFonts w:hint="eastAsia" w:hAnsi="宋体"/>
                      <w:color w:val="auto"/>
                      <w:sz w:val="18"/>
                      <w:szCs w:val="18"/>
                    </w:rPr>
                  </w:pPr>
                  <w:r>
                    <w:rPr>
                      <w:rFonts w:hint="eastAsia" w:hAnsi="宋体"/>
                      <w:color w:val="auto"/>
                      <w:sz w:val="18"/>
                      <w:szCs w:val="18"/>
                      <w:lang w:eastAsia="zh-CN"/>
                    </w:rPr>
                    <w:t>袋式除尘器</w:t>
                  </w:r>
                  <w:r>
                    <w:rPr>
                      <w:rFonts w:hint="eastAsia" w:hAnsi="宋体"/>
                      <w:color w:val="auto"/>
                      <w:sz w:val="18"/>
                      <w:szCs w:val="18"/>
                    </w:rPr>
                    <w:t>粉尘</w:t>
                  </w:r>
                </w:p>
              </w:tc>
              <w:tc>
                <w:tcPr>
                  <w:tcW w:w="494" w:type="pct"/>
                  <w:tcBorders>
                    <w:tl2br w:val="nil"/>
                    <w:tr2bl w:val="nil"/>
                  </w:tcBorders>
                  <w:vAlign w:val="center"/>
                </w:tcPr>
                <w:p w14:paraId="09A44975">
                  <w:pPr>
                    <w:jc w:val="center"/>
                    <w:rPr>
                      <w:rFonts w:hint="default" w:eastAsia="宋体"/>
                      <w:color w:val="auto"/>
                      <w:sz w:val="18"/>
                      <w:szCs w:val="18"/>
                      <w:lang w:val="en-US" w:eastAsia="zh-CN"/>
                    </w:rPr>
                  </w:pPr>
                  <w:r>
                    <w:rPr>
                      <w:rFonts w:hint="eastAsia"/>
                      <w:color w:val="auto"/>
                      <w:sz w:val="18"/>
                      <w:szCs w:val="18"/>
                      <w:lang w:val="en-US" w:eastAsia="zh-CN"/>
                    </w:rPr>
                    <w:t>烟尘废气除尘</w:t>
                  </w:r>
                </w:p>
              </w:tc>
              <w:tc>
                <w:tcPr>
                  <w:tcW w:w="440" w:type="pct"/>
                  <w:tcBorders>
                    <w:tl2br w:val="nil"/>
                    <w:tr2bl w:val="nil"/>
                  </w:tcBorders>
                  <w:vAlign w:val="center"/>
                </w:tcPr>
                <w:p w14:paraId="3C6A908E">
                  <w:pPr>
                    <w:jc w:val="center"/>
                    <w:rPr>
                      <w:rStyle w:val="36"/>
                      <w:rFonts w:hint="default"/>
                      <w:color w:val="auto"/>
                      <w:sz w:val="18"/>
                      <w:szCs w:val="18"/>
                      <w:lang w:val="en-US" w:eastAsia="zh-CN"/>
                    </w:rPr>
                  </w:pPr>
                  <w:r>
                    <w:rPr>
                      <w:rStyle w:val="36"/>
                      <w:rFonts w:hint="eastAsia"/>
                      <w:color w:val="auto"/>
                      <w:sz w:val="18"/>
                      <w:szCs w:val="18"/>
                      <w:lang w:val="en-US" w:eastAsia="zh-CN"/>
                    </w:rPr>
                    <w:t>367.470</w:t>
                  </w:r>
                </w:p>
              </w:tc>
              <w:tc>
                <w:tcPr>
                  <w:tcW w:w="470" w:type="pct"/>
                  <w:tcBorders>
                    <w:tl2br w:val="nil"/>
                    <w:tr2bl w:val="nil"/>
                  </w:tcBorders>
                  <w:vAlign w:val="center"/>
                </w:tcPr>
                <w:p w14:paraId="30D0B068">
                  <w:pPr>
                    <w:jc w:val="center"/>
                    <w:rPr>
                      <w:rFonts w:hint="default" w:eastAsia="宋体"/>
                      <w:color w:val="auto"/>
                      <w:sz w:val="18"/>
                      <w:szCs w:val="18"/>
                      <w:lang w:val="en-US" w:eastAsia="zh-CN"/>
                    </w:rPr>
                  </w:pPr>
                  <w:r>
                    <w:rPr>
                      <w:rFonts w:hint="eastAsia"/>
                      <w:color w:val="auto"/>
                      <w:sz w:val="18"/>
                      <w:szCs w:val="18"/>
                      <w:lang w:val="en-US" w:eastAsia="zh-CN"/>
                    </w:rPr>
                    <w:t>金属氧化物颗粒</w:t>
                  </w:r>
                </w:p>
              </w:tc>
              <w:tc>
                <w:tcPr>
                  <w:tcW w:w="357" w:type="pct"/>
                  <w:vMerge w:val="continue"/>
                  <w:tcBorders>
                    <w:tl2br w:val="nil"/>
                    <w:tr2bl w:val="nil"/>
                  </w:tcBorders>
                  <w:vAlign w:val="center"/>
                </w:tcPr>
                <w:p w14:paraId="57BD16C6">
                  <w:pPr>
                    <w:jc w:val="center"/>
                    <w:rPr>
                      <w:rFonts w:hint="eastAsia"/>
                      <w:color w:val="auto"/>
                      <w:sz w:val="18"/>
                      <w:szCs w:val="18"/>
                    </w:rPr>
                  </w:pPr>
                </w:p>
              </w:tc>
              <w:tc>
                <w:tcPr>
                  <w:tcW w:w="309" w:type="pct"/>
                  <w:tcBorders>
                    <w:tl2br w:val="nil"/>
                    <w:tr2bl w:val="nil"/>
                  </w:tcBorders>
                  <w:shd w:val="clear" w:color="auto" w:fill="auto"/>
                  <w:vAlign w:val="center"/>
                </w:tcPr>
                <w:p w14:paraId="507C24BC">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rPr>
                    <w:t>固态</w:t>
                  </w:r>
                </w:p>
              </w:tc>
              <w:tc>
                <w:tcPr>
                  <w:tcW w:w="363" w:type="pct"/>
                  <w:tcBorders>
                    <w:tl2br w:val="nil"/>
                    <w:tr2bl w:val="nil"/>
                  </w:tcBorders>
                  <w:shd w:val="clear" w:color="auto" w:fill="auto"/>
                  <w:vAlign w:val="center"/>
                </w:tcPr>
                <w:p w14:paraId="42A7BB07">
                  <w:pPr>
                    <w:jc w:val="center"/>
                    <w:rPr>
                      <w:rFonts w:hint="eastAsia" w:hAnsi="宋体"/>
                      <w:color w:val="auto"/>
                      <w:sz w:val="18"/>
                      <w:szCs w:val="18"/>
                    </w:rPr>
                  </w:pPr>
                  <w:r>
                    <w:rPr>
                      <w:rFonts w:hint="eastAsia" w:hAnsi="宋体"/>
                      <w:color w:val="auto"/>
                      <w:sz w:val="18"/>
                      <w:szCs w:val="18"/>
                      <w:lang w:val="en-US" w:eastAsia="zh-CN"/>
                    </w:rPr>
                    <w:t>SW59</w:t>
                  </w:r>
                </w:p>
              </w:tc>
              <w:tc>
                <w:tcPr>
                  <w:tcW w:w="660" w:type="pct"/>
                  <w:tcBorders>
                    <w:tl2br w:val="nil"/>
                    <w:tr2bl w:val="nil"/>
                  </w:tcBorders>
                  <w:vAlign w:val="center"/>
                </w:tcPr>
                <w:p w14:paraId="1F2A9ABE">
                  <w:pPr>
                    <w:jc w:val="center"/>
                    <w:rPr>
                      <w:rStyle w:val="36"/>
                      <w:rFonts w:hint="eastAsia"/>
                      <w:color w:val="auto"/>
                      <w:sz w:val="18"/>
                      <w:szCs w:val="18"/>
                    </w:rPr>
                  </w:pPr>
                  <w:r>
                    <w:rPr>
                      <w:rStyle w:val="36"/>
                      <w:rFonts w:hint="eastAsia"/>
                      <w:color w:val="auto"/>
                      <w:sz w:val="18"/>
                      <w:szCs w:val="18"/>
                    </w:rPr>
                    <w:t>900-099-S59</w:t>
                  </w:r>
                </w:p>
              </w:tc>
              <w:tc>
                <w:tcPr>
                  <w:tcW w:w="470" w:type="pct"/>
                  <w:vMerge w:val="continue"/>
                  <w:tcBorders>
                    <w:tl2br w:val="nil"/>
                    <w:tr2bl w:val="nil"/>
                  </w:tcBorders>
                  <w:vAlign w:val="center"/>
                </w:tcPr>
                <w:p w14:paraId="08959E73">
                  <w:pPr>
                    <w:pStyle w:val="24"/>
                    <w:spacing w:before="0" w:beforeAutospacing="0" w:after="0" w:afterAutospacing="0"/>
                    <w:jc w:val="center"/>
                    <w:rPr>
                      <w:rStyle w:val="36"/>
                      <w:rFonts w:hint="eastAsia"/>
                      <w:color w:val="auto"/>
                      <w:sz w:val="18"/>
                      <w:szCs w:val="18"/>
                    </w:rPr>
                  </w:pPr>
                </w:p>
              </w:tc>
              <w:tc>
                <w:tcPr>
                  <w:tcW w:w="476" w:type="pct"/>
                  <w:tcBorders>
                    <w:tl2br w:val="nil"/>
                    <w:tr2bl w:val="nil"/>
                  </w:tcBorders>
                  <w:shd w:val="clear" w:color="auto" w:fill="auto"/>
                  <w:vAlign w:val="center"/>
                </w:tcPr>
                <w:p w14:paraId="2217DBA7">
                  <w:pPr>
                    <w:jc w:val="center"/>
                    <w:rPr>
                      <w:rFonts w:hint="default"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367.470</w:t>
                  </w:r>
                </w:p>
              </w:tc>
              <w:tc>
                <w:tcPr>
                  <w:tcW w:w="475" w:type="pct"/>
                  <w:vMerge w:val="continue"/>
                  <w:tcBorders>
                    <w:tl2br w:val="nil"/>
                    <w:tr2bl w:val="nil"/>
                  </w:tcBorders>
                  <w:vAlign w:val="center"/>
                </w:tcPr>
                <w:p w14:paraId="1C27793E">
                  <w:pPr>
                    <w:pStyle w:val="24"/>
                    <w:spacing w:before="0" w:beforeAutospacing="0" w:after="0" w:afterAutospacing="0"/>
                    <w:jc w:val="center"/>
                    <w:rPr>
                      <w:rStyle w:val="36"/>
                      <w:rFonts w:hint="eastAsia"/>
                      <w:color w:val="auto"/>
                      <w:sz w:val="18"/>
                      <w:szCs w:val="18"/>
                    </w:rPr>
                  </w:pPr>
                </w:p>
              </w:tc>
            </w:tr>
            <w:tr w14:paraId="3E408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5F23FACB">
                  <w:pPr>
                    <w:jc w:val="center"/>
                    <w:rPr>
                      <w:rFonts w:hint="default" w:hAnsi="宋体" w:eastAsia="宋体"/>
                      <w:color w:val="auto"/>
                      <w:sz w:val="18"/>
                      <w:szCs w:val="18"/>
                      <w:lang w:val="en-US" w:eastAsia="zh-CN"/>
                    </w:rPr>
                  </w:pPr>
                  <w:r>
                    <w:rPr>
                      <w:rFonts w:hint="eastAsia" w:hAnsi="宋体"/>
                      <w:color w:val="auto"/>
                      <w:sz w:val="18"/>
                      <w:szCs w:val="18"/>
                      <w:lang w:val="en-US" w:eastAsia="zh-CN"/>
                    </w:rPr>
                    <w:t>废石蜡</w:t>
                  </w:r>
                </w:p>
              </w:tc>
              <w:tc>
                <w:tcPr>
                  <w:tcW w:w="494" w:type="pct"/>
                  <w:tcBorders>
                    <w:tl2br w:val="nil"/>
                    <w:tr2bl w:val="nil"/>
                  </w:tcBorders>
                  <w:vAlign w:val="center"/>
                </w:tcPr>
                <w:p w14:paraId="272E7A69">
                  <w:pPr>
                    <w:jc w:val="center"/>
                    <w:rPr>
                      <w:rFonts w:hint="eastAsia" w:eastAsia="宋体"/>
                      <w:color w:val="auto"/>
                      <w:sz w:val="18"/>
                      <w:szCs w:val="18"/>
                      <w:lang w:val="en-US" w:eastAsia="zh-CN"/>
                    </w:rPr>
                  </w:pPr>
                  <w:r>
                    <w:rPr>
                      <w:rFonts w:hint="eastAsia"/>
                      <w:color w:val="auto"/>
                      <w:sz w:val="18"/>
                      <w:szCs w:val="18"/>
                      <w:lang w:val="en-US" w:eastAsia="zh-CN"/>
                    </w:rPr>
                    <w:t>蜡回收</w:t>
                  </w:r>
                </w:p>
              </w:tc>
              <w:tc>
                <w:tcPr>
                  <w:tcW w:w="440" w:type="pct"/>
                  <w:tcBorders>
                    <w:tl2br w:val="nil"/>
                    <w:tr2bl w:val="nil"/>
                  </w:tcBorders>
                  <w:vAlign w:val="center"/>
                </w:tcPr>
                <w:p w14:paraId="064B0AE3">
                  <w:pPr>
                    <w:jc w:val="center"/>
                    <w:rPr>
                      <w:rStyle w:val="36"/>
                      <w:rFonts w:hint="default"/>
                      <w:color w:val="auto"/>
                      <w:sz w:val="18"/>
                      <w:szCs w:val="18"/>
                      <w:lang w:val="en-US" w:eastAsia="zh-CN"/>
                    </w:rPr>
                  </w:pPr>
                  <w:r>
                    <w:rPr>
                      <w:rStyle w:val="36"/>
                      <w:rFonts w:hint="eastAsia"/>
                      <w:color w:val="auto"/>
                      <w:sz w:val="18"/>
                      <w:szCs w:val="18"/>
                      <w:lang w:val="en-US" w:eastAsia="zh-CN"/>
                    </w:rPr>
                    <w:t>0.1</w:t>
                  </w:r>
                </w:p>
              </w:tc>
              <w:tc>
                <w:tcPr>
                  <w:tcW w:w="470" w:type="pct"/>
                  <w:tcBorders>
                    <w:tl2br w:val="nil"/>
                    <w:tr2bl w:val="nil"/>
                  </w:tcBorders>
                  <w:vAlign w:val="center"/>
                </w:tcPr>
                <w:p w14:paraId="5D6305B3">
                  <w:pPr>
                    <w:jc w:val="center"/>
                    <w:rPr>
                      <w:rFonts w:hint="eastAsia" w:eastAsia="宋体"/>
                      <w:color w:val="auto"/>
                      <w:sz w:val="18"/>
                      <w:szCs w:val="18"/>
                      <w:lang w:val="en-US" w:eastAsia="zh-CN"/>
                    </w:rPr>
                  </w:pPr>
                  <w:r>
                    <w:rPr>
                      <w:rFonts w:hint="eastAsia"/>
                      <w:color w:val="auto"/>
                      <w:sz w:val="18"/>
                      <w:szCs w:val="18"/>
                      <w:lang w:val="en-US" w:eastAsia="zh-CN"/>
                    </w:rPr>
                    <w:t>石蜡</w:t>
                  </w:r>
                </w:p>
              </w:tc>
              <w:tc>
                <w:tcPr>
                  <w:tcW w:w="357" w:type="pct"/>
                  <w:vMerge w:val="continue"/>
                  <w:tcBorders>
                    <w:tl2br w:val="nil"/>
                    <w:tr2bl w:val="nil"/>
                  </w:tcBorders>
                  <w:vAlign w:val="center"/>
                </w:tcPr>
                <w:p w14:paraId="0E0DC4CF">
                  <w:pPr>
                    <w:jc w:val="center"/>
                    <w:rPr>
                      <w:rFonts w:hint="eastAsia"/>
                      <w:color w:val="auto"/>
                      <w:sz w:val="18"/>
                      <w:szCs w:val="18"/>
                    </w:rPr>
                  </w:pPr>
                </w:p>
              </w:tc>
              <w:tc>
                <w:tcPr>
                  <w:tcW w:w="309" w:type="pct"/>
                  <w:tcBorders>
                    <w:tl2br w:val="nil"/>
                    <w:tr2bl w:val="nil"/>
                  </w:tcBorders>
                  <w:shd w:val="clear" w:color="auto" w:fill="auto"/>
                  <w:vAlign w:val="center"/>
                </w:tcPr>
                <w:p w14:paraId="568A5515">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rPr>
                    <w:t>固态</w:t>
                  </w:r>
                </w:p>
              </w:tc>
              <w:tc>
                <w:tcPr>
                  <w:tcW w:w="363" w:type="pct"/>
                  <w:tcBorders>
                    <w:tl2br w:val="nil"/>
                    <w:tr2bl w:val="nil"/>
                  </w:tcBorders>
                  <w:shd w:val="clear" w:color="auto" w:fill="auto"/>
                  <w:vAlign w:val="center"/>
                </w:tcPr>
                <w:p w14:paraId="7B0A49C3">
                  <w:pPr>
                    <w:jc w:val="center"/>
                    <w:rPr>
                      <w:rFonts w:hint="eastAsia" w:hAnsi="宋体"/>
                      <w:color w:val="auto"/>
                      <w:sz w:val="18"/>
                      <w:szCs w:val="18"/>
                    </w:rPr>
                  </w:pPr>
                  <w:r>
                    <w:rPr>
                      <w:rFonts w:hint="eastAsia" w:hAnsi="宋体"/>
                      <w:color w:val="auto"/>
                      <w:sz w:val="18"/>
                      <w:szCs w:val="18"/>
                      <w:lang w:val="en-US" w:eastAsia="zh-CN"/>
                    </w:rPr>
                    <w:t>SW59</w:t>
                  </w:r>
                </w:p>
              </w:tc>
              <w:tc>
                <w:tcPr>
                  <w:tcW w:w="660" w:type="pct"/>
                  <w:tcBorders>
                    <w:tl2br w:val="nil"/>
                    <w:tr2bl w:val="nil"/>
                  </w:tcBorders>
                  <w:vAlign w:val="center"/>
                </w:tcPr>
                <w:p w14:paraId="4779083C">
                  <w:pPr>
                    <w:jc w:val="center"/>
                    <w:rPr>
                      <w:rStyle w:val="36"/>
                      <w:rFonts w:hint="eastAsia"/>
                      <w:color w:val="auto"/>
                      <w:sz w:val="18"/>
                      <w:szCs w:val="18"/>
                    </w:rPr>
                  </w:pPr>
                  <w:r>
                    <w:rPr>
                      <w:rStyle w:val="36"/>
                      <w:rFonts w:hint="eastAsia"/>
                      <w:color w:val="auto"/>
                      <w:sz w:val="18"/>
                      <w:szCs w:val="18"/>
                    </w:rPr>
                    <w:t>900-099-S59</w:t>
                  </w:r>
                </w:p>
              </w:tc>
              <w:tc>
                <w:tcPr>
                  <w:tcW w:w="470" w:type="pct"/>
                  <w:vMerge w:val="continue"/>
                  <w:tcBorders>
                    <w:tl2br w:val="nil"/>
                    <w:tr2bl w:val="nil"/>
                  </w:tcBorders>
                  <w:vAlign w:val="center"/>
                </w:tcPr>
                <w:p w14:paraId="16887D05">
                  <w:pPr>
                    <w:pStyle w:val="24"/>
                    <w:spacing w:before="0" w:beforeAutospacing="0" w:after="0" w:afterAutospacing="0"/>
                    <w:jc w:val="center"/>
                    <w:rPr>
                      <w:rStyle w:val="36"/>
                      <w:rFonts w:hint="eastAsia"/>
                      <w:color w:val="auto"/>
                      <w:sz w:val="18"/>
                      <w:szCs w:val="18"/>
                    </w:rPr>
                  </w:pPr>
                </w:p>
              </w:tc>
              <w:tc>
                <w:tcPr>
                  <w:tcW w:w="476" w:type="pct"/>
                  <w:tcBorders>
                    <w:tl2br w:val="nil"/>
                    <w:tr2bl w:val="nil"/>
                  </w:tcBorders>
                  <w:shd w:val="clear" w:color="auto" w:fill="auto"/>
                  <w:vAlign w:val="center"/>
                </w:tcPr>
                <w:p w14:paraId="5D1208DE">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0.1</w:t>
                  </w:r>
                </w:p>
              </w:tc>
              <w:tc>
                <w:tcPr>
                  <w:tcW w:w="475" w:type="pct"/>
                  <w:vMerge w:val="continue"/>
                  <w:tcBorders>
                    <w:tl2br w:val="nil"/>
                    <w:tr2bl w:val="nil"/>
                  </w:tcBorders>
                  <w:vAlign w:val="center"/>
                </w:tcPr>
                <w:p w14:paraId="5BFE3338">
                  <w:pPr>
                    <w:pStyle w:val="24"/>
                    <w:spacing w:before="0" w:beforeAutospacing="0" w:after="0" w:afterAutospacing="0"/>
                    <w:jc w:val="center"/>
                    <w:rPr>
                      <w:rStyle w:val="36"/>
                      <w:rFonts w:hint="eastAsia"/>
                      <w:color w:val="auto"/>
                      <w:sz w:val="18"/>
                      <w:szCs w:val="18"/>
                    </w:rPr>
                  </w:pPr>
                </w:p>
              </w:tc>
            </w:tr>
            <w:tr w14:paraId="1EC50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09493156">
                  <w:pPr>
                    <w:jc w:val="center"/>
                    <w:rPr>
                      <w:rFonts w:hint="eastAsia" w:hAnsi="宋体" w:eastAsia="宋体"/>
                      <w:color w:val="auto"/>
                      <w:sz w:val="18"/>
                      <w:szCs w:val="18"/>
                      <w:lang w:val="en-US" w:eastAsia="zh-CN"/>
                    </w:rPr>
                  </w:pPr>
                  <w:r>
                    <w:rPr>
                      <w:rFonts w:hint="eastAsia" w:hAnsi="宋体"/>
                      <w:color w:val="auto"/>
                      <w:sz w:val="18"/>
                      <w:szCs w:val="18"/>
                      <w:lang w:val="en-US" w:eastAsia="zh-CN"/>
                    </w:rPr>
                    <w:t>废边角料</w:t>
                  </w:r>
                </w:p>
              </w:tc>
              <w:tc>
                <w:tcPr>
                  <w:tcW w:w="494" w:type="pct"/>
                  <w:tcBorders>
                    <w:tl2br w:val="nil"/>
                    <w:tr2bl w:val="nil"/>
                  </w:tcBorders>
                  <w:vAlign w:val="center"/>
                </w:tcPr>
                <w:p w14:paraId="635F16DC">
                  <w:pPr>
                    <w:jc w:val="center"/>
                    <w:rPr>
                      <w:rFonts w:hint="default" w:eastAsia="宋体"/>
                      <w:color w:val="auto"/>
                      <w:sz w:val="18"/>
                      <w:szCs w:val="18"/>
                      <w:lang w:val="en-US" w:eastAsia="zh-CN"/>
                    </w:rPr>
                  </w:pPr>
                  <w:r>
                    <w:rPr>
                      <w:rFonts w:hint="eastAsia"/>
                      <w:color w:val="auto"/>
                      <w:sz w:val="18"/>
                      <w:szCs w:val="18"/>
                      <w:lang w:val="en-US" w:eastAsia="zh-CN"/>
                    </w:rPr>
                    <w:t>切割、切边、机加工等</w:t>
                  </w:r>
                </w:p>
              </w:tc>
              <w:tc>
                <w:tcPr>
                  <w:tcW w:w="440" w:type="pct"/>
                  <w:tcBorders>
                    <w:tl2br w:val="nil"/>
                    <w:tr2bl w:val="nil"/>
                  </w:tcBorders>
                  <w:vAlign w:val="center"/>
                </w:tcPr>
                <w:p w14:paraId="3473845A">
                  <w:pPr>
                    <w:jc w:val="center"/>
                    <w:rPr>
                      <w:rStyle w:val="36"/>
                      <w:rFonts w:hint="default"/>
                      <w:color w:val="auto"/>
                      <w:sz w:val="18"/>
                      <w:szCs w:val="18"/>
                      <w:lang w:val="en-US" w:eastAsia="zh-CN"/>
                    </w:rPr>
                  </w:pPr>
                  <w:r>
                    <w:rPr>
                      <w:rStyle w:val="36"/>
                      <w:rFonts w:hint="eastAsia"/>
                      <w:color w:val="auto"/>
                      <w:sz w:val="18"/>
                      <w:szCs w:val="18"/>
                      <w:lang w:val="en-US" w:eastAsia="zh-CN"/>
                    </w:rPr>
                    <w:t>62.55</w:t>
                  </w:r>
                </w:p>
              </w:tc>
              <w:tc>
                <w:tcPr>
                  <w:tcW w:w="470" w:type="pct"/>
                  <w:tcBorders>
                    <w:tl2br w:val="nil"/>
                    <w:tr2bl w:val="nil"/>
                  </w:tcBorders>
                  <w:vAlign w:val="center"/>
                </w:tcPr>
                <w:p w14:paraId="62580DA4">
                  <w:pPr>
                    <w:jc w:val="center"/>
                    <w:rPr>
                      <w:rFonts w:hint="default" w:eastAsia="宋体"/>
                      <w:color w:val="auto"/>
                      <w:sz w:val="18"/>
                      <w:szCs w:val="18"/>
                      <w:lang w:val="en-US" w:eastAsia="zh-CN"/>
                    </w:rPr>
                  </w:pPr>
                  <w:r>
                    <w:rPr>
                      <w:rFonts w:hint="eastAsia"/>
                      <w:color w:val="auto"/>
                      <w:sz w:val="18"/>
                      <w:szCs w:val="18"/>
                      <w:lang w:val="en-US" w:eastAsia="zh-CN"/>
                    </w:rPr>
                    <w:t>废铝、废铁、废铜</w:t>
                  </w:r>
                </w:p>
              </w:tc>
              <w:tc>
                <w:tcPr>
                  <w:tcW w:w="357" w:type="pct"/>
                  <w:vMerge w:val="continue"/>
                  <w:tcBorders>
                    <w:tl2br w:val="nil"/>
                    <w:tr2bl w:val="nil"/>
                  </w:tcBorders>
                  <w:vAlign w:val="center"/>
                </w:tcPr>
                <w:p w14:paraId="7F69ACA4">
                  <w:pPr>
                    <w:jc w:val="center"/>
                    <w:rPr>
                      <w:rFonts w:hint="eastAsia"/>
                      <w:color w:val="auto"/>
                      <w:sz w:val="18"/>
                      <w:szCs w:val="18"/>
                    </w:rPr>
                  </w:pPr>
                </w:p>
              </w:tc>
              <w:tc>
                <w:tcPr>
                  <w:tcW w:w="309" w:type="pct"/>
                  <w:tcBorders>
                    <w:tl2br w:val="nil"/>
                    <w:tr2bl w:val="nil"/>
                  </w:tcBorders>
                  <w:shd w:val="clear" w:color="auto" w:fill="auto"/>
                  <w:vAlign w:val="center"/>
                </w:tcPr>
                <w:p w14:paraId="0DE9E7BC">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rPr>
                    <w:t>固态</w:t>
                  </w:r>
                </w:p>
              </w:tc>
              <w:tc>
                <w:tcPr>
                  <w:tcW w:w="363" w:type="pct"/>
                  <w:tcBorders>
                    <w:tl2br w:val="nil"/>
                    <w:tr2bl w:val="nil"/>
                  </w:tcBorders>
                  <w:shd w:val="clear" w:color="auto" w:fill="auto"/>
                  <w:vAlign w:val="center"/>
                </w:tcPr>
                <w:p w14:paraId="69EACC8E">
                  <w:pPr>
                    <w:jc w:val="center"/>
                    <w:rPr>
                      <w:rFonts w:hint="default" w:hAnsi="宋体"/>
                      <w:color w:val="auto"/>
                      <w:sz w:val="18"/>
                      <w:szCs w:val="18"/>
                      <w:lang w:val="en-US"/>
                    </w:rPr>
                  </w:pPr>
                  <w:r>
                    <w:rPr>
                      <w:rFonts w:hint="eastAsia" w:hAnsi="宋体"/>
                      <w:color w:val="auto"/>
                      <w:sz w:val="18"/>
                      <w:szCs w:val="18"/>
                      <w:lang w:val="en-US" w:eastAsia="zh-CN"/>
                    </w:rPr>
                    <w:t>SW17</w:t>
                  </w:r>
                </w:p>
              </w:tc>
              <w:tc>
                <w:tcPr>
                  <w:tcW w:w="660" w:type="pct"/>
                  <w:tcBorders>
                    <w:tl2br w:val="nil"/>
                    <w:tr2bl w:val="nil"/>
                  </w:tcBorders>
                  <w:vAlign w:val="center"/>
                </w:tcPr>
                <w:p w14:paraId="57502708">
                  <w:pPr>
                    <w:jc w:val="center"/>
                    <w:rPr>
                      <w:rStyle w:val="36"/>
                      <w:rFonts w:hint="eastAsia"/>
                      <w:color w:val="auto"/>
                      <w:sz w:val="18"/>
                      <w:szCs w:val="18"/>
                    </w:rPr>
                  </w:pPr>
                  <w:r>
                    <w:rPr>
                      <w:rStyle w:val="36"/>
                      <w:rFonts w:hint="eastAsia"/>
                      <w:color w:val="auto"/>
                      <w:sz w:val="18"/>
                      <w:szCs w:val="18"/>
                    </w:rPr>
                    <w:t>900-001-S17</w:t>
                  </w:r>
                </w:p>
                <w:p w14:paraId="6D1A2AF9">
                  <w:pPr>
                    <w:jc w:val="center"/>
                    <w:rPr>
                      <w:rStyle w:val="36"/>
                      <w:rFonts w:hint="eastAsia"/>
                      <w:color w:val="auto"/>
                      <w:sz w:val="18"/>
                      <w:szCs w:val="18"/>
                    </w:rPr>
                  </w:pPr>
                  <w:r>
                    <w:rPr>
                      <w:rStyle w:val="36"/>
                      <w:rFonts w:hint="eastAsia"/>
                      <w:color w:val="auto"/>
                      <w:sz w:val="18"/>
                      <w:szCs w:val="18"/>
                    </w:rPr>
                    <w:t>900-002-S17</w:t>
                  </w:r>
                </w:p>
              </w:tc>
              <w:tc>
                <w:tcPr>
                  <w:tcW w:w="470" w:type="pct"/>
                  <w:vMerge w:val="continue"/>
                  <w:tcBorders>
                    <w:tl2br w:val="nil"/>
                    <w:tr2bl w:val="nil"/>
                  </w:tcBorders>
                  <w:vAlign w:val="center"/>
                </w:tcPr>
                <w:p w14:paraId="1C1EE37F">
                  <w:pPr>
                    <w:pStyle w:val="24"/>
                    <w:spacing w:before="0" w:beforeAutospacing="0" w:after="0" w:afterAutospacing="0"/>
                    <w:jc w:val="center"/>
                    <w:rPr>
                      <w:rStyle w:val="36"/>
                      <w:rFonts w:hint="eastAsia"/>
                      <w:color w:val="auto"/>
                      <w:sz w:val="18"/>
                      <w:szCs w:val="18"/>
                    </w:rPr>
                  </w:pPr>
                </w:p>
              </w:tc>
              <w:tc>
                <w:tcPr>
                  <w:tcW w:w="476" w:type="pct"/>
                  <w:tcBorders>
                    <w:tl2br w:val="nil"/>
                    <w:tr2bl w:val="nil"/>
                  </w:tcBorders>
                  <w:shd w:val="clear" w:color="auto" w:fill="auto"/>
                  <w:vAlign w:val="center"/>
                </w:tcPr>
                <w:p w14:paraId="274A6796">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62.55</w:t>
                  </w:r>
                </w:p>
              </w:tc>
              <w:tc>
                <w:tcPr>
                  <w:tcW w:w="475" w:type="pct"/>
                  <w:vMerge w:val="continue"/>
                  <w:tcBorders>
                    <w:tl2br w:val="nil"/>
                    <w:tr2bl w:val="nil"/>
                  </w:tcBorders>
                  <w:vAlign w:val="center"/>
                </w:tcPr>
                <w:p w14:paraId="310A785A">
                  <w:pPr>
                    <w:pStyle w:val="24"/>
                    <w:spacing w:before="0" w:beforeAutospacing="0" w:after="0" w:afterAutospacing="0"/>
                    <w:jc w:val="center"/>
                    <w:rPr>
                      <w:rStyle w:val="36"/>
                      <w:rFonts w:hint="eastAsia"/>
                      <w:color w:val="auto"/>
                      <w:sz w:val="18"/>
                      <w:szCs w:val="18"/>
                    </w:rPr>
                  </w:pPr>
                </w:p>
              </w:tc>
            </w:tr>
            <w:tr w14:paraId="657F4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16E20721">
                  <w:pPr>
                    <w:jc w:val="center"/>
                    <w:rPr>
                      <w:rFonts w:hint="eastAsia" w:hAnsi="宋体"/>
                      <w:color w:val="auto"/>
                      <w:sz w:val="18"/>
                      <w:szCs w:val="18"/>
                    </w:rPr>
                  </w:pPr>
                  <w:r>
                    <w:rPr>
                      <w:rFonts w:hint="eastAsia" w:hAnsi="宋体"/>
                      <w:color w:val="auto"/>
                      <w:sz w:val="18"/>
                      <w:szCs w:val="18"/>
                    </w:rPr>
                    <w:t>涤纶边角料</w:t>
                  </w:r>
                </w:p>
              </w:tc>
              <w:tc>
                <w:tcPr>
                  <w:tcW w:w="494" w:type="pct"/>
                  <w:tcBorders>
                    <w:tl2br w:val="nil"/>
                    <w:tr2bl w:val="nil"/>
                  </w:tcBorders>
                  <w:vAlign w:val="center"/>
                </w:tcPr>
                <w:p w14:paraId="366B2525">
                  <w:pPr>
                    <w:jc w:val="center"/>
                    <w:rPr>
                      <w:rFonts w:hint="eastAsia"/>
                      <w:color w:val="auto"/>
                      <w:sz w:val="18"/>
                      <w:szCs w:val="18"/>
                    </w:rPr>
                  </w:pPr>
                  <w:r>
                    <w:rPr>
                      <w:rFonts w:hint="eastAsia"/>
                      <w:color w:val="auto"/>
                      <w:sz w:val="18"/>
                      <w:szCs w:val="18"/>
                    </w:rPr>
                    <w:t>捻丝、织造</w:t>
                  </w:r>
                </w:p>
              </w:tc>
              <w:tc>
                <w:tcPr>
                  <w:tcW w:w="440" w:type="pct"/>
                  <w:tcBorders>
                    <w:tl2br w:val="nil"/>
                    <w:tr2bl w:val="nil"/>
                  </w:tcBorders>
                  <w:vAlign w:val="center"/>
                </w:tcPr>
                <w:p w14:paraId="6A9E9F39">
                  <w:pPr>
                    <w:jc w:val="center"/>
                    <w:rPr>
                      <w:rStyle w:val="36"/>
                      <w:rFonts w:hint="default"/>
                      <w:color w:val="auto"/>
                      <w:sz w:val="18"/>
                      <w:szCs w:val="18"/>
                      <w:lang w:val="en-US" w:eastAsia="zh-CN"/>
                    </w:rPr>
                  </w:pPr>
                  <w:r>
                    <w:rPr>
                      <w:rStyle w:val="36"/>
                      <w:rFonts w:hint="eastAsia"/>
                      <w:color w:val="auto"/>
                      <w:sz w:val="18"/>
                      <w:szCs w:val="18"/>
                      <w:lang w:val="en-US" w:eastAsia="zh-CN"/>
                    </w:rPr>
                    <w:t>0.99</w:t>
                  </w:r>
                </w:p>
              </w:tc>
              <w:tc>
                <w:tcPr>
                  <w:tcW w:w="470" w:type="pct"/>
                  <w:tcBorders>
                    <w:tl2br w:val="nil"/>
                    <w:tr2bl w:val="nil"/>
                  </w:tcBorders>
                  <w:vAlign w:val="center"/>
                </w:tcPr>
                <w:p w14:paraId="72375806">
                  <w:pPr>
                    <w:jc w:val="center"/>
                    <w:rPr>
                      <w:rFonts w:hint="eastAsia" w:eastAsia="宋体"/>
                      <w:color w:val="auto"/>
                      <w:sz w:val="18"/>
                      <w:szCs w:val="18"/>
                      <w:lang w:val="en-US" w:eastAsia="zh-CN"/>
                    </w:rPr>
                  </w:pPr>
                  <w:r>
                    <w:rPr>
                      <w:rFonts w:hint="eastAsia"/>
                      <w:color w:val="auto"/>
                      <w:sz w:val="18"/>
                      <w:szCs w:val="18"/>
                      <w:lang w:val="en-US" w:eastAsia="zh-CN"/>
                    </w:rPr>
                    <w:t>涤纶</w:t>
                  </w:r>
                </w:p>
              </w:tc>
              <w:tc>
                <w:tcPr>
                  <w:tcW w:w="357" w:type="pct"/>
                  <w:vMerge w:val="continue"/>
                  <w:tcBorders>
                    <w:tl2br w:val="nil"/>
                    <w:tr2bl w:val="nil"/>
                  </w:tcBorders>
                  <w:vAlign w:val="center"/>
                </w:tcPr>
                <w:p w14:paraId="1956DE5F">
                  <w:pPr>
                    <w:jc w:val="center"/>
                    <w:rPr>
                      <w:rFonts w:hint="eastAsia"/>
                      <w:color w:val="auto"/>
                      <w:sz w:val="18"/>
                      <w:szCs w:val="18"/>
                    </w:rPr>
                  </w:pPr>
                </w:p>
              </w:tc>
              <w:tc>
                <w:tcPr>
                  <w:tcW w:w="309" w:type="pct"/>
                  <w:tcBorders>
                    <w:tl2br w:val="nil"/>
                    <w:tr2bl w:val="nil"/>
                  </w:tcBorders>
                  <w:shd w:val="clear" w:color="auto" w:fill="auto"/>
                  <w:vAlign w:val="center"/>
                </w:tcPr>
                <w:p w14:paraId="1A1E15CB">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rPr>
                    <w:t>固态</w:t>
                  </w:r>
                </w:p>
              </w:tc>
              <w:tc>
                <w:tcPr>
                  <w:tcW w:w="363" w:type="pct"/>
                  <w:tcBorders>
                    <w:tl2br w:val="nil"/>
                    <w:tr2bl w:val="nil"/>
                  </w:tcBorders>
                  <w:shd w:val="clear" w:color="auto" w:fill="auto"/>
                  <w:vAlign w:val="center"/>
                </w:tcPr>
                <w:p w14:paraId="757E82E8">
                  <w:pPr>
                    <w:jc w:val="center"/>
                    <w:rPr>
                      <w:rFonts w:hint="eastAsia" w:hAnsi="宋体"/>
                      <w:color w:val="auto"/>
                      <w:sz w:val="18"/>
                      <w:szCs w:val="18"/>
                    </w:rPr>
                  </w:pPr>
                  <w:r>
                    <w:rPr>
                      <w:rFonts w:hint="eastAsia" w:hAnsi="宋体"/>
                      <w:color w:val="auto"/>
                      <w:sz w:val="18"/>
                      <w:szCs w:val="18"/>
                      <w:lang w:val="en-US" w:eastAsia="zh-CN"/>
                    </w:rPr>
                    <w:t>SW17</w:t>
                  </w:r>
                </w:p>
              </w:tc>
              <w:tc>
                <w:tcPr>
                  <w:tcW w:w="660" w:type="pct"/>
                  <w:tcBorders>
                    <w:tl2br w:val="nil"/>
                    <w:tr2bl w:val="nil"/>
                  </w:tcBorders>
                  <w:vAlign w:val="center"/>
                </w:tcPr>
                <w:p w14:paraId="635B8F50">
                  <w:pPr>
                    <w:jc w:val="center"/>
                    <w:rPr>
                      <w:rStyle w:val="36"/>
                      <w:rFonts w:hint="eastAsia"/>
                      <w:color w:val="auto"/>
                      <w:sz w:val="18"/>
                      <w:szCs w:val="18"/>
                    </w:rPr>
                  </w:pPr>
                  <w:r>
                    <w:rPr>
                      <w:rStyle w:val="36"/>
                      <w:rFonts w:hint="eastAsia"/>
                      <w:color w:val="auto"/>
                      <w:sz w:val="18"/>
                      <w:szCs w:val="18"/>
                    </w:rPr>
                    <w:t>900-007-S17</w:t>
                  </w:r>
                </w:p>
              </w:tc>
              <w:tc>
                <w:tcPr>
                  <w:tcW w:w="470" w:type="pct"/>
                  <w:vMerge w:val="continue"/>
                  <w:tcBorders>
                    <w:tl2br w:val="nil"/>
                    <w:tr2bl w:val="nil"/>
                  </w:tcBorders>
                  <w:vAlign w:val="center"/>
                </w:tcPr>
                <w:p w14:paraId="576DCDF0">
                  <w:pPr>
                    <w:pStyle w:val="24"/>
                    <w:spacing w:before="0" w:beforeAutospacing="0" w:after="0" w:afterAutospacing="0"/>
                    <w:jc w:val="center"/>
                    <w:rPr>
                      <w:rStyle w:val="36"/>
                      <w:rFonts w:hint="eastAsia"/>
                      <w:color w:val="auto"/>
                      <w:sz w:val="18"/>
                      <w:szCs w:val="18"/>
                    </w:rPr>
                  </w:pPr>
                </w:p>
              </w:tc>
              <w:tc>
                <w:tcPr>
                  <w:tcW w:w="476" w:type="pct"/>
                  <w:tcBorders>
                    <w:tl2br w:val="nil"/>
                    <w:tr2bl w:val="nil"/>
                  </w:tcBorders>
                  <w:shd w:val="clear" w:color="auto" w:fill="auto"/>
                  <w:vAlign w:val="center"/>
                </w:tcPr>
                <w:p w14:paraId="2FCA5FED">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0.99</w:t>
                  </w:r>
                </w:p>
              </w:tc>
              <w:tc>
                <w:tcPr>
                  <w:tcW w:w="475" w:type="pct"/>
                  <w:vMerge w:val="continue"/>
                  <w:tcBorders>
                    <w:tl2br w:val="nil"/>
                    <w:tr2bl w:val="nil"/>
                  </w:tcBorders>
                  <w:vAlign w:val="center"/>
                </w:tcPr>
                <w:p w14:paraId="5E46D0B0">
                  <w:pPr>
                    <w:pStyle w:val="24"/>
                    <w:spacing w:before="0" w:beforeAutospacing="0" w:after="0" w:afterAutospacing="0"/>
                    <w:jc w:val="center"/>
                    <w:rPr>
                      <w:rStyle w:val="36"/>
                      <w:rFonts w:hint="eastAsia"/>
                      <w:color w:val="auto"/>
                      <w:sz w:val="18"/>
                      <w:szCs w:val="18"/>
                    </w:rPr>
                  </w:pPr>
                </w:p>
              </w:tc>
            </w:tr>
            <w:tr w14:paraId="1ECBC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12DEA6F1">
                  <w:pPr>
                    <w:pStyle w:val="5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hAnsi="宋体"/>
                      <w:color w:val="auto"/>
                      <w:sz w:val="18"/>
                      <w:szCs w:val="18"/>
                    </w:rPr>
                  </w:pPr>
                  <w:r>
                    <w:rPr>
                      <w:rFonts w:hint="eastAsia"/>
                      <w:color w:val="auto"/>
                      <w:sz w:val="18"/>
                      <w:szCs w:val="18"/>
                      <w:lang w:val="en-US" w:eastAsia="zh-CN"/>
                    </w:rPr>
                    <w:t>不含铝灰的废除尘布袋</w:t>
                  </w:r>
                </w:p>
              </w:tc>
              <w:tc>
                <w:tcPr>
                  <w:tcW w:w="494" w:type="pct"/>
                  <w:tcBorders>
                    <w:tl2br w:val="nil"/>
                    <w:tr2bl w:val="nil"/>
                  </w:tcBorders>
                  <w:vAlign w:val="center"/>
                </w:tcPr>
                <w:p w14:paraId="1FA80AE1">
                  <w:pPr>
                    <w:jc w:val="center"/>
                    <w:rPr>
                      <w:rFonts w:hint="default" w:eastAsia="宋体"/>
                      <w:color w:val="auto"/>
                      <w:sz w:val="18"/>
                      <w:szCs w:val="18"/>
                      <w:lang w:val="en-US" w:eastAsia="zh-CN"/>
                    </w:rPr>
                  </w:pPr>
                  <w:r>
                    <w:rPr>
                      <w:rFonts w:hint="eastAsia"/>
                      <w:color w:val="auto"/>
                      <w:sz w:val="18"/>
                      <w:szCs w:val="18"/>
                      <w:lang w:val="en-US" w:eastAsia="zh-CN"/>
                    </w:rPr>
                    <w:t>废气治理</w:t>
                  </w:r>
                </w:p>
              </w:tc>
              <w:tc>
                <w:tcPr>
                  <w:tcW w:w="440" w:type="pct"/>
                  <w:tcBorders>
                    <w:tl2br w:val="nil"/>
                    <w:tr2bl w:val="nil"/>
                  </w:tcBorders>
                  <w:vAlign w:val="center"/>
                </w:tcPr>
                <w:p w14:paraId="682D7C56">
                  <w:pPr>
                    <w:jc w:val="center"/>
                    <w:rPr>
                      <w:rStyle w:val="36"/>
                      <w:rFonts w:hint="default"/>
                      <w:color w:val="auto"/>
                      <w:sz w:val="18"/>
                      <w:szCs w:val="18"/>
                      <w:lang w:val="en-US" w:eastAsia="zh-CN"/>
                    </w:rPr>
                  </w:pPr>
                  <w:r>
                    <w:rPr>
                      <w:rStyle w:val="36"/>
                      <w:rFonts w:hint="eastAsia"/>
                      <w:color w:val="auto"/>
                      <w:sz w:val="18"/>
                      <w:szCs w:val="18"/>
                      <w:lang w:val="en-US" w:eastAsia="zh-CN"/>
                    </w:rPr>
                    <w:t>2.5</w:t>
                  </w:r>
                </w:p>
              </w:tc>
              <w:tc>
                <w:tcPr>
                  <w:tcW w:w="470" w:type="pct"/>
                  <w:tcBorders>
                    <w:tl2br w:val="nil"/>
                    <w:tr2bl w:val="nil"/>
                  </w:tcBorders>
                  <w:vAlign w:val="center"/>
                </w:tcPr>
                <w:p w14:paraId="4E4D9DA5">
                  <w:pPr>
                    <w:jc w:val="center"/>
                    <w:rPr>
                      <w:rFonts w:hint="default"/>
                      <w:color w:val="auto"/>
                      <w:sz w:val="18"/>
                      <w:szCs w:val="18"/>
                      <w:lang w:val="en-US" w:eastAsia="zh-CN"/>
                    </w:rPr>
                  </w:pPr>
                  <w:r>
                    <w:rPr>
                      <w:rFonts w:hint="eastAsia"/>
                      <w:color w:val="auto"/>
                      <w:sz w:val="18"/>
                      <w:szCs w:val="18"/>
                      <w:lang w:val="en-US" w:eastAsia="zh-CN"/>
                    </w:rPr>
                    <w:t>合成纤维</w:t>
                  </w:r>
                </w:p>
              </w:tc>
              <w:tc>
                <w:tcPr>
                  <w:tcW w:w="357" w:type="pct"/>
                  <w:vMerge w:val="continue"/>
                  <w:tcBorders>
                    <w:tl2br w:val="nil"/>
                    <w:tr2bl w:val="nil"/>
                  </w:tcBorders>
                  <w:vAlign w:val="center"/>
                </w:tcPr>
                <w:p w14:paraId="05548F8D">
                  <w:pPr>
                    <w:jc w:val="center"/>
                    <w:rPr>
                      <w:rFonts w:hint="eastAsia"/>
                      <w:color w:val="auto"/>
                      <w:sz w:val="18"/>
                      <w:szCs w:val="18"/>
                    </w:rPr>
                  </w:pPr>
                </w:p>
              </w:tc>
              <w:tc>
                <w:tcPr>
                  <w:tcW w:w="309" w:type="pct"/>
                  <w:tcBorders>
                    <w:tl2br w:val="nil"/>
                    <w:tr2bl w:val="nil"/>
                  </w:tcBorders>
                  <w:shd w:val="clear" w:color="auto" w:fill="auto"/>
                  <w:vAlign w:val="center"/>
                </w:tcPr>
                <w:p w14:paraId="2E5DADA7">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rPr>
                    <w:t>固态</w:t>
                  </w:r>
                </w:p>
              </w:tc>
              <w:tc>
                <w:tcPr>
                  <w:tcW w:w="363" w:type="pct"/>
                  <w:tcBorders>
                    <w:tl2br w:val="nil"/>
                    <w:tr2bl w:val="nil"/>
                  </w:tcBorders>
                  <w:shd w:val="clear" w:color="auto" w:fill="auto"/>
                  <w:vAlign w:val="center"/>
                </w:tcPr>
                <w:p w14:paraId="5C165D3B">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lang w:val="en-US" w:eastAsia="zh-CN"/>
                    </w:rPr>
                    <w:t>SW59</w:t>
                  </w:r>
                </w:p>
              </w:tc>
              <w:tc>
                <w:tcPr>
                  <w:tcW w:w="660" w:type="pct"/>
                  <w:tcBorders>
                    <w:tl2br w:val="nil"/>
                    <w:tr2bl w:val="nil"/>
                  </w:tcBorders>
                  <w:shd w:val="clear" w:color="auto" w:fill="auto"/>
                  <w:vAlign w:val="center"/>
                </w:tcPr>
                <w:p w14:paraId="03E6C524">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rPr>
                    <w:t>900-009-S59</w:t>
                  </w:r>
                </w:p>
              </w:tc>
              <w:tc>
                <w:tcPr>
                  <w:tcW w:w="470" w:type="pct"/>
                  <w:vMerge w:val="continue"/>
                  <w:tcBorders>
                    <w:tl2br w:val="nil"/>
                    <w:tr2bl w:val="nil"/>
                  </w:tcBorders>
                  <w:vAlign w:val="center"/>
                </w:tcPr>
                <w:p w14:paraId="1C092A56">
                  <w:pPr>
                    <w:pStyle w:val="24"/>
                    <w:spacing w:before="0" w:beforeAutospacing="0" w:after="0" w:afterAutospacing="0"/>
                    <w:jc w:val="center"/>
                    <w:rPr>
                      <w:rStyle w:val="36"/>
                      <w:rFonts w:hint="eastAsia"/>
                      <w:color w:val="auto"/>
                      <w:sz w:val="18"/>
                      <w:szCs w:val="18"/>
                    </w:rPr>
                  </w:pPr>
                </w:p>
              </w:tc>
              <w:tc>
                <w:tcPr>
                  <w:tcW w:w="476" w:type="pct"/>
                  <w:tcBorders>
                    <w:tl2br w:val="nil"/>
                    <w:tr2bl w:val="nil"/>
                  </w:tcBorders>
                  <w:shd w:val="clear" w:color="auto" w:fill="auto"/>
                  <w:vAlign w:val="center"/>
                </w:tcPr>
                <w:p w14:paraId="15CF5FA0">
                  <w:pPr>
                    <w:jc w:val="center"/>
                    <w:rPr>
                      <w:rStyle w:val="36"/>
                      <w:rFonts w:hint="default"/>
                      <w:color w:val="auto"/>
                      <w:sz w:val="18"/>
                      <w:szCs w:val="18"/>
                      <w:lang w:val="en-US" w:eastAsia="zh-CN"/>
                    </w:rPr>
                  </w:pPr>
                  <w:r>
                    <w:rPr>
                      <w:rStyle w:val="36"/>
                      <w:rFonts w:hint="eastAsia"/>
                      <w:color w:val="auto"/>
                      <w:sz w:val="18"/>
                      <w:szCs w:val="18"/>
                      <w:lang w:val="en-US" w:eastAsia="zh-CN"/>
                    </w:rPr>
                    <w:t>2.5</w:t>
                  </w:r>
                </w:p>
              </w:tc>
              <w:tc>
                <w:tcPr>
                  <w:tcW w:w="475" w:type="pct"/>
                  <w:vMerge w:val="continue"/>
                  <w:tcBorders>
                    <w:tl2br w:val="nil"/>
                    <w:tr2bl w:val="nil"/>
                  </w:tcBorders>
                  <w:vAlign w:val="center"/>
                </w:tcPr>
                <w:p w14:paraId="1A1A8908">
                  <w:pPr>
                    <w:pStyle w:val="24"/>
                    <w:spacing w:before="0" w:beforeAutospacing="0" w:after="0" w:afterAutospacing="0"/>
                    <w:jc w:val="center"/>
                    <w:rPr>
                      <w:rStyle w:val="36"/>
                      <w:rFonts w:hint="eastAsia"/>
                      <w:color w:val="auto"/>
                      <w:sz w:val="18"/>
                      <w:szCs w:val="18"/>
                    </w:rPr>
                  </w:pPr>
                </w:p>
              </w:tc>
            </w:tr>
            <w:tr w14:paraId="163D9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368FE57F">
                  <w:pPr>
                    <w:jc w:val="center"/>
                    <w:rPr>
                      <w:rFonts w:hint="default" w:hAnsi="宋体" w:eastAsia="宋体"/>
                      <w:color w:val="auto"/>
                      <w:sz w:val="18"/>
                      <w:szCs w:val="18"/>
                      <w:lang w:val="en-US" w:eastAsia="zh-CN"/>
                    </w:rPr>
                  </w:pPr>
                  <w:r>
                    <w:rPr>
                      <w:rFonts w:hint="eastAsia" w:hAnsi="宋体"/>
                      <w:color w:val="auto"/>
                      <w:sz w:val="18"/>
                      <w:szCs w:val="18"/>
                      <w:lang w:val="en-US" w:eastAsia="zh-CN"/>
                    </w:rPr>
                    <w:t>铝灰渣</w:t>
                  </w:r>
                </w:p>
              </w:tc>
              <w:tc>
                <w:tcPr>
                  <w:tcW w:w="494" w:type="pct"/>
                  <w:tcBorders>
                    <w:tl2br w:val="nil"/>
                    <w:tr2bl w:val="nil"/>
                  </w:tcBorders>
                  <w:vAlign w:val="center"/>
                </w:tcPr>
                <w:p w14:paraId="26C87C93">
                  <w:pPr>
                    <w:jc w:val="center"/>
                    <w:rPr>
                      <w:rFonts w:hint="default" w:eastAsia="宋体"/>
                      <w:color w:val="auto"/>
                      <w:sz w:val="18"/>
                      <w:szCs w:val="18"/>
                      <w:lang w:val="en-US" w:eastAsia="zh-CN"/>
                    </w:rPr>
                  </w:pPr>
                  <w:r>
                    <w:rPr>
                      <w:rFonts w:hint="eastAsia"/>
                      <w:color w:val="auto"/>
                      <w:sz w:val="18"/>
                      <w:szCs w:val="18"/>
                      <w:lang w:val="en-US" w:eastAsia="zh-CN"/>
                    </w:rPr>
                    <w:t>熔化</w:t>
                  </w:r>
                </w:p>
              </w:tc>
              <w:tc>
                <w:tcPr>
                  <w:tcW w:w="440" w:type="pct"/>
                  <w:tcBorders>
                    <w:tl2br w:val="nil"/>
                    <w:tr2bl w:val="nil"/>
                  </w:tcBorders>
                  <w:vAlign w:val="center"/>
                </w:tcPr>
                <w:p w14:paraId="4A43B08A">
                  <w:pPr>
                    <w:jc w:val="center"/>
                    <w:rPr>
                      <w:rStyle w:val="36"/>
                      <w:rFonts w:hint="default"/>
                      <w:color w:val="auto"/>
                      <w:sz w:val="18"/>
                      <w:szCs w:val="18"/>
                      <w:lang w:val="en-US" w:eastAsia="zh-CN"/>
                    </w:rPr>
                  </w:pPr>
                  <w:r>
                    <w:rPr>
                      <w:rStyle w:val="36"/>
                      <w:rFonts w:hint="eastAsia"/>
                      <w:color w:val="auto"/>
                      <w:sz w:val="18"/>
                      <w:szCs w:val="18"/>
                      <w:lang w:val="en-US" w:eastAsia="zh-CN"/>
                    </w:rPr>
                    <w:t>16.65</w:t>
                  </w:r>
                </w:p>
              </w:tc>
              <w:tc>
                <w:tcPr>
                  <w:tcW w:w="470" w:type="pct"/>
                  <w:tcBorders>
                    <w:tl2br w:val="nil"/>
                    <w:tr2bl w:val="nil"/>
                  </w:tcBorders>
                  <w:vAlign w:val="center"/>
                </w:tcPr>
                <w:p w14:paraId="00205E9F">
                  <w:pPr>
                    <w:jc w:val="center"/>
                    <w:rPr>
                      <w:rFonts w:hint="eastAsia" w:eastAsia="宋体"/>
                      <w:color w:val="auto"/>
                      <w:sz w:val="18"/>
                      <w:szCs w:val="18"/>
                      <w:lang w:val="en-US" w:eastAsia="zh-CN"/>
                    </w:rPr>
                  </w:pPr>
                  <w:r>
                    <w:rPr>
                      <w:rFonts w:hint="eastAsia"/>
                      <w:color w:val="auto"/>
                      <w:sz w:val="18"/>
                      <w:szCs w:val="18"/>
                      <w:lang w:val="en-US" w:eastAsia="zh-CN"/>
                    </w:rPr>
                    <w:t>氧化铝</w:t>
                  </w:r>
                </w:p>
              </w:tc>
              <w:tc>
                <w:tcPr>
                  <w:tcW w:w="357" w:type="pct"/>
                  <w:vMerge w:val="restart"/>
                  <w:tcBorders>
                    <w:tl2br w:val="nil"/>
                    <w:tr2bl w:val="nil"/>
                  </w:tcBorders>
                  <w:vAlign w:val="center"/>
                </w:tcPr>
                <w:p w14:paraId="36979A79">
                  <w:pPr>
                    <w:jc w:val="center"/>
                    <w:rPr>
                      <w:color w:val="auto"/>
                      <w:sz w:val="18"/>
                      <w:szCs w:val="18"/>
                    </w:rPr>
                  </w:pPr>
                  <w:r>
                    <w:rPr>
                      <w:rFonts w:hint="eastAsia"/>
                      <w:color w:val="auto"/>
                      <w:sz w:val="18"/>
                      <w:szCs w:val="18"/>
                    </w:rPr>
                    <w:t>危险废物</w:t>
                  </w:r>
                </w:p>
              </w:tc>
              <w:tc>
                <w:tcPr>
                  <w:tcW w:w="309" w:type="pct"/>
                  <w:tcBorders>
                    <w:tl2br w:val="nil"/>
                    <w:tr2bl w:val="nil"/>
                  </w:tcBorders>
                  <w:shd w:val="clear" w:color="auto" w:fill="auto"/>
                  <w:vAlign w:val="center"/>
                </w:tcPr>
                <w:p w14:paraId="45B1D76D">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rPr>
                    <w:t>固态</w:t>
                  </w:r>
                </w:p>
              </w:tc>
              <w:tc>
                <w:tcPr>
                  <w:tcW w:w="363" w:type="pct"/>
                  <w:tcBorders>
                    <w:tl2br w:val="nil"/>
                    <w:tr2bl w:val="nil"/>
                  </w:tcBorders>
                  <w:shd w:val="clear" w:color="auto" w:fill="auto"/>
                  <w:vAlign w:val="center"/>
                </w:tcPr>
                <w:p w14:paraId="7453B1A2">
                  <w:pPr>
                    <w:jc w:val="center"/>
                    <w:rPr>
                      <w:rFonts w:hint="default" w:hAnsi="宋体" w:eastAsia="宋体"/>
                      <w:color w:val="auto"/>
                      <w:sz w:val="18"/>
                      <w:szCs w:val="18"/>
                      <w:lang w:val="en-US" w:eastAsia="zh-CN"/>
                    </w:rPr>
                  </w:pPr>
                  <w:r>
                    <w:rPr>
                      <w:rFonts w:hint="eastAsia" w:hAnsi="宋体"/>
                      <w:color w:val="auto"/>
                      <w:sz w:val="18"/>
                      <w:szCs w:val="18"/>
                      <w:lang w:val="en-US" w:eastAsia="zh-CN"/>
                    </w:rPr>
                    <w:t>HW48</w:t>
                  </w:r>
                </w:p>
              </w:tc>
              <w:tc>
                <w:tcPr>
                  <w:tcW w:w="660" w:type="pct"/>
                  <w:tcBorders>
                    <w:tl2br w:val="nil"/>
                    <w:tr2bl w:val="nil"/>
                  </w:tcBorders>
                  <w:vAlign w:val="center"/>
                </w:tcPr>
                <w:p w14:paraId="17932FAE">
                  <w:pPr>
                    <w:jc w:val="center"/>
                    <w:rPr>
                      <w:rStyle w:val="36"/>
                      <w:rFonts w:hint="eastAsia"/>
                      <w:color w:val="auto"/>
                      <w:sz w:val="18"/>
                      <w:szCs w:val="18"/>
                    </w:rPr>
                  </w:pPr>
                  <w:r>
                    <w:rPr>
                      <w:rStyle w:val="36"/>
                      <w:rFonts w:hint="eastAsia"/>
                      <w:color w:val="auto"/>
                      <w:sz w:val="18"/>
                      <w:szCs w:val="18"/>
                    </w:rPr>
                    <w:t>321-026-48</w:t>
                  </w:r>
                </w:p>
              </w:tc>
              <w:tc>
                <w:tcPr>
                  <w:tcW w:w="470" w:type="pct"/>
                  <w:vMerge w:val="restart"/>
                  <w:tcBorders>
                    <w:tl2br w:val="nil"/>
                    <w:tr2bl w:val="nil"/>
                  </w:tcBorders>
                  <w:vAlign w:val="center"/>
                </w:tcPr>
                <w:p w14:paraId="3B3D7989">
                  <w:pPr>
                    <w:pStyle w:val="24"/>
                    <w:spacing w:before="0" w:beforeAutospacing="0" w:after="0" w:afterAutospacing="0"/>
                    <w:jc w:val="center"/>
                    <w:rPr>
                      <w:rFonts w:hint="eastAsia"/>
                      <w:color w:val="auto"/>
                      <w:sz w:val="18"/>
                      <w:szCs w:val="18"/>
                    </w:rPr>
                  </w:pPr>
                  <w:r>
                    <w:rPr>
                      <w:rFonts w:hint="eastAsia"/>
                      <w:color w:val="auto"/>
                      <w:sz w:val="18"/>
                      <w:szCs w:val="18"/>
                    </w:rPr>
                    <w:t>委托有资质单位处理</w:t>
                  </w:r>
                </w:p>
              </w:tc>
              <w:tc>
                <w:tcPr>
                  <w:tcW w:w="476" w:type="pct"/>
                  <w:tcBorders>
                    <w:tl2br w:val="nil"/>
                    <w:tr2bl w:val="nil"/>
                  </w:tcBorders>
                  <w:shd w:val="clear" w:color="auto" w:fill="auto"/>
                  <w:vAlign w:val="center"/>
                </w:tcPr>
                <w:p w14:paraId="7DCC82F2">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16.65</w:t>
                  </w:r>
                </w:p>
              </w:tc>
              <w:tc>
                <w:tcPr>
                  <w:tcW w:w="475" w:type="pct"/>
                  <w:vMerge w:val="restart"/>
                  <w:tcBorders>
                    <w:tl2br w:val="nil"/>
                    <w:tr2bl w:val="nil"/>
                  </w:tcBorders>
                  <w:vAlign w:val="center"/>
                </w:tcPr>
                <w:p w14:paraId="570EC183">
                  <w:pPr>
                    <w:pStyle w:val="24"/>
                    <w:spacing w:before="0" w:beforeAutospacing="0" w:after="0" w:afterAutospacing="0"/>
                    <w:jc w:val="center"/>
                    <w:rPr>
                      <w:rStyle w:val="36"/>
                      <w:rFonts w:hint="default" w:eastAsia="宋体"/>
                      <w:color w:val="auto"/>
                      <w:sz w:val="18"/>
                      <w:szCs w:val="18"/>
                      <w:lang w:val="en-US" w:eastAsia="zh-CN"/>
                    </w:rPr>
                  </w:pPr>
                  <w:r>
                    <w:rPr>
                      <w:rStyle w:val="36"/>
                      <w:rFonts w:hint="eastAsia"/>
                      <w:color w:val="auto"/>
                      <w:sz w:val="18"/>
                      <w:szCs w:val="18"/>
                      <w:lang w:val="en-US" w:eastAsia="zh-CN"/>
                    </w:rPr>
                    <w:t>暂存于危废间，做好管理台账，委托有资质单位处置</w:t>
                  </w:r>
                </w:p>
              </w:tc>
            </w:tr>
            <w:tr w14:paraId="61601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26552809">
                  <w:pPr>
                    <w:jc w:val="center"/>
                    <w:rPr>
                      <w:rFonts w:hint="default" w:hAnsi="宋体"/>
                      <w:color w:val="auto"/>
                      <w:sz w:val="18"/>
                      <w:szCs w:val="18"/>
                      <w:lang w:val="en-US" w:eastAsia="zh-CN"/>
                    </w:rPr>
                  </w:pPr>
                  <w:r>
                    <w:rPr>
                      <w:rFonts w:hint="eastAsia" w:hAnsi="宋体"/>
                      <w:color w:val="auto"/>
                      <w:sz w:val="18"/>
                      <w:szCs w:val="18"/>
                      <w:lang w:val="en-US" w:eastAsia="zh-CN"/>
                    </w:rPr>
                    <w:t>废切削液</w:t>
                  </w:r>
                </w:p>
              </w:tc>
              <w:tc>
                <w:tcPr>
                  <w:tcW w:w="494" w:type="pct"/>
                  <w:tcBorders>
                    <w:tl2br w:val="nil"/>
                    <w:tr2bl w:val="nil"/>
                  </w:tcBorders>
                  <w:vAlign w:val="center"/>
                </w:tcPr>
                <w:p w14:paraId="73150455">
                  <w:pPr>
                    <w:jc w:val="center"/>
                    <w:rPr>
                      <w:rFonts w:hint="default"/>
                      <w:color w:val="auto"/>
                      <w:sz w:val="18"/>
                      <w:szCs w:val="18"/>
                      <w:lang w:val="en-US" w:eastAsia="zh-CN"/>
                    </w:rPr>
                  </w:pPr>
                  <w:r>
                    <w:rPr>
                      <w:rFonts w:hint="eastAsia"/>
                      <w:color w:val="auto"/>
                      <w:sz w:val="18"/>
                      <w:szCs w:val="18"/>
                      <w:lang w:val="en-US" w:eastAsia="zh-CN"/>
                    </w:rPr>
                    <w:t>机加工</w:t>
                  </w:r>
                </w:p>
              </w:tc>
              <w:tc>
                <w:tcPr>
                  <w:tcW w:w="440" w:type="pct"/>
                  <w:tcBorders>
                    <w:tl2br w:val="nil"/>
                    <w:tr2bl w:val="nil"/>
                  </w:tcBorders>
                  <w:vAlign w:val="center"/>
                </w:tcPr>
                <w:p w14:paraId="69CDA023">
                  <w:pPr>
                    <w:jc w:val="center"/>
                    <w:rPr>
                      <w:rStyle w:val="36"/>
                      <w:rFonts w:hint="default"/>
                      <w:color w:val="auto"/>
                      <w:sz w:val="18"/>
                      <w:szCs w:val="18"/>
                      <w:lang w:val="en-US" w:eastAsia="zh-CN"/>
                    </w:rPr>
                  </w:pPr>
                  <w:r>
                    <w:rPr>
                      <w:rStyle w:val="36"/>
                      <w:rFonts w:hint="eastAsia"/>
                      <w:color w:val="auto"/>
                      <w:sz w:val="18"/>
                      <w:szCs w:val="18"/>
                      <w:lang w:val="en-US" w:eastAsia="zh-CN"/>
                    </w:rPr>
                    <w:t>0.5</w:t>
                  </w:r>
                </w:p>
              </w:tc>
              <w:tc>
                <w:tcPr>
                  <w:tcW w:w="470" w:type="pct"/>
                  <w:tcBorders>
                    <w:tl2br w:val="nil"/>
                    <w:tr2bl w:val="nil"/>
                  </w:tcBorders>
                  <w:vAlign w:val="center"/>
                </w:tcPr>
                <w:p w14:paraId="13CC79E0">
                  <w:pPr>
                    <w:jc w:val="center"/>
                    <w:rPr>
                      <w:rFonts w:hint="default"/>
                      <w:color w:val="auto"/>
                      <w:sz w:val="18"/>
                      <w:szCs w:val="18"/>
                      <w:lang w:val="en-US" w:eastAsia="zh-CN"/>
                    </w:rPr>
                  </w:pPr>
                  <w:r>
                    <w:rPr>
                      <w:rFonts w:hint="eastAsia"/>
                      <w:color w:val="auto"/>
                      <w:sz w:val="18"/>
                      <w:szCs w:val="18"/>
                      <w:lang w:val="en-US" w:eastAsia="zh-CN"/>
                    </w:rPr>
                    <w:t>切削液</w:t>
                  </w:r>
                </w:p>
              </w:tc>
              <w:tc>
                <w:tcPr>
                  <w:tcW w:w="357" w:type="pct"/>
                  <w:vMerge w:val="continue"/>
                  <w:tcBorders>
                    <w:tl2br w:val="nil"/>
                    <w:tr2bl w:val="nil"/>
                  </w:tcBorders>
                  <w:vAlign w:val="center"/>
                </w:tcPr>
                <w:p w14:paraId="157038A3">
                  <w:pPr>
                    <w:jc w:val="center"/>
                    <w:rPr>
                      <w:rFonts w:hint="eastAsia"/>
                      <w:color w:val="auto"/>
                      <w:sz w:val="18"/>
                      <w:szCs w:val="18"/>
                    </w:rPr>
                  </w:pPr>
                </w:p>
              </w:tc>
              <w:tc>
                <w:tcPr>
                  <w:tcW w:w="309" w:type="pct"/>
                  <w:tcBorders>
                    <w:tl2br w:val="nil"/>
                    <w:tr2bl w:val="nil"/>
                  </w:tcBorders>
                  <w:shd w:val="clear" w:color="auto" w:fill="auto"/>
                  <w:vAlign w:val="center"/>
                </w:tcPr>
                <w:p w14:paraId="2625EBFE">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lang w:val="en-US" w:eastAsia="zh-CN"/>
                    </w:rPr>
                    <w:t>液态</w:t>
                  </w:r>
                </w:p>
              </w:tc>
              <w:tc>
                <w:tcPr>
                  <w:tcW w:w="363" w:type="pct"/>
                  <w:tcBorders>
                    <w:tl2br w:val="nil"/>
                    <w:tr2bl w:val="nil"/>
                  </w:tcBorders>
                  <w:shd w:val="clear" w:color="auto" w:fill="auto"/>
                  <w:vAlign w:val="center"/>
                </w:tcPr>
                <w:p w14:paraId="62759A17">
                  <w:pPr>
                    <w:jc w:val="center"/>
                    <w:rPr>
                      <w:rFonts w:hint="default" w:hAnsi="宋体"/>
                      <w:color w:val="auto"/>
                      <w:sz w:val="18"/>
                      <w:szCs w:val="18"/>
                      <w:lang w:val="en-US" w:eastAsia="zh-CN"/>
                    </w:rPr>
                  </w:pPr>
                  <w:r>
                    <w:rPr>
                      <w:rFonts w:hint="eastAsia" w:hAnsi="宋体"/>
                      <w:color w:val="auto"/>
                      <w:sz w:val="18"/>
                      <w:szCs w:val="18"/>
                      <w:lang w:val="en-US" w:eastAsia="zh-CN"/>
                    </w:rPr>
                    <w:t>WH09</w:t>
                  </w:r>
                </w:p>
              </w:tc>
              <w:tc>
                <w:tcPr>
                  <w:tcW w:w="660" w:type="pct"/>
                  <w:tcBorders>
                    <w:tl2br w:val="nil"/>
                    <w:tr2bl w:val="nil"/>
                  </w:tcBorders>
                  <w:vAlign w:val="center"/>
                </w:tcPr>
                <w:p w14:paraId="00807F6F">
                  <w:pPr>
                    <w:jc w:val="center"/>
                    <w:rPr>
                      <w:rStyle w:val="36"/>
                      <w:rFonts w:hint="eastAsia"/>
                      <w:color w:val="auto"/>
                      <w:sz w:val="18"/>
                      <w:szCs w:val="18"/>
                    </w:rPr>
                  </w:pPr>
                  <w:r>
                    <w:rPr>
                      <w:rStyle w:val="36"/>
                      <w:rFonts w:hint="eastAsia"/>
                      <w:color w:val="auto"/>
                      <w:sz w:val="18"/>
                      <w:szCs w:val="18"/>
                    </w:rPr>
                    <w:t>900-006-09</w:t>
                  </w:r>
                </w:p>
              </w:tc>
              <w:tc>
                <w:tcPr>
                  <w:tcW w:w="470" w:type="pct"/>
                  <w:vMerge w:val="continue"/>
                  <w:tcBorders>
                    <w:tl2br w:val="nil"/>
                    <w:tr2bl w:val="nil"/>
                  </w:tcBorders>
                  <w:vAlign w:val="center"/>
                </w:tcPr>
                <w:p w14:paraId="59D58F1B">
                  <w:pPr>
                    <w:pStyle w:val="24"/>
                    <w:spacing w:before="0" w:beforeAutospacing="0" w:after="0" w:afterAutospacing="0"/>
                    <w:jc w:val="center"/>
                    <w:rPr>
                      <w:rStyle w:val="36"/>
                      <w:rFonts w:hint="eastAsia"/>
                      <w:color w:val="auto"/>
                      <w:sz w:val="18"/>
                      <w:szCs w:val="18"/>
                    </w:rPr>
                  </w:pPr>
                </w:p>
              </w:tc>
              <w:tc>
                <w:tcPr>
                  <w:tcW w:w="476" w:type="pct"/>
                  <w:tcBorders>
                    <w:tl2br w:val="nil"/>
                    <w:tr2bl w:val="nil"/>
                  </w:tcBorders>
                  <w:shd w:val="clear" w:color="auto" w:fill="auto"/>
                  <w:vAlign w:val="center"/>
                </w:tcPr>
                <w:p w14:paraId="6FF72479">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0.5</w:t>
                  </w:r>
                </w:p>
              </w:tc>
              <w:tc>
                <w:tcPr>
                  <w:tcW w:w="475" w:type="pct"/>
                  <w:vMerge w:val="continue"/>
                  <w:tcBorders>
                    <w:tl2br w:val="nil"/>
                    <w:tr2bl w:val="nil"/>
                  </w:tcBorders>
                  <w:vAlign w:val="center"/>
                </w:tcPr>
                <w:p w14:paraId="3A1B50E4">
                  <w:pPr>
                    <w:pStyle w:val="24"/>
                    <w:spacing w:before="0" w:beforeAutospacing="0" w:after="0" w:afterAutospacing="0"/>
                    <w:jc w:val="center"/>
                    <w:rPr>
                      <w:rStyle w:val="36"/>
                      <w:rFonts w:hint="eastAsia"/>
                      <w:color w:val="auto"/>
                      <w:sz w:val="18"/>
                      <w:szCs w:val="18"/>
                    </w:rPr>
                  </w:pPr>
                </w:p>
              </w:tc>
            </w:tr>
            <w:tr w14:paraId="7FBD6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32002907">
                  <w:pPr>
                    <w:jc w:val="center"/>
                    <w:rPr>
                      <w:rFonts w:hint="default" w:hAnsi="宋体"/>
                      <w:color w:val="auto"/>
                      <w:sz w:val="18"/>
                      <w:szCs w:val="18"/>
                      <w:lang w:val="en-US" w:eastAsia="zh-CN"/>
                    </w:rPr>
                  </w:pPr>
                  <w:r>
                    <w:rPr>
                      <w:rFonts w:hint="eastAsia" w:hAnsi="宋体"/>
                      <w:color w:val="auto"/>
                      <w:sz w:val="18"/>
                      <w:szCs w:val="18"/>
                      <w:lang w:val="en-US" w:eastAsia="zh-CN"/>
                    </w:rPr>
                    <w:t>废液压油</w:t>
                  </w:r>
                </w:p>
              </w:tc>
              <w:tc>
                <w:tcPr>
                  <w:tcW w:w="494" w:type="pct"/>
                  <w:tcBorders>
                    <w:tl2br w:val="nil"/>
                    <w:tr2bl w:val="nil"/>
                  </w:tcBorders>
                  <w:vAlign w:val="center"/>
                </w:tcPr>
                <w:p w14:paraId="69A1AF1D">
                  <w:pPr>
                    <w:jc w:val="center"/>
                    <w:rPr>
                      <w:rFonts w:hint="default"/>
                      <w:color w:val="auto"/>
                      <w:sz w:val="18"/>
                      <w:szCs w:val="18"/>
                      <w:lang w:val="en-US" w:eastAsia="zh-CN"/>
                    </w:rPr>
                  </w:pPr>
                  <w:r>
                    <w:rPr>
                      <w:rFonts w:hint="eastAsia"/>
                      <w:color w:val="auto"/>
                      <w:sz w:val="18"/>
                      <w:szCs w:val="18"/>
                      <w:lang w:val="en-US" w:eastAsia="zh-CN"/>
                    </w:rPr>
                    <w:t>红冲、压铸等工序</w:t>
                  </w:r>
                </w:p>
              </w:tc>
              <w:tc>
                <w:tcPr>
                  <w:tcW w:w="440" w:type="pct"/>
                  <w:tcBorders>
                    <w:tl2br w:val="nil"/>
                    <w:tr2bl w:val="nil"/>
                  </w:tcBorders>
                  <w:vAlign w:val="center"/>
                </w:tcPr>
                <w:p w14:paraId="6855ED47">
                  <w:pPr>
                    <w:jc w:val="center"/>
                    <w:rPr>
                      <w:rStyle w:val="36"/>
                      <w:rFonts w:hint="default"/>
                      <w:color w:val="auto"/>
                      <w:sz w:val="18"/>
                      <w:szCs w:val="18"/>
                      <w:lang w:val="en-US" w:eastAsia="zh-CN"/>
                    </w:rPr>
                  </w:pPr>
                  <w:r>
                    <w:rPr>
                      <w:rStyle w:val="36"/>
                      <w:rFonts w:hint="eastAsia"/>
                      <w:color w:val="auto"/>
                      <w:sz w:val="18"/>
                      <w:szCs w:val="18"/>
                      <w:lang w:val="en-US" w:eastAsia="zh-CN"/>
                    </w:rPr>
                    <w:t>1.8</w:t>
                  </w:r>
                </w:p>
              </w:tc>
              <w:tc>
                <w:tcPr>
                  <w:tcW w:w="470" w:type="pct"/>
                  <w:tcBorders>
                    <w:tl2br w:val="nil"/>
                    <w:tr2bl w:val="nil"/>
                  </w:tcBorders>
                  <w:vAlign w:val="center"/>
                </w:tcPr>
                <w:p w14:paraId="519AA3A1">
                  <w:pPr>
                    <w:jc w:val="center"/>
                    <w:rPr>
                      <w:rFonts w:hint="eastAsia"/>
                      <w:color w:val="auto"/>
                      <w:sz w:val="18"/>
                      <w:szCs w:val="18"/>
                      <w:lang w:val="en-US" w:eastAsia="zh-CN"/>
                    </w:rPr>
                  </w:pPr>
                  <w:r>
                    <w:rPr>
                      <w:rFonts w:hint="eastAsia"/>
                      <w:color w:val="auto"/>
                      <w:sz w:val="18"/>
                      <w:szCs w:val="18"/>
                      <w:lang w:val="en-US" w:eastAsia="zh-CN"/>
                    </w:rPr>
                    <w:t>液压油</w:t>
                  </w:r>
                </w:p>
              </w:tc>
              <w:tc>
                <w:tcPr>
                  <w:tcW w:w="357" w:type="pct"/>
                  <w:vMerge w:val="continue"/>
                  <w:tcBorders>
                    <w:tl2br w:val="nil"/>
                    <w:tr2bl w:val="nil"/>
                  </w:tcBorders>
                  <w:vAlign w:val="center"/>
                </w:tcPr>
                <w:p w14:paraId="704143C1">
                  <w:pPr>
                    <w:jc w:val="center"/>
                    <w:rPr>
                      <w:rFonts w:hint="eastAsia"/>
                      <w:color w:val="auto"/>
                      <w:sz w:val="18"/>
                      <w:szCs w:val="18"/>
                    </w:rPr>
                  </w:pPr>
                </w:p>
              </w:tc>
              <w:tc>
                <w:tcPr>
                  <w:tcW w:w="309" w:type="pct"/>
                  <w:tcBorders>
                    <w:tl2br w:val="nil"/>
                    <w:tr2bl w:val="nil"/>
                  </w:tcBorders>
                  <w:shd w:val="clear" w:color="auto" w:fill="auto"/>
                  <w:vAlign w:val="center"/>
                </w:tcPr>
                <w:p w14:paraId="6C6E2A69">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lang w:val="en-US" w:eastAsia="zh-CN"/>
                    </w:rPr>
                    <w:t>液态</w:t>
                  </w:r>
                </w:p>
              </w:tc>
              <w:tc>
                <w:tcPr>
                  <w:tcW w:w="363" w:type="pct"/>
                  <w:tcBorders>
                    <w:tl2br w:val="nil"/>
                    <w:tr2bl w:val="nil"/>
                  </w:tcBorders>
                  <w:shd w:val="clear" w:color="auto" w:fill="auto"/>
                  <w:vAlign w:val="center"/>
                </w:tcPr>
                <w:p w14:paraId="25EFB0B2">
                  <w:pPr>
                    <w:jc w:val="center"/>
                    <w:rPr>
                      <w:rFonts w:hint="eastAsia" w:hAnsi="宋体"/>
                      <w:color w:val="auto"/>
                      <w:sz w:val="18"/>
                      <w:szCs w:val="18"/>
                      <w:lang w:val="en-US" w:eastAsia="zh-CN"/>
                    </w:rPr>
                  </w:pPr>
                  <w:r>
                    <w:rPr>
                      <w:rFonts w:hint="eastAsia" w:hAnsi="宋体"/>
                      <w:color w:val="auto"/>
                      <w:sz w:val="18"/>
                      <w:szCs w:val="18"/>
                      <w:lang w:val="en-US" w:eastAsia="zh-CN"/>
                    </w:rPr>
                    <w:t>WH08</w:t>
                  </w:r>
                </w:p>
              </w:tc>
              <w:tc>
                <w:tcPr>
                  <w:tcW w:w="660" w:type="pct"/>
                  <w:tcBorders>
                    <w:tl2br w:val="nil"/>
                    <w:tr2bl w:val="nil"/>
                  </w:tcBorders>
                  <w:vAlign w:val="center"/>
                </w:tcPr>
                <w:p w14:paraId="78244C06">
                  <w:pPr>
                    <w:jc w:val="center"/>
                    <w:rPr>
                      <w:rStyle w:val="36"/>
                      <w:rFonts w:hint="eastAsia"/>
                      <w:color w:val="auto"/>
                      <w:sz w:val="18"/>
                      <w:szCs w:val="18"/>
                    </w:rPr>
                  </w:pPr>
                  <w:r>
                    <w:rPr>
                      <w:rStyle w:val="36"/>
                      <w:rFonts w:hint="eastAsia"/>
                      <w:color w:val="auto"/>
                      <w:sz w:val="18"/>
                      <w:szCs w:val="18"/>
                    </w:rPr>
                    <w:t>900-218-08</w:t>
                  </w:r>
                </w:p>
              </w:tc>
              <w:tc>
                <w:tcPr>
                  <w:tcW w:w="470" w:type="pct"/>
                  <w:vMerge w:val="continue"/>
                  <w:tcBorders>
                    <w:tl2br w:val="nil"/>
                    <w:tr2bl w:val="nil"/>
                  </w:tcBorders>
                  <w:vAlign w:val="center"/>
                </w:tcPr>
                <w:p w14:paraId="5ABA551B">
                  <w:pPr>
                    <w:pStyle w:val="24"/>
                    <w:spacing w:before="0" w:beforeAutospacing="0" w:after="0" w:afterAutospacing="0"/>
                    <w:jc w:val="center"/>
                    <w:rPr>
                      <w:rStyle w:val="36"/>
                      <w:rFonts w:hint="eastAsia"/>
                      <w:color w:val="auto"/>
                      <w:sz w:val="18"/>
                      <w:szCs w:val="18"/>
                    </w:rPr>
                  </w:pPr>
                </w:p>
              </w:tc>
              <w:tc>
                <w:tcPr>
                  <w:tcW w:w="476" w:type="pct"/>
                  <w:tcBorders>
                    <w:tl2br w:val="nil"/>
                    <w:tr2bl w:val="nil"/>
                  </w:tcBorders>
                  <w:shd w:val="clear" w:color="auto" w:fill="auto"/>
                  <w:vAlign w:val="center"/>
                </w:tcPr>
                <w:p w14:paraId="7A9731EC">
                  <w:pPr>
                    <w:jc w:val="center"/>
                    <w:rPr>
                      <w:rFonts w:hint="eastAsia"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1.8</w:t>
                  </w:r>
                </w:p>
              </w:tc>
              <w:tc>
                <w:tcPr>
                  <w:tcW w:w="475" w:type="pct"/>
                  <w:vMerge w:val="continue"/>
                  <w:tcBorders>
                    <w:tl2br w:val="nil"/>
                    <w:tr2bl w:val="nil"/>
                  </w:tcBorders>
                  <w:vAlign w:val="center"/>
                </w:tcPr>
                <w:p w14:paraId="58E978E3">
                  <w:pPr>
                    <w:pStyle w:val="24"/>
                    <w:spacing w:before="0" w:beforeAutospacing="0" w:after="0" w:afterAutospacing="0"/>
                    <w:jc w:val="center"/>
                    <w:rPr>
                      <w:rStyle w:val="36"/>
                      <w:rFonts w:hint="eastAsia"/>
                      <w:color w:val="auto"/>
                      <w:sz w:val="18"/>
                      <w:szCs w:val="18"/>
                    </w:rPr>
                  </w:pPr>
                </w:p>
              </w:tc>
            </w:tr>
            <w:tr w14:paraId="6F952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vAlign w:val="center"/>
                </w:tcPr>
                <w:p w14:paraId="1FDA0911">
                  <w:pPr>
                    <w:jc w:val="center"/>
                    <w:rPr>
                      <w:rFonts w:hint="eastAsia" w:hAnsi="宋体" w:eastAsia="宋体"/>
                      <w:color w:val="auto"/>
                      <w:sz w:val="18"/>
                      <w:szCs w:val="18"/>
                      <w:lang w:eastAsia="zh-CN"/>
                    </w:rPr>
                  </w:pPr>
                  <w:r>
                    <w:rPr>
                      <w:rFonts w:hint="eastAsia"/>
                      <w:color w:val="auto"/>
                      <w:sz w:val="18"/>
                      <w:szCs w:val="18"/>
                      <w:lang w:val="en-US" w:eastAsia="zh-CN"/>
                    </w:rPr>
                    <w:t>废活性炭</w:t>
                  </w:r>
                </w:p>
              </w:tc>
              <w:tc>
                <w:tcPr>
                  <w:tcW w:w="494" w:type="pct"/>
                  <w:tcBorders>
                    <w:tl2br w:val="nil"/>
                    <w:tr2bl w:val="nil"/>
                  </w:tcBorders>
                  <w:vAlign w:val="center"/>
                </w:tcPr>
                <w:p w14:paraId="0A9A8A6D">
                  <w:pPr>
                    <w:jc w:val="center"/>
                    <w:rPr>
                      <w:rFonts w:hint="default" w:eastAsia="宋体"/>
                      <w:color w:val="auto"/>
                      <w:sz w:val="18"/>
                      <w:szCs w:val="18"/>
                      <w:lang w:val="en-US" w:eastAsia="zh-CN"/>
                    </w:rPr>
                  </w:pPr>
                  <w:r>
                    <w:rPr>
                      <w:rFonts w:hint="eastAsia"/>
                      <w:color w:val="auto"/>
                      <w:sz w:val="18"/>
                      <w:szCs w:val="18"/>
                      <w:lang w:val="en-US" w:eastAsia="zh-CN"/>
                    </w:rPr>
                    <w:t>废气治理</w:t>
                  </w:r>
                </w:p>
              </w:tc>
              <w:tc>
                <w:tcPr>
                  <w:tcW w:w="440" w:type="pct"/>
                  <w:tcBorders>
                    <w:tl2br w:val="nil"/>
                    <w:tr2bl w:val="nil"/>
                  </w:tcBorders>
                  <w:vAlign w:val="center"/>
                </w:tcPr>
                <w:p w14:paraId="65BD2261">
                  <w:pPr>
                    <w:jc w:val="center"/>
                    <w:rPr>
                      <w:rStyle w:val="36"/>
                      <w:rFonts w:hint="default" w:eastAsia="宋体"/>
                      <w:color w:val="auto"/>
                      <w:sz w:val="18"/>
                      <w:szCs w:val="18"/>
                      <w:lang w:val="en-US" w:eastAsia="zh-CN"/>
                    </w:rPr>
                  </w:pPr>
                  <w:r>
                    <w:rPr>
                      <w:rStyle w:val="36"/>
                      <w:rFonts w:hint="eastAsia"/>
                      <w:color w:val="auto"/>
                      <w:sz w:val="18"/>
                      <w:szCs w:val="18"/>
                      <w:lang w:val="en-US" w:eastAsia="zh-CN"/>
                    </w:rPr>
                    <w:t>14.404</w:t>
                  </w:r>
                </w:p>
              </w:tc>
              <w:tc>
                <w:tcPr>
                  <w:tcW w:w="470" w:type="pct"/>
                  <w:tcBorders>
                    <w:tl2br w:val="nil"/>
                    <w:tr2bl w:val="nil"/>
                  </w:tcBorders>
                  <w:vAlign w:val="center"/>
                </w:tcPr>
                <w:p w14:paraId="23DCD894">
                  <w:pPr>
                    <w:jc w:val="center"/>
                    <w:rPr>
                      <w:rFonts w:hint="default" w:eastAsia="宋体"/>
                      <w:color w:val="auto"/>
                      <w:sz w:val="18"/>
                      <w:szCs w:val="18"/>
                      <w:lang w:val="en-US" w:eastAsia="zh-CN"/>
                    </w:rPr>
                  </w:pPr>
                  <w:r>
                    <w:rPr>
                      <w:rFonts w:hint="eastAsia"/>
                      <w:color w:val="auto"/>
                      <w:sz w:val="18"/>
                      <w:szCs w:val="18"/>
                      <w:lang w:val="en-US" w:eastAsia="zh-CN"/>
                    </w:rPr>
                    <w:t>吸附有机物</w:t>
                  </w:r>
                </w:p>
              </w:tc>
              <w:tc>
                <w:tcPr>
                  <w:tcW w:w="357" w:type="pct"/>
                  <w:vMerge w:val="continue"/>
                  <w:tcBorders>
                    <w:tl2br w:val="nil"/>
                    <w:tr2bl w:val="nil"/>
                  </w:tcBorders>
                  <w:vAlign w:val="center"/>
                </w:tcPr>
                <w:p w14:paraId="6A6D6A79">
                  <w:pPr>
                    <w:jc w:val="center"/>
                    <w:rPr>
                      <w:color w:val="auto"/>
                      <w:sz w:val="18"/>
                      <w:szCs w:val="18"/>
                    </w:rPr>
                  </w:pPr>
                </w:p>
              </w:tc>
              <w:tc>
                <w:tcPr>
                  <w:tcW w:w="309" w:type="pct"/>
                  <w:tcBorders>
                    <w:tl2br w:val="nil"/>
                    <w:tr2bl w:val="nil"/>
                  </w:tcBorders>
                  <w:vAlign w:val="center"/>
                </w:tcPr>
                <w:p w14:paraId="029A9374">
                  <w:pPr>
                    <w:jc w:val="center"/>
                    <w:rPr>
                      <w:rFonts w:hint="eastAsia" w:hAnsi="宋体"/>
                      <w:color w:val="auto"/>
                      <w:sz w:val="18"/>
                      <w:szCs w:val="18"/>
                    </w:rPr>
                  </w:pPr>
                  <w:r>
                    <w:rPr>
                      <w:rFonts w:hint="eastAsia" w:hAnsi="宋体"/>
                      <w:color w:val="auto"/>
                      <w:sz w:val="18"/>
                      <w:szCs w:val="18"/>
                    </w:rPr>
                    <w:t>固态</w:t>
                  </w:r>
                </w:p>
              </w:tc>
              <w:tc>
                <w:tcPr>
                  <w:tcW w:w="363" w:type="pct"/>
                  <w:tcBorders>
                    <w:tl2br w:val="nil"/>
                    <w:tr2bl w:val="nil"/>
                  </w:tcBorders>
                  <w:vAlign w:val="center"/>
                </w:tcPr>
                <w:p w14:paraId="71E20521">
                  <w:pPr>
                    <w:jc w:val="center"/>
                    <w:rPr>
                      <w:rFonts w:hint="eastAsia" w:hAnsi="宋体"/>
                      <w:color w:val="auto"/>
                      <w:sz w:val="18"/>
                      <w:szCs w:val="18"/>
                    </w:rPr>
                  </w:pPr>
                  <w:r>
                    <w:rPr>
                      <w:rFonts w:hint="eastAsia" w:hAnsi="宋体"/>
                      <w:color w:val="auto"/>
                      <w:sz w:val="18"/>
                      <w:szCs w:val="18"/>
                      <w:lang w:val="en-US" w:eastAsia="zh-CN"/>
                    </w:rPr>
                    <w:t>WH49</w:t>
                  </w:r>
                </w:p>
              </w:tc>
              <w:tc>
                <w:tcPr>
                  <w:tcW w:w="660" w:type="pct"/>
                  <w:tcBorders>
                    <w:tl2br w:val="nil"/>
                    <w:tr2bl w:val="nil"/>
                  </w:tcBorders>
                  <w:vAlign w:val="center"/>
                </w:tcPr>
                <w:p w14:paraId="7F178767">
                  <w:pPr>
                    <w:jc w:val="center"/>
                    <w:rPr>
                      <w:rStyle w:val="36"/>
                      <w:rFonts w:hint="default" w:eastAsia="宋体"/>
                      <w:color w:val="auto"/>
                      <w:sz w:val="18"/>
                      <w:szCs w:val="18"/>
                      <w:lang w:val="en-US" w:eastAsia="zh-CN"/>
                    </w:rPr>
                  </w:pPr>
                  <w:r>
                    <w:rPr>
                      <w:color w:val="auto"/>
                      <w:sz w:val="18"/>
                      <w:szCs w:val="18"/>
                    </w:rPr>
                    <w:t>900-</w:t>
                  </w:r>
                  <w:r>
                    <w:rPr>
                      <w:rFonts w:hint="eastAsia"/>
                      <w:color w:val="auto"/>
                      <w:sz w:val="18"/>
                      <w:szCs w:val="18"/>
                      <w:lang w:val="en-US" w:eastAsia="zh-CN"/>
                    </w:rPr>
                    <w:t>039</w:t>
                  </w:r>
                  <w:r>
                    <w:rPr>
                      <w:color w:val="auto"/>
                      <w:sz w:val="18"/>
                      <w:szCs w:val="18"/>
                    </w:rPr>
                    <w:t>-</w:t>
                  </w:r>
                  <w:r>
                    <w:rPr>
                      <w:rFonts w:hint="eastAsia"/>
                      <w:color w:val="auto"/>
                      <w:sz w:val="18"/>
                      <w:szCs w:val="18"/>
                      <w:lang w:val="en-US" w:eastAsia="zh-CN"/>
                    </w:rPr>
                    <w:t>49</w:t>
                  </w:r>
                </w:p>
              </w:tc>
              <w:tc>
                <w:tcPr>
                  <w:tcW w:w="470" w:type="pct"/>
                  <w:vMerge w:val="continue"/>
                  <w:tcBorders>
                    <w:tl2br w:val="nil"/>
                    <w:tr2bl w:val="nil"/>
                  </w:tcBorders>
                  <w:vAlign w:val="center"/>
                </w:tcPr>
                <w:p w14:paraId="44B27873">
                  <w:pPr>
                    <w:pStyle w:val="24"/>
                    <w:spacing w:before="0" w:beforeAutospacing="0" w:after="0" w:afterAutospacing="0"/>
                    <w:jc w:val="center"/>
                    <w:rPr>
                      <w:rFonts w:hint="eastAsia"/>
                      <w:color w:val="auto"/>
                      <w:sz w:val="18"/>
                      <w:szCs w:val="18"/>
                    </w:rPr>
                  </w:pPr>
                </w:p>
              </w:tc>
              <w:tc>
                <w:tcPr>
                  <w:tcW w:w="476" w:type="pct"/>
                  <w:tcBorders>
                    <w:tl2br w:val="nil"/>
                    <w:tr2bl w:val="nil"/>
                  </w:tcBorders>
                  <w:shd w:val="clear" w:color="auto" w:fill="auto"/>
                  <w:vAlign w:val="center"/>
                </w:tcPr>
                <w:p w14:paraId="0DC3B244">
                  <w:pPr>
                    <w:jc w:val="center"/>
                    <w:rPr>
                      <w:rFonts w:hint="default" w:ascii="Times New Roman" w:hAnsi="Times New Roman" w:eastAsia="宋体" w:cs="Times New Roman"/>
                      <w:color w:val="auto"/>
                      <w:kern w:val="2"/>
                      <w:sz w:val="18"/>
                      <w:szCs w:val="18"/>
                      <w:lang w:val="en-US" w:eastAsia="zh-CN" w:bidi="ar-SA"/>
                    </w:rPr>
                  </w:pPr>
                  <w:r>
                    <w:rPr>
                      <w:rStyle w:val="36"/>
                      <w:rFonts w:hint="eastAsia"/>
                      <w:color w:val="auto"/>
                      <w:sz w:val="18"/>
                      <w:szCs w:val="18"/>
                      <w:lang w:val="en-US" w:eastAsia="zh-CN"/>
                    </w:rPr>
                    <w:t>14.404</w:t>
                  </w:r>
                </w:p>
              </w:tc>
              <w:tc>
                <w:tcPr>
                  <w:tcW w:w="475" w:type="pct"/>
                  <w:vMerge w:val="continue"/>
                  <w:tcBorders>
                    <w:tl2br w:val="nil"/>
                    <w:tr2bl w:val="nil"/>
                  </w:tcBorders>
                  <w:vAlign w:val="center"/>
                </w:tcPr>
                <w:p w14:paraId="279A900E">
                  <w:pPr>
                    <w:pStyle w:val="24"/>
                    <w:spacing w:before="0" w:beforeAutospacing="0" w:after="0" w:afterAutospacing="0"/>
                    <w:jc w:val="center"/>
                    <w:rPr>
                      <w:rFonts w:hint="eastAsia"/>
                      <w:color w:val="auto"/>
                      <w:sz w:val="18"/>
                      <w:szCs w:val="18"/>
                    </w:rPr>
                  </w:pPr>
                </w:p>
              </w:tc>
            </w:tr>
            <w:tr w14:paraId="1D3C7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shd w:val="clear" w:color="auto" w:fill="auto"/>
                  <w:vAlign w:val="center"/>
                </w:tcPr>
                <w:p w14:paraId="564CF560">
                  <w:pPr>
                    <w:jc w:val="center"/>
                    <w:rPr>
                      <w:rFonts w:hint="eastAsia" w:hAnsi="宋体" w:eastAsia="宋体"/>
                      <w:color w:val="auto"/>
                      <w:sz w:val="18"/>
                      <w:szCs w:val="18"/>
                      <w:lang w:val="en-US" w:eastAsia="zh-CN"/>
                    </w:rPr>
                  </w:pPr>
                  <w:r>
                    <w:rPr>
                      <w:rFonts w:hint="eastAsia" w:hAnsi="宋体"/>
                      <w:color w:val="auto"/>
                      <w:sz w:val="18"/>
                      <w:szCs w:val="18"/>
                      <w:lang w:val="en-US" w:eastAsia="zh-CN"/>
                    </w:rPr>
                    <w:t>废包装桶</w:t>
                  </w:r>
                </w:p>
              </w:tc>
              <w:tc>
                <w:tcPr>
                  <w:tcW w:w="494" w:type="pct"/>
                  <w:tcBorders>
                    <w:tl2br w:val="nil"/>
                    <w:tr2bl w:val="nil"/>
                  </w:tcBorders>
                  <w:shd w:val="clear" w:color="auto" w:fill="auto"/>
                  <w:vAlign w:val="center"/>
                </w:tcPr>
                <w:p w14:paraId="4B161955">
                  <w:pPr>
                    <w:jc w:val="center"/>
                    <w:rPr>
                      <w:rFonts w:hint="default" w:eastAsia="宋体"/>
                      <w:color w:val="auto"/>
                      <w:sz w:val="18"/>
                      <w:szCs w:val="18"/>
                      <w:lang w:val="en-US" w:eastAsia="zh-CN"/>
                    </w:rPr>
                  </w:pPr>
                  <w:r>
                    <w:rPr>
                      <w:rFonts w:hint="eastAsia"/>
                      <w:color w:val="auto"/>
                      <w:sz w:val="18"/>
                      <w:szCs w:val="18"/>
                      <w:lang w:val="en-US" w:eastAsia="zh-CN"/>
                    </w:rPr>
                    <w:t>机油、切削油使用</w:t>
                  </w:r>
                </w:p>
              </w:tc>
              <w:tc>
                <w:tcPr>
                  <w:tcW w:w="440" w:type="pct"/>
                  <w:tcBorders>
                    <w:tl2br w:val="nil"/>
                    <w:tr2bl w:val="nil"/>
                  </w:tcBorders>
                  <w:shd w:val="clear" w:color="auto" w:fill="auto"/>
                  <w:vAlign w:val="center"/>
                </w:tcPr>
                <w:p w14:paraId="2DCBE75C">
                  <w:pPr>
                    <w:jc w:val="center"/>
                    <w:rPr>
                      <w:rFonts w:hint="default"/>
                      <w:color w:val="auto"/>
                      <w:sz w:val="18"/>
                      <w:szCs w:val="18"/>
                      <w:lang w:val="en-US" w:eastAsia="zh-CN"/>
                    </w:rPr>
                  </w:pPr>
                  <w:r>
                    <w:rPr>
                      <w:rFonts w:hint="eastAsia"/>
                      <w:color w:val="auto"/>
                      <w:sz w:val="18"/>
                      <w:szCs w:val="18"/>
                      <w:lang w:val="en-US" w:eastAsia="zh-CN"/>
                    </w:rPr>
                    <w:t>30个/年（约0.45t/a）</w:t>
                  </w:r>
                </w:p>
              </w:tc>
              <w:tc>
                <w:tcPr>
                  <w:tcW w:w="470" w:type="pct"/>
                  <w:tcBorders>
                    <w:tl2br w:val="nil"/>
                    <w:tr2bl w:val="nil"/>
                  </w:tcBorders>
                  <w:shd w:val="clear" w:color="auto" w:fill="auto"/>
                  <w:vAlign w:val="center"/>
                </w:tcPr>
                <w:p w14:paraId="37392407">
                  <w:pPr>
                    <w:jc w:val="center"/>
                    <w:rPr>
                      <w:rFonts w:hint="default"/>
                      <w:color w:val="auto"/>
                      <w:sz w:val="18"/>
                      <w:szCs w:val="18"/>
                      <w:lang w:val="en-US" w:eastAsia="zh-CN"/>
                    </w:rPr>
                  </w:pPr>
                  <w:r>
                    <w:rPr>
                      <w:rFonts w:hint="eastAsia"/>
                      <w:color w:val="auto"/>
                      <w:sz w:val="18"/>
                      <w:szCs w:val="18"/>
                      <w:lang w:val="en-US" w:eastAsia="zh-CN"/>
                    </w:rPr>
                    <w:t>沾染机油、切削液</w:t>
                  </w:r>
                </w:p>
              </w:tc>
              <w:tc>
                <w:tcPr>
                  <w:tcW w:w="357" w:type="pct"/>
                  <w:vMerge w:val="continue"/>
                  <w:tcBorders>
                    <w:tl2br w:val="nil"/>
                    <w:tr2bl w:val="nil"/>
                  </w:tcBorders>
                  <w:vAlign w:val="center"/>
                </w:tcPr>
                <w:p w14:paraId="6882D9E5">
                  <w:pPr>
                    <w:jc w:val="center"/>
                    <w:rPr>
                      <w:rFonts w:hint="eastAsia" w:eastAsia="宋体"/>
                      <w:color w:val="auto"/>
                      <w:sz w:val="18"/>
                      <w:szCs w:val="18"/>
                      <w:lang w:val="en-US" w:eastAsia="zh-CN"/>
                    </w:rPr>
                  </w:pPr>
                </w:p>
              </w:tc>
              <w:tc>
                <w:tcPr>
                  <w:tcW w:w="309" w:type="pct"/>
                  <w:tcBorders>
                    <w:tl2br w:val="nil"/>
                    <w:tr2bl w:val="nil"/>
                  </w:tcBorders>
                  <w:shd w:val="clear" w:color="auto" w:fill="auto"/>
                  <w:vAlign w:val="center"/>
                </w:tcPr>
                <w:p w14:paraId="4D2D0B0A">
                  <w:pPr>
                    <w:jc w:val="center"/>
                    <w:rPr>
                      <w:rFonts w:hint="eastAsia" w:hAnsi="宋体"/>
                      <w:color w:val="auto"/>
                      <w:sz w:val="18"/>
                      <w:szCs w:val="18"/>
                      <w:lang w:val="en-US" w:eastAsia="zh-CN"/>
                    </w:rPr>
                  </w:pPr>
                  <w:r>
                    <w:rPr>
                      <w:rFonts w:hint="eastAsia" w:hAnsi="宋体"/>
                      <w:color w:val="auto"/>
                      <w:sz w:val="18"/>
                      <w:szCs w:val="18"/>
                    </w:rPr>
                    <w:t>固态</w:t>
                  </w:r>
                </w:p>
              </w:tc>
              <w:tc>
                <w:tcPr>
                  <w:tcW w:w="363" w:type="pct"/>
                  <w:tcBorders>
                    <w:tl2br w:val="nil"/>
                    <w:tr2bl w:val="nil"/>
                  </w:tcBorders>
                  <w:shd w:val="clear" w:color="auto" w:fill="auto"/>
                  <w:vAlign w:val="center"/>
                </w:tcPr>
                <w:p w14:paraId="1C8B8FAA">
                  <w:pPr>
                    <w:jc w:val="center"/>
                    <w:rPr>
                      <w:rFonts w:hint="eastAsia" w:hAnsi="宋体" w:eastAsia="宋体"/>
                      <w:color w:val="auto"/>
                      <w:sz w:val="18"/>
                      <w:szCs w:val="18"/>
                      <w:lang w:val="en-US" w:eastAsia="zh-CN"/>
                    </w:rPr>
                  </w:pPr>
                  <w:r>
                    <w:rPr>
                      <w:rFonts w:hint="eastAsia" w:hAnsi="宋体"/>
                      <w:color w:val="auto"/>
                      <w:sz w:val="18"/>
                      <w:szCs w:val="18"/>
                      <w:lang w:val="en-US" w:eastAsia="zh-CN"/>
                    </w:rPr>
                    <w:t>/</w:t>
                  </w:r>
                </w:p>
              </w:tc>
              <w:tc>
                <w:tcPr>
                  <w:tcW w:w="660" w:type="pct"/>
                  <w:tcBorders>
                    <w:tl2br w:val="nil"/>
                    <w:tr2bl w:val="nil"/>
                  </w:tcBorders>
                  <w:shd w:val="clear" w:color="auto" w:fill="auto"/>
                  <w:vAlign w:val="center"/>
                </w:tcPr>
                <w:p w14:paraId="5E5BADDF">
                  <w:pPr>
                    <w:jc w:val="center"/>
                    <w:rPr>
                      <w:rFonts w:hint="eastAsia" w:eastAsia="宋体"/>
                      <w:color w:val="auto"/>
                      <w:sz w:val="18"/>
                      <w:szCs w:val="18"/>
                      <w:lang w:val="en-US" w:eastAsia="zh-CN"/>
                    </w:rPr>
                  </w:pPr>
                  <w:r>
                    <w:rPr>
                      <w:rFonts w:hint="eastAsia"/>
                      <w:color w:val="auto"/>
                      <w:sz w:val="18"/>
                      <w:szCs w:val="18"/>
                      <w:lang w:val="en-US" w:eastAsia="zh-CN"/>
                    </w:rPr>
                    <w:t>/</w:t>
                  </w:r>
                </w:p>
              </w:tc>
              <w:tc>
                <w:tcPr>
                  <w:tcW w:w="470" w:type="pct"/>
                  <w:tcBorders>
                    <w:tl2br w:val="nil"/>
                    <w:tr2bl w:val="nil"/>
                  </w:tcBorders>
                  <w:vAlign w:val="center"/>
                </w:tcPr>
                <w:p w14:paraId="6F9C5B13">
                  <w:pPr>
                    <w:pStyle w:val="24"/>
                    <w:spacing w:before="0" w:beforeAutospacing="0" w:after="0" w:afterAutospacing="0"/>
                    <w:jc w:val="center"/>
                    <w:rPr>
                      <w:rFonts w:hint="default" w:eastAsia="宋体"/>
                      <w:color w:val="auto"/>
                      <w:sz w:val="18"/>
                      <w:szCs w:val="18"/>
                      <w:lang w:val="en-US" w:eastAsia="zh-CN"/>
                    </w:rPr>
                  </w:pPr>
                  <w:r>
                    <w:rPr>
                      <w:rFonts w:hint="eastAsia"/>
                      <w:color w:val="auto"/>
                      <w:sz w:val="18"/>
                      <w:szCs w:val="18"/>
                      <w:lang w:val="en-US" w:eastAsia="zh-CN"/>
                    </w:rPr>
                    <w:t>供应商回收利用</w:t>
                  </w:r>
                </w:p>
              </w:tc>
              <w:tc>
                <w:tcPr>
                  <w:tcW w:w="476" w:type="pct"/>
                  <w:tcBorders>
                    <w:tl2br w:val="nil"/>
                    <w:tr2bl w:val="nil"/>
                  </w:tcBorders>
                  <w:shd w:val="clear" w:color="auto" w:fill="auto"/>
                  <w:vAlign w:val="center"/>
                </w:tcPr>
                <w:p w14:paraId="5180EEBB">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30个/年（约0.45t/a）</w:t>
                  </w:r>
                </w:p>
              </w:tc>
              <w:tc>
                <w:tcPr>
                  <w:tcW w:w="475" w:type="pct"/>
                  <w:vMerge w:val="continue"/>
                  <w:tcBorders>
                    <w:tl2br w:val="nil"/>
                    <w:tr2bl w:val="nil"/>
                  </w:tcBorders>
                  <w:vAlign w:val="center"/>
                </w:tcPr>
                <w:p w14:paraId="4478FC4F">
                  <w:pPr>
                    <w:pStyle w:val="24"/>
                    <w:spacing w:before="0" w:beforeAutospacing="0" w:after="0" w:afterAutospacing="0"/>
                    <w:jc w:val="center"/>
                    <w:rPr>
                      <w:rFonts w:hint="eastAsia"/>
                      <w:color w:val="auto"/>
                      <w:sz w:val="18"/>
                      <w:szCs w:val="18"/>
                    </w:rPr>
                  </w:pPr>
                </w:p>
              </w:tc>
            </w:tr>
            <w:tr w14:paraId="3FCE3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shd w:val="clear" w:color="auto" w:fill="auto"/>
                  <w:vAlign w:val="center"/>
                </w:tcPr>
                <w:p w14:paraId="7A31FA17">
                  <w:pPr>
                    <w:jc w:val="center"/>
                    <w:rPr>
                      <w:rFonts w:hint="default" w:hAnsi="宋体"/>
                      <w:color w:val="auto"/>
                      <w:sz w:val="18"/>
                      <w:szCs w:val="18"/>
                      <w:lang w:val="en-US" w:eastAsia="zh-CN"/>
                    </w:rPr>
                  </w:pPr>
                  <w:r>
                    <w:rPr>
                      <w:rFonts w:hint="eastAsia" w:hAnsi="宋体"/>
                      <w:color w:val="auto"/>
                      <w:sz w:val="18"/>
                      <w:szCs w:val="18"/>
                      <w:lang w:val="en-US" w:eastAsia="zh-CN"/>
                    </w:rPr>
                    <w:t>铝灰</w:t>
                  </w:r>
                </w:p>
              </w:tc>
              <w:tc>
                <w:tcPr>
                  <w:tcW w:w="494" w:type="pct"/>
                  <w:tcBorders>
                    <w:tl2br w:val="nil"/>
                    <w:tr2bl w:val="nil"/>
                  </w:tcBorders>
                  <w:shd w:val="clear" w:color="auto" w:fill="auto"/>
                  <w:vAlign w:val="center"/>
                </w:tcPr>
                <w:p w14:paraId="0F5D690B">
                  <w:pPr>
                    <w:jc w:val="center"/>
                    <w:rPr>
                      <w:rFonts w:hint="eastAsia"/>
                      <w:color w:val="auto"/>
                      <w:sz w:val="18"/>
                      <w:szCs w:val="18"/>
                      <w:lang w:val="en-US" w:eastAsia="zh-CN"/>
                    </w:rPr>
                  </w:pPr>
                  <w:r>
                    <w:rPr>
                      <w:rFonts w:hint="eastAsia"/>
                      <w:color w:val="auto"/>
                      <w:sz w:val="18"/>
                      <w:szCs w:val="18"/>
                      <w:lang w:val="en-US" w:eastAsia="zh-CN"/>
                    </w:rPr>
                    <w:t>废气治理</w:t>
                  </w:r>
                </w:p>
              </w:tc>
              <w:tc>
                <w:tcPr>
                  <w:tcW w:w="440" w:type="pct"/>
                  <w:tcBorders>
                    <w:tl2br w:val="nil"/>
                    <w:tr2bl w:val="nil"/>
                  </w:tcBorders>
                  <w:shd w:val="clear" w:color="auto" w:fill="auto"/>
                  <w:vAlign w:val="center"/>
                </w:tcPr>
                <w:p w14:paraId="6F3A4C92">
                  <w:pPr>
                    <w:jc w:val="center"/>
                    <w:rPr>
                      <w:rFonts w:hint="default"/>
                      <w:color w:val="auto"/>
                      <w:sz w:val="18"/>
                      <w:szCs w:val="18"/>
                      <w:lang w:val="en-US" w:eastAsia="zh-CN"/>
                    </w:rPr>
                  </w:pPr>
                  <w:r>
                    <w:rPr>
                      <w:rFonts w:hint="eastAsia"/>
                      <w:color w:val="auto"/>
                      <w:sz w:val="18"/>
                      <w:szCs w:val="18"/>
                      <w:lang w:val="en-US" w:eastAsia="zh-CN"/>
                    </w:rPr>
                    <w:t>1.848</w:t>
                  </w:r>
                </w:p>
              </w:tc>
              <w:tc>
                <w:tcPr>
                  <w:tcW w:w="470" w:type="pct"/>
                  <w:tcBorders>
                    <w:tl2br w:val="nil"/>
                    <w:tr2bl w:val="nil"/>
                  </w:tcBorders>
                  <w:shd w:val="clear" w:color="auto" w:fill="auto"/>
                  <w:vAlign w:val="center"/>
                </w:tcPr>
                <w:p w14:paraId="1AA6070F">
                  <w:pPr>
                    <w:jc w:val="center"/>
                    <w:rPr>
                      <w:rFonts w:hint="default"/>
                      <w:color w:val="auto"/>
                      <w:sz w:val="18"/>
                      <w:szCs w:val="18"/>
                      <w:lang w:val="en-US" w:eastAsia="zh-CN"/>
                    </w:rPr>
                  </w:pPr>
                  <w:r>
                    <w:rPr>
                      <w:rFonts w:hint="eastAsia"/>
                      <w:color w:val="auto"/>
                      <w:sz w:val="18"/>
                      <w:szCs w:val="18"/>
                      <w:lang w:val="en-US" w:eastAsia="zh-CN"/>
                    </w:rPr>
                    <w:t>氧化铝</w:t>
                  </w:r>
                </w:p>
              </w:tc>
              <w:tc>
                <w:tcPr>
                  <w:tcW w:w="357" w:type="pct"/>
                  <w:vMerge w:val="continue"/>
                  <w:tcBorders>
                    <w:tl2br w:val="nil"/>
                    <w:tr2bl w:val="nil"/>
                  </w:tcBorders>
                  <w:vAlign w:val="center"/>
                </w:tcPr>
                <w:p w14:paraId="0C5998C4">
                  <w:pPr>
                    <w:jc w:val="center"/>
                    <w:rPr>
                      <w:rFonts w:hint="eastAsia"/>
                      <w:color w:val="auto"/>
                      <w:sz w:val="18"/>
                      <w:szCs w:val="18"/>
                      <w:lang w:val="en-US" w:eastAsia="zh-CN"/>
                    </w:rPr>
                  </w:pPr>
                </w:p>
              </w:tc>
              <w:tc>
                <w:tcPr>
                  <w:tcW w:w="309" w:type="pct"/>
                  <w:tcBorders>
                    <w:tl2br w:val="nil"/>
                    <w:tr2bl w:val="nil"/>
                  </w:tcBorders>
                  <w:shd w:val="clear" w:color="auto" w:fill="auto"/>
                  <w:vAlign w:val="center"/>
                </w:tcPr>
                <w:p w14:paraId="0810BD9C">
                  <w:pPr>
                    <w:jc w:val="center"/>
                    <w:rPr>
                      <w:rFonts w:hint="eastAsia" w:hAnsi="宋体"/>
                      <w:color w:val="auto"/>
                      <w:sz w:val="18"/>
                      <w:szCs w:val="18"/>
                    </w:rPr>
                  </w:pPr>
                  <w:r>
                    <w:rPr>
                      <w:rFonts w:hint="eastAsia" w:hAnsi="宋体"/>
                      <w:color w:val="auto"/>
                      <w:sz w:val="18"/>
                      <w:szCs w:val="18"/>
                    </w:rPr>
                    <w:t>固态</w:t>
                  </w:r>
                </w:p>
              </w:tc>
              <w:tc>
                <w:tcPr>
                  <w:tcW w:w="363" w:type="pct"/>
                  <w:tcBorders>
                    <w:tl2br w:val="nil"/>
                    <w:tr2bl w:val="nil"/>
                  </w:tcBorders>
                  <w:shd w:val="clear" w:color="auto" w:fill="auto"/>
                  <w:vAlign w:val="center"/>
                </w:tcPr>
                <w:p w14:paraId="3203D173">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lang w:val="en-US" w:eastAsia="zh-CN"/>
                    </w:rPr>
                    <w:t>WH48</w:t>
                  </w:r>
                </w:p>
              </w:tc>
              <w:tc>
                <w:tcPr>
                  <w:tcW w:w="660" w:type="pct"/>
                  <w:tcBorders>
                    <w:tl2br w:val="nil"/>
                    <w:tr2bl w:val="nil"/>
                  </w:tcBorders>
                  <w:shd w:val="clear" w:color="auto" w:fill="auto"/>
                  <w:vAlign w:val="center"/>
                </w:tcPr>
                <w:p w14:paraId="5E56CE74">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900-</w:t>
                  </w:r>
                  <w:r>
                    <w:rPr>
                      <w:rFonts w:hint="eastAsia"/>
                      <w:color w:val="auto"/>
                      <w:sz w:val="18"/>
                      <w:szCs w:val="18"/>
                      <w:lang w:val="en-US" w:eastAsia="zh-CN"/>
                    </w:rPr>
                    <w:t>034</w:t>
                  </w:r>
                  <w:r>
                    <w:rPr>
                      <w:color w:val="auto"/>
                      <w:sz w:val="18"/>
                      <w:szCs w:val="18"/>
                    </w:rPr>
                    <w:t>-</w:t>
                  </w:r>
                  <w:r>
                    <w:rPr>
                      <w:rFonts w:hint="eastAsia"/>
                      <w:color w:val="auto"/>
                      <w:sz w:val="18"/>
                      <w:szCs w:val="18"/>
                      <w:lang w:val="en-US" w:eastAsia="zh-CN"/>
                    </w:rPr>
                    <w:t>48</w:t>
                  </w:r>
                </w:p>
              </w:tc>
              <w:tc>
                <w:tcPr>
                  <w:tcW w:w="470" w:type="pct"/>
                  <w:vMerge w:val="restart"/>
                  <w:tcBorders>
                    <w:tl2br w:val="nil"/>
                    <w:tr2bl w:val="nil"/>
                  </w:tcBorders>
                  <w:vAlign w:val="center"/>
                </w:tcPr>
                <w:p w14:paraId="15C81CA2">
                  <w:pPr>
                    <w:pStyle w:val="24"/>
                    <w:spacing w:before="0" w:beforeAutospacing="0" w:after="0" w:afterAutospacing="0"/>
                    <w:jc w:val="center"/>
                    <w:rPr>
                      <w:rFonts w:hint="eastAsia"/>
                      <w:color w:val="auto"/>
                      <w:sz w:val="18"/>
                      <w:szCs w:val="18"/>
                      <w:lang w:val="en-US" w:eastAsia="zh-CN"/>
                    </w:rPr>
                  </w:pPr>
                  <w:r>
                    <w:rPr>
                      <w:rFonts w:hint="eastAsia"/>
                      <w:color w:val="auto"/>
                      <w:sz w:val="18"/>
                      <w:szCs w:val="18"/>
                    </w:rPr>
                    <w:t>委托有资质单位处理</w:t>
                  </w:r>
                </w:p>
              </w:tc>
              <w:tc>
                <w:tcPr>
                  <w:tcW w:w="476" w:type="pct"/>
                  <w:tcBorders>
                    <w:tl2br w:val="nil"/>
                    <w:tr2bl w:val="nil"/>
                  </w:tcBorders>
                  <w:shd w:val="clear" w:color="auto" w:fill="auto"/>
                  <w:vAlign w:val="center"/>
                </w:tcPr>
                <w:p w14:paraId="6EDAA7E7">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1.848</w:t>
                  </w:r>
                </w:p>
              </w:tc>
              <w:tc>
                <w:tcPr>
                  <w:tcW w:w="475" w:type="pct"/>
                  <w:vMerge w:val="continue"/>
                  <w:tcBorders>
                    <w:tl2br w:val="nil"/>
                    <w:tr2bl w:val="nil"/>
                  </w:tcBorders>
                  <w:vAlign w:val="center"/>
                </w:tcPr>
                <w:p w14:paraId="226A5356">
                  <w:pPr>
                    <w:pStyle w:val="24"/>
                    <w:spacing w:before="0" w:beforeAutospacing="0" w:after="0" w:afterAutospacing="0"/>
                    <w:jc w:val="center"/>
                    <w:rPr>
                      <w:rFonts w:hint="eastAsia"/>
                      <w:color w:val="auto"/>
                      <w:sz w:val="18"/>
                      <w:szCs w:val="18"/>
                    </w:rPr>
                  </w:pPr>
                </w:p>
              </w:tc>
            </w:tr>
            <w:tr w14:paraId="1AD9A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483" w:type="pct"/>
                  <w:tcBorders>
                    <w:tl2br w:val="nil"/>
                    <w:tr2bl w:val="nil"/>
                  </w:tcBorders>
                  <w:shd w:val="clear" w:color="auto" w:fill="auto"/>
                  <w:vAlign w:val="center"/>
                </w:tcPr>
                <w:p w14:paraId="7D1E1F5F">
                  <w:pPr>
                    <w:jc w:val="center"/>
                    <w:rPr>
                      <w:rFonts w:hint="eastAsia" w:hAnsi="宋体"/>
                      <w:color w:val="auto"/>
                      <w:sz w:val="18"/>
                      <w:szCs w:val="18"/>
                      <w:lang w:val="en-US" w:eastAsia="zh-CN"/>
                    </w:rPr>
                  </w:pPr>
                  <w:r>
                    <w:rPr>
                      <w:rFonts w:hint="eastAsia"/>
                      <w:color w:val="auto"/>
                      <w:sz w:val="18"/>
                      <w:szCs w:val="18"/>
                      <w:lang w:val="en-US" w:eastAsia="zh-CN"/>
                    </w:rPr>
                    <w:t>含铝灰的废除尘布袋</w:t>
                  </w:r>
                </w:p>
              </w:tc>
              <w:tc>
                <w:tcPr>
                  <w:tcW w:w="494" w:type="pct"/>
                  <w:tcBorders>
                    <w:tl2br w:val="nil"/>
                    <w:tr2bl w:val="nil"/>
                  </w:tcBorders>
                  <w:shd w:val="clear" w:color="auto" w:fill="auto"/>
                  <w:vAlign w:val="center"/>
                </w:tcPr>
                <w:p w14:paraId="2BFD5864">
                  <w:pPr>
                    <w:jc w:val="center"/>
                    <w:rPr>
                      <w:rFonts w:hint="eastAsia"/>
                      <w:color w:val="auto"/>
                      <w:sz w:val="18"/>
                      <w:szCs w:val="18"/>
                      <w:lang w:val="en-US" w:eastAsia="zh-CN"/>
                    </w:rPr>
                  </w:pPr>
                  <w:r>
                    <w:rPr>
                      <w:rFonts w:hint="eastAsia"/>
                      <w:color w:val="auto"/>
                      <w:sz w:val="18"/>
                      <w:szCs w:val="18"/>
                      <w:lang w:val="en-US" w:eastAsia="zh-CN"/>
                    </w:rPr>
                    <w:t>废气治理</w:t>
                  </w:r>
                </w:p>
              </w:tc>
              <w:tc>
                <w:tcPr>
                  <w:tcW w:w="440" w:type="pct"/>
                  <w:tcBorders>
                    <w:tl2br w:val="nil"/>
                    <w:tr2bl w:val="nil"/>
                  </w:tcBorders>
                  <w:shd w:val="clear" w:color="auto" w:fill="auto"/>
                  <w:vAlign w:val="center"/>
                </w:tcPr>
                <w:p w14:paraId="1F2991E2">
                  <w:pPr>
                    <w:jc w:val="center"/>
                    <w:rPr>
                      <w:rFonts w:hint="default"/>
                      <w:color w:val="auto"/>
                      <w:sz w:val="18"/>
                      <w:szCs w:val="18"/>
                      <w:lang w:val="en-US" w:eastAsia="zh-CN"/>
                    </w:rPr>
                  </w:pPr>
                  <w:r>
                    <w:rPr>
                      <w:rFonts w:hint="eastAsia"/>
                      <w:color w:val="auto"/>
                      <w:sz w:val="18"/>
                      <w:szCs w:val="18"/>
                      <w:lang w:val="en-US" w:eastAsia="zh-CN"/>
                    </w:rPr>
                    <w:t>0.2</w:t>
                  </w:r>
                </w:p>
              </w:tc>
              <w:tc>
                <w:tcPr>
                  <w:tcW w:w="470" w:type="pct"/>
                  <w:tcBorders>
                    <w:tl2br w:val="nil"/>
                    <w:tr2bl w:val="nil"/>
                  </w:tcBorders>
                  <w:shd w:val="clear" w:color="auto" w:fill="auto"/>
                  <w:vAlign w:val="center"/>
                </w:tcPr>
                <w:p w14:paraId="2B9C4956">
                  <w:pPr>
                    <w:jc w:val="center"/>
                    <w:rPr>
                      <w:rFonts w:hint="default"/>
                      <w:color w:val="auto"/>
                      <w:sz w:val="18"/>
                      <w:szCs w:val="18"/>
                      <w:lang w:val="en-US" w:eastAsia="zh-CN"/>
                    </w:rPr>
                  </w:pPr>
                  <w:r>
                    <w:rPr>
                      <w:rFonts w:hint="eastAsia"/>
                      <w:color w:val="auto"/>
                      <w:sz w:val="18"/>
                      <w:szCs w:val="18"/>
                      <w:lang w:val="en-US" w:eastAsia="zh-CN"/>
                    </w:rPr>
                    <w:t>氧化铝、合成纤维</w:t>
                  </w:r>
                </w:p>
              </w:tc>
              <w:tc>
                <w:tcPr>
                  <w:tcW w:w="357" w:type="pct"/>
                  <w:vMerge w:val="continue"/>
                  <w:tcBorders>
                    <w:tl2br w:val="nil"/>
                    <w:tr2bl w:val="nil"/>
                  </w:tcBorders>
                  <w:vAlign w:val="center"/>
                </w:tcPr>
                <w:p w14:paraId="7A864B8A">
                  <w:pPr>
                    <w:jc w:val="center"/>
                    <w:rPr>
                      <w:rFonts w:hint="eastAsia"/>
                      <w:color w:val="auto"/>
                      <w:sz w:val="18"/>
                      <w:szCs w:val="18"/>
                      <w:lang w:val="en-US" w:eastAsia="zh-CN"/>
                    </w:rPr>
                  </w:pPr>
                </w:p>
              </w:tc>
              <w:tc>
                <w:tcPr>
                  <w:tcW w:w="309" w:type="pct"/>
                  <w:tcBorders>
                    <w:tl2br w:val="nil"/>
                    <w:tr2bl w:val="nil"/>
                  </w:tcBorders>
                  <w:shd w:val="clear" w:color="auto" w:fill="auto"/>
                  <w:vAlign w:val="center"/>
                </w:tcPr>
                <w:p w14:paraId="38C79D01">
                  <w:pPr>
                    <w:jc w:val="center"/>
                    <w:rPr>
                      <w:rFonts w:hint="eastAsia" w:hAnsi="宋体"/>
                      <w:color w:val="auto"/>
                      <w:sz w:val="18"/>
                      <w:szCs w:val="18"/>
                    </w:rPr>
                  </w:pPr>
                  <w:r>
                    <w:rPr>
                      <w:rFonts w:hint="eastAsia" w:hAnsi="宋体"/>
                      <w:color w:val="auto"/>
                      <w:sz w:val="18"/>
                      <w:szCs w:val="18"/>
                    </w:rPr>
                    <w:t>固态</w:t>
                  </w:r>
                </w:p>
              </w:tc>
              <w:tc>
                <w:tcPr>
                  <w:tcW w:w="363" w:type="pct"/>
                  <w:tcBorders>
                    <w:tl2br w:val="nil"/>
                    <w:tr2bl w:val="nil"/>
                  </w:tcBorders>
                  <w:shd w:val="clear" w:color="auto" w:fill="auto"/>
                  <w:vAlign w:val="center"/>
                </w:tcPr>
                <w:p w14:paraId="09BCF567">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lang w:val="en-US" w:eastAsia="zh-CN"/>
                    </w:rPr>
                    <w:t>WH49</w:t>
                  </w:r>
                </w:p>
              </w:tc>
              <w:tc>
                <w:tcPr>
                  <w:tcW w:w="660" w:type="pct"/>
                  <w:tcBorders>
                    <w:tl2br w:val="nil"/>
                    <w:tr2bl w:val="nil"/>
                  </w:tcBorders>
                  <w:shd w:val="clear" w:color="auto" w:fill="auto"/>
                  <w:vAlign w:val="center"/>
                </w:tcPr>
                <w:p w14:paraId="1E782A4B">
                  <w:pPr>
                    <w:jc w:val="center"/>
                    <w:rPr>
                      <w:rFonts w:hint="eastAsia" w:ascii="Times New Roman" w:hAnsi="Times New Roman" w:eastAsia="宋体" w:cs="Times New Roman"/>
                      <w:color w:val="auto"/>
                      <w:kern w:val="2"/>
                      <w:sz w:val="18"/>
                      <w:szCs w:val="18"/>
                      <w:lang w:val="en-US" w:eastAsia="zh-CN" w:bidi="ar-SA"/>
                    </w:rPr>
                  </w:pPr>
                  <w:r>
                    <w:rPr>
                      <w:color w:val="auto"/>
                      <w:sz w:val="18"/>
                      <w:szCs w:val="18"/>
                    </w:rPr>
                    <w:t>900-</w:t>
                  </w:r>
                  <w:r>
                    <w:rPr>
                      <w:rFonts w:hint="eastAsia"/>
                      <w:color w:val="auto"/>
                      <w:sz w:val="18"/>
                      <w:szCs w:val="18"/>
                      <w:lang w:val="en-US" w:eastAsia="zh-CN"/>
                    </w:rPr>
                    <w:t>041</w:t>
                  </w:r>
                  <w:r>
                    <w:rPr>
                      <w:color w:val="auto"/>
                      <w:sz w:val="18"/>
                      <w:szCs w:val="18"/>
                    </w:rPr>
                    <w:t>-</w:t>
                  </w:r>
                  <w:r>
                    <w:rPr>
                      <w:rFonts w:hint="eastAsia"/>
                      <w:color w:val="auto"/>
                      <w:sz w:val="18"/>
                      <w:szCs w:val="18"/>
                      <w:lang w:val="en-US" w:eastAsia="zh-CN"/>
                    </w:rPr>
                    <w:t>49</w:t>
                  </w:r>
                </w:p>
              </w:tc>
              <w:tc>
                <w:tcPr>
                  <w:tcW w:w="470" w:type="pct"/>
                  <w:vMerge w:val="continue"/>
                  <w:tcBorders>
                    <w:tl2br w:val="nil"/>
                    <w:tr2bl w:val="nil"/>
                  </w:tcBorders>
                  <w:vAlign w:val="center"/>
                </w:tcPr>
                <w:p w14:paraId="709918BA">
                  <w:pPr>
                    <w:pStyle w:val="24"/>
                    <w:spacing w:before="0" w:beforeAutospacing="0" w:after="0" w:afterAutospacing="0"/>
                    <w:jc w:val="center"/>
                    <w:rPr>
                      <w:rFonts w:hint="eastAsia"/>
                      <w:color w:val="auto"/>
                      <w:sz w:val="18"/>
                      <w:szCs w:val="18"/>
                      <w:lang w:val="en-US" w:eastAsia="zh-CN"/>
                    </w:rPr>
                  </w:pPr>
                </w:p>
              </w:tc>
              <w:tc>
                <w:tcPr>
                  <w:tcW w:w="476" w:type="pct"/>
                  <w:tcBorders>
                    <w:tl2br w:val="nil"/>
                    <w:tr2bl w:val="nil"/>
                  </w:tcBorders>
                  <w:shd w:val="clear" w:color="auto" w:fill="auto"/>
                  <w:vAlign w:val="center"/>
                </w:tcPr>
                <w:p w14:paraId="0AE4EFD0">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0.2</w:t>
                  </w:r>
                </w:p>
              </w:tc>
              <w:tc>
                <w:tcPr>
                  <w:tcW w:w="475" w:type="pct"/>
                  <w:vMerge w:val="continue"/>
                  <w:tcBorders>
                    <w:tl2br w:val="nil"/>
                    <w:tr2bl w:val="nil"/>
                  </w:tcBorders>
                  <w:vAlign w:val="center"/>
                </w:tcPr>
                <w:p w14:paraId="7B80E548">
                  <w:pPr>
                    <w:pStyle w:val="24"/>
                    <w:spacing w:before="0" w:beforeAutospacing="0" w:after="0" w:afterAutospacing="0"/>
                    <w:jc w:val="center"/>
                    <w:rPr>
                      <w:rFonts w:hint="eastAsia"/>
                      <w:color w:val="auto"/>
                      <w:sz w:val="18"/>
                      <w:szCs w:val="18"/>
                    </w:rPr>
                  </w:pPr>
                </w:p>
              </w:tc>
            </w:tr>
          </w:tbl>
          <w:p w14:paraId="459C5807">
            <w:pPr>
              <w:adjustRightInd w:val="0"/>
              <w:snapToGrid w:val="0"/>
              <w:spacing w:before="120" w:beforeLines="50" w:line="360" w:lineRule="auto"/>
              <w:jc w:val="center"/>
              <w:rPr>
                <w:b/>
                <w:color w:val="auto"/>
                <w:sz w:val="24"/>
                <w:szCs w:val="24"/>
              </w:rPr>
            </w:pPr>
            <w:r>
              <w:rPr>
                <w:rFonts w:hint="eastAsia"/>
                <w:b/>
                <w:color w:val="auto"/>
                <w:sz w:val="24"/>
                <w:szCs w:val="24"/>
              </w:rPr>
              <w:t>表4-</w:t>
            </w:r>
            <w:r>
              <w:rPr>
                <w:rFonts w:hint="eastAsia"/>
                <w:b/>
                <w:color w:val="auto"/>
                <w:sz w:val="24"/>
                <w:szCs w:val="24"/>
                <w:lang w:val="en-US" w:eastAsia="zh-CN"/>
              </w:rPr>
              <w:t xml:space="preserve">40 </w:t>
            </w:r>
            <w:r>
              <w:rPr>
                <w:rFonts w:hint="eastAsia"/>
                <w:b/>
                <w:color w:val="auto"/>
                <w:sz w:val="24"/>
                <w:szCs w:val="24"/>
              </w:rPr>
              <w:t xml:space="preserve"> 危险废物汇总表</w:t>
            </w:r>
          </w:p>
          <w:tbl>
            <w:tblPr>
              <w:tblStyle w:val="29"/>
              <w:tblW w:w="84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6"/>
              <w:gridCol w:w="1079"/>
              <w:gridCol w:w="799"/>
              <w:gridCol w:w="1141"/>
              <w:gridCol w:w="676"/>
              <w:gridCol w:w="950"/>
              <w:gridCol w:w="419"/>
              <w:gridCol w:w="727"/>
              <w:gridCol w:w="588"/>
              <w:gridCol w:w="611"/>
              <w:gridCol w:w="1028"/>
            </w:tblGrid>
            <w:tr w14:paraId="323A0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6" w:type="pct"/>
                  <w:tcBorders>
                    <w:tl2br w:val="nil"/>
                    <w:tr2bl w:val="nil"/>
                  </w:tcBorders>
                  <w:vAlign w:val="center"/>
                </w:tcPr>
                <w:p w14:paraId="19E9E2BB">
                  <w:pPr>
                    <w:pStyle w:val="68"/>
                    <w:rPr>
                      <w:b/>
                      <w:bCs/>
                      <w:color w:val="auto"/>
                      <w:sz w:val="18"/>
                      <w:szCs w:val="18"/>
                    </w:rPr>
                  </w:pPr>
                  <w:r>
                    <w:rPr>
                      <w:rFonts w:hint="eastAsia"/>
                      <w:b/>
                      <w:bCs/>
                      <w:color w:val="auto"/>
                      <w:sz w:val="18"/>
                      <w:szCs w:val="18"/>
                    </w:rPr>
                    <w:t>序号</w:t>
                  </w:r>
                </w:p>
              </w:tc>
              <w:tc>
                <w:tcPr>
                  <w:tcW w:w="639" w:type="pct"/>
                  <w:tcBorders>
                    <w:tl2br w:val="nil"/>
                    <w:tr2bl w:val="nil"/>
                  </w:tcBorders>
                  <w:vAlign w:val="center"/>
                </w:tcPr>
                <w:p w14:paraId="3CABDFC6">
                  <w:pPr>
                    <w:pStyle w:val="68"/>
                    <w:rPr>
                      <w:b/>
                      <w:bCs/>
                      <w:color w:val="auto"/>
                      <w:sz w:val="18"/>
                      <w:szCs w:val="18"/>
                    </w:rPr>
                  </w:pPr>
                  <w:r>
                    <w:rPr>
                      <w:rFonts w:hint="eastAsia"/>
                      <w:b/>
                      <w:bCs/>
                      <w:color w:val="auto"/>
                      <w:sz w:val="18"/>
                      <w:szCs w:val="18"/>
                    </w:rPr>
                    <w:t>危险废物名称</w:t>
                  </w:r>
                </w:p>
              </w:tc>
              <w:tc>
                <w:tcPr>
                  <w:tcW w:w="473" w:type="pct"/>
                  <w:tcBorders>
                    <w:tl2br w:val="nil"/>
                    <w:tr2bl w:val="nil"/>
                  </w:tcBorders>
                  <w:vAlign w:val="center"/>
                </w:tcPr>
                <w:p w14:paraId="28B47F7B">
                  <w:pPr>
                    <w:pStyle w:val="68"/>
                    <w:rPr>
                      <w:b/>
                      <w:bCs/>
                      <w:color w:val="auto"/>
                      <w:sz w:val="18"/>
                      <w:szCs w:val="18"/>
                    </w:rPr>
                  </w:pPr>
                  <w:r>
                    <w:rPr>
                      <w:rFonts w:hint="eastAsia"/>
                      <w:b/>
                      <w:bCs/>
                      <w:color w:val="auto"/>
                      <w:sz w:val="18"/>
                      <w:szCs w:val="18"/>
                    </w:rPr>
                    <w:t>危险废物类别</w:t>
                  </w:r>
                </w:p>
              </w:tc>
              <w:tc>
                <w:tcPr>
                  <w:tcW w:w="676" w:type="pct"/>
                  <w:tcBorders>
                    <w:tl2br w:val="nil"/>
                    <w:tr2bl w:val="nil"/>
                  </w:tcBorders>
                  <w:vAlign w:val="center"/>
                </w:tcPr>
                <w:p w14:paraId="2F8B4F47">
                  <w:pPr>
                    <w:pStyle w:val="68"/>
                    <w:rPr>
                      <w:b/>
                      <w:bCs/>
                      <w:color w:val="auto"/>
                      <w:sz w:val="18"/>
                      <w:szCs w:val="18"/>
                    </w:rPr>
                  </w:pPr>
                  <w:r>
                    <w:rPr>
                      <w:rFonts w:hint="eastAsia"/>
                      <w:b/>
                      <w:bCs/>
                      <w:color w:val="auto"/>
                      <w:sz w:val="18"/>
                      <w:szCs w:val="18"/>
                    </w:rPr>
                    <w:t>危险废物代码</w:t>
                  </w:r>
                </w:p>
              </w:tc>
              <w:tc>
                <w:tcPr>
                  <w:tcW w:w="400" w:type="pct"/>
                  <w:tcBorders>
                    <w:tl2br w:val="nil"/>
                    <w:tr2bl w:val="nil"/>
                  </w:tcBorders>
                  <w:vAlign w:val="center"/>
                </w:tcPr>
                <w:p w14:paraId="0E6D161C">
                  <w:pPr>
                    <w:pStyle w:val="68"/>
                    <w:rPr>
                      <w:b/>
                      <w:bCs/>
                      <w:color w:val="auto"/>
                      <w:sz w:val="18"/>
                      <w:szCs w:val="18"/>
                    </w:rPr>
                  </w:pPr>
                  <w:r>
                    <w:rPr>
                      <w:rFonts w:hint="eastAsia"/>
                      <w:b/>
                      <w:bCs/>
                      <w:color w:val="auto"/>
                      <w:sz w:val="18"/>
                      <w:szCs w:val="18"/>
                    </w:rPr>
                    <w:t>产生量</w:t>
                  </w:r>
                  <w:r>
                    <w:rPr>
                      <w:color w:val="auto"/>
                      <w:sz w:val="18"/>
                      <w:szCs w:val="18"/>
                    </w:rPr>
                    <w:t>t/a</w:t>
                  </w:r>
                </w:p>
              </w:tc>
              <w:tc>
                <w:tcPr>
                  <w:tcW w:w="563" w:type="pct"/>
                  <w:tcBorders>
                    <w:tl2br w:val="nil"/>
                    <w:tr2bl w:val="nil"/>
                  </w:tcBorders>
                  <w:vAlign w:val="center"/>
                </w:tcPr>
                <w:p w14:paraId="09F5F64F">
                  <w:pPr>
                    <w:pStyle w:val="68"/>
                    <w:rPr>
                      <w:b/>
                      <w:bCs/>
                      <w:color w:val="auto"/>
                      <w:sz w:val="18"/>
                      <w:szCs w:val="18"/>
                    </w:rPr>
                  </w:pPr>
                  <w:r>
                    <w:rPr>
                      <w:rFonts w:hint="eastAsia"/>
                      <w:b/>
                      <w:bCs/>
                      <w:color w:val="auto"/>
                      <w:sz w:val="18"/>
                      <w:szCs w:val="18"/>
                    </w:rPr>
                    <w:t>产生工序及装置</w:t>
                  </w:r>
                </w:p>
              </w:tc>
              <w:tc>
                <w:tcPr>
                  <w:tcW w:w="248" w:type="pct"/>
                  <w:tcBorders>
                    <w:tl2br w:val="nil"/>
                    <w:tr2bl w:val="nil"/>
                  </w:tcBorders>
                  <w:vAlign w:val="center"/>
                </w:tcPr>
                <w:p w14:paraId="3BF6E8C6">
                  <w:pPr>
                    <w:pStyle w:val="68"/>
                    <w:rPr>
                      <w:b/>
                      <w:bCs/>
                      <w:color w:val="auto"/>
                      <w:sz w:val="18"/>
                      <w:szCs w:val="18"/>
                    </w:rPr>
                  </w:pPr>
                  <w:r>
                    <w:rPr>
                      <w:rFonts w:hint="eastAsia"/>
                      <w:b/>
                      <w:bCs/>
                      <w:color w:val="auto"/>
                      <w:sz w:val="18"/>
                      <w:szCs w:val="18"/>
                    </w:rPr>
                    <w:t>形态</w:t>
                  </w:r>
                </w:p>
              </w:tc>
              <w:tc>
                <w:tcPr>
                  <w:tcW w:w="430" w:type="pct"/>
                  <w:tcBorders>
                    <w:tl2br w:val="nil"/>
                    <w:tr2bl w:val="nil"/>
                  </w:tcBorders>
                  <w:vAlign w:val="center"/>
                </w:tcPr>
                <w:p w14:paraId="0A4CD6FD">
                  <w:pPr>
                    <w:pStyle w:val="68"/>
                    <w:rPr>
                      <w:b/>
                      <w:bCs/>
                      <w:color w:val="auto"/>
                      <w:sz w:val="18"/>
                      <w:szCs w:val="18"/>
                    </w:rPr>
                  </w:pPr>
                  <w:r>
                    <w:rPr>
                      <w:rFonts w:hint="eastAsia"/>
                      <w:b/>
                      <w:bCs/>
                      <w:color w:val="auto"/>
                      <w:sz w:val="18"/>
                      <w:szCs w:val="18"/>
                    </w:rPr>
                    <w:t>主要成分</w:t>
                  </w:r>
                </w:p>
              </w:tc>
              <w:tc>
                <w:tcPr>
                  <w:tcW w:w="348" w:type="pct"/>
                  <w:tcBorders>
                    <w:tl2br w:val="nil"/>
                    <w:tr2bl w:val="nil"/>
                  </w:tcBorders>
                  <w:vAlign w:val="center"/>
                </w:tcPr>
                <w:p w14:paraId="40E06055">
                  <w:pPr>
                    <w:pStyle w:val="68"/>
                    <w:rPr>
                      <w:b/>
                      <w:bCs/>
                      <w:color w:val="auto"/>
                      <w:sz w:val="18"/>
                      <w:szCs w:val="18"/>
                    </w:rPr>
                  </w:pPr>
                  <w:r>
                    <w:rPr>
                      <w:rFonts w:hint="eastAsia"/>
                      <w:b/>
                      <w:bCs/>
                      <w:color w:val="auto"/>
                      <w:sz w:val="18"/>
                      <w:szCs w:val="18"/>
                    </w:rPr>
                    <w:t>产废周期</w:t>
                  </w:r>
                </w:p>
              </w:tc>
              <w:tc>
                <w:tcPr>
                  <w:tcW w:w="362" w:type="pct"/>
                  <w:tcBorders>
                    <w:tl2br w:val="nil"/>
                    <w:tr2bl w:val="nil"/>
                  </w:tcBorders>
                  <w:vAlign w:val="center"/>
                </w:tcPr>
                <w:p w14:paraId="7ADC6E19">
                  <w:pPr>
                    <w:pStyle w:val="68"/>
                    <w:rPr>
                      <w:b/>
                      <w:bCs/>
                      <w:color w:val="auto"/>
                      <w:sz w:val="18"/>
                      <w:szCs w:val="18"/>
                    </w:rPr>
                  </w:pPr>
                  <w:r>
                    <w:rPr>
                      <w:rFonts w:hint="eastAsia"/>
                      <w:b/>
                      <w:bCs/>
                      <w:color w:val="auto"/>
                      <w:sz w:val="18"/>
                      <w:szCs w:val="18"/>
                    </w:rPr>
                    <w:t>危险特性</w:t>
                  </w:r>
                </w:p>
              </w:tc>
              <w:tc>
                <w:tcPr>
                  <w:tcW w:w="609" w:type="pct"/>
                  <w:tcBorders>
                    <w:tl2br w:val="nil"/>
                    <w:tr2bl w:val="nil"/>
                  </w:tcBorders>
                  <w:vAlign w:val="center"/>
                </w:tcPr>
                <w:p w14:paraId="7578B163">
                  <w:pPr>
                    <w:pStyle w:val="68"/>
                    <w:rPr>
                      <w:b/>
                      <w:bCs/>
                      <w:color w:val="auto"/>
                      <w:sz w:val="18"/>
                      <w:szCs w:val="18"/>
                    </w:rPr>
                  </w:pPr>
                  <w:r>
                    <w:rPr>
                      <w:rFonts w:hint="eastAsia"/>
                      <w:b/>
                      <w:bCs/>
                      <w:color w:val="auto"/>
                      <w:sz w:val="18"/>
                      <w:szCs w:val="18"/>
                    </w:rPr>
                    <w:t>污染防治措施</w:t>
                  </w:r>
                </w:p>
              </w:tc>
            </w:tr>
            <w:tr w14:paraId="40742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6" w:type="pct"/>
                  <w:tcBorders>
                    <w:tl2br w:val="nil"/>
                    <w:tr2bl w:val="nil"/>
                  </w:tcBorders>
                  <w:vAlign w:val="center"/>
                </w:tcPr>
                <w:p w14:paraId="779E25D1">
                  <w:pPr>
                    <w:pStyle w:val="68"/>
                    <w:rPr>
                      <w:color w:val="auto"/>
                      <w:sz w:val="18"/>
                      <w:szCs w:val="18"/>
                    </w:rPr>
                  </w:pPr>
                  <w:r>
                    <w:rPr>
                      <w:rFonts w:hint="eastAsia"/>
                      <w:color w:val="auto"/>
                      <w:sz w:val="18"/>
                      <w:szCs w:val="18"/>
                    </w:rPr>
                    <w:t>1</w:t>
                  </w:r>
                </w:p>
              </w:tc>
              <w:tc>
                <w:tcPr>
                  <w:tcW w:w="639" w:type="pct"/>
                  <w:tcBorders>
                    <w:tl2br w:val="nil"/>
                    <w:tr2bl w:val="nil"/>
                  </w:tcBorders>
                  <w:vAlign w:val="center"/>
                </w:tcPr>
                <w:p w14:paraId="091DCD3F">
                  <w:pPr>
                    <w:jc w:val="center"/>
                    <w:rPr>
                      <w:color w:val="auto"/>
                      <w:sz w:val="18"/>
                      <w:szCs w:val="18"/>
                    </w:rPr>
                  </w:pPr>
                  <w:r>
                    <w:rPr>
                      <w:rFonts w:hint="eastAsia" w:hAnsi="宋体"/>
                      <w:color w:val="auto"/>
                      <w:sz w:val="18"/>
                      <w:szCs w:val="18"/>
                      <w:lang w:val="en-US" w:eastAsia="zh-CN"/>
                    </w:rPr>
                    <w:t>铝灰渣</w:t>
                  </w:r>
                </w:p>
              </w:tc>
              <w:tc>
                <w:tcPr>
                  <w:tcW w:w="473" w:type="pct"/>
                  <w:tcBorders>
                    <w:tl2br w:val="nil"/>
                    <w:tr2bl w:val="nil"/>
                  </w:tcBorders>
                  <w:vAlign w:val="center"/>
                </w:tcPr>
                <w:p w14:paraId="5757A95A">
                  <w:pPr>
                    <w:pStyle w:val="68"/>
                    <w:rPr>
                      <w:rFonts w:hint="default" w:eastAsia="宋体"/>
                      <w:color w:val="auto"/>
                      <w:sz w:val="18"/>
                      <w:szCs w:val="18"/>
                      <w:lang w:val="en-US" w:eastAsia="zh-CN"/>
                    </w:rPr>
                  </w:pPr>
                  <w:r>
                    <w:rPr>
                      <w:rFonts w:hint="eastAsia"/>
                      <w:color w:val="auto"/>
                      <w:sz w:val="18"/>
                      <w:szCs w:val="18"/>
                    </w:rPr>
                    <w:t>HW</w:t>
                  </w:r>
                  <w:r>
                    <w:rPr>
                      <w:rFonts w:hint="eastAsia"/>
                      <w:color w:val="auto"/>
                      <w:sz w:val="18"/>
                      <w:szCs w:val="18"/>
                      <w:lang w:val="en-US" w:eastAsia="zh-CN"/>
                    </w:rPr>
                    <w:t>48</w:t>
                  </w:r>
                </w:p>
              </w:tc>
              <w:tc>
                <w:tcPr>
                  <w:tcW w:w="676" w:type="pct"/>
                  <w:tcBorders>
                    <w:tl2br w:val="nil"/>
                    <w:tr2bl w:val="nil"/>
                  </w:tcBorders>
                  <w:vAlign w:val="center"/>
                </w:tcPr>
                <w:p w14:paraId="5908B5C3">
                  <w:pPr>
                    <w:jc w:val="center"/>
                    <w:rPr>
                      <w:color w:val="auto"/>
                      <w:sz w:val="18"/>
                      <w:szCs w:val="18"/>
                    </w:rPr>
                  </w:pPr>
                  <w:r>
                    <w:rPr>
                      <w:rStyle w:val="36"/>
                      <w:rFonts w:hint="eastAsia"/>
                      <w:color w:val="auto"/>
                      <w:sz w:val="18"/>
                      <w:szCs w:val="18"/>
                    </w:rPr>
                    <w:t>321-026-48</w:t>
                  </w:r>
                </w:p>
              </w:tc>
              <w:tc>
                <w:tcPr>
                  <w:tcW w:w="400" w:type="pct"/>
                  <w:tcBorders>
                    <w:tl2br w:val="nil"/>
                    <w:tr2bl w:val="nil"/>
                  </w:tcBorders>
                  <w:vAlign w:val="center"/>
                </w:tcPr>
                <w:p w14:paraId="3E31F266">
                  <w:pPr>
                    <w:jc w:val="center"/>
                    <w:rPr>
                      <w:rFonts w:hint="default"/>
                      <w:color w:val="auto"/>
                      <w:sz w:val="18"/>
                      <w:szCs w:val="18"/>
                      <w:lang w:val="en-US"/>
                    </w:rPr>
                  </w:pPr>
                  <w:r>
                    <w:rPr>
                      <w:rStyle w:val="36"/>
                      <w:rFonts w:hint="eastAsia"/>
                      <w:color w:val="auto"/>
                      <w:sz w:val="18"/>
                      <w:szCs w:val="18"/>
                      <w:lang w:val="en-US" w:eastAsia="zh-CN"/>
                    </w:rPr>
                    <w:t>16.65</w:t>
                  </w:r>
                </w:p>
              </w:tc>
              <w:tc>
                <w:tcPr>
                  <w:tcW w:w="563" w:type="pct"/>
                  <w:tcBorders>
                    <w:tl2br w:val="nil"/>
                    <w:tr2bl w:val="nil"/>
                  </w:tcBorders>
                  <w:vAlign w:val="center"/>
                </w:tcPr>
                <w:p w14:paraId="1D2D16DD">
                  <w:pPr>
                    <w:jc w:val="center"/>
                    <w:rPr>
                      <w:color w:val="auto"/>
                      <w:sz w:val="18"/>
                      <w:szCs w:val="18"/>
                    </w:rPr>
                  </w:pPr>
                  <w:r>
                    <w:rPr>
                      <w:rFonts w:hint="eastAsia"/>
                      <w:color w:val="auto"/>
                      <w:sz w:val="18"/>
                      <w:szCs w:val="18"/>
                      <w:lang w:val="en-US" w:eastAsia="zh-CN"/>
                    </w:rPr>
                    <w:t>铝合金锭熔化</w:t>
                  </w:r>
                </w:p>
              </w:tc>
              <w:tc>
                <w:tcPr>
                  <w:tcW w:w="248" w:type="pct"/>
                  <w:tcBorders>
                    <w:tl2br w:val="nil"/>
                    <w:tr2bl w:val="nil"/>
                  </w:tcBorders>
                  <w:vAlign w:val="center"/>
                </w:tcPr>
                <w:p w14:paraId="65D2CDA9">
                  <w:pPr>
                    <w:jc w:val="center"/>
                    <w:rPr>
                      <w:color w:val="auto"/>
                      <w:sz w:val="18"/>
                      <w:szCs w:val="18"/>
                    </w:rPr>
                  </w:pPr>
                  <w:r>
                    <w:rPr>
                      <w:rFonts w:hint="eastAsia" w:hAnsi="宋体"/>
                      <w:color w:val="auto"/>
                      <w:sz w:val="18"/>
                      <w:szCs w:val="18"/>
                    </w:rPr>
                    <w:t>固态</w:t>
                  </w:r>
                </w:p>
              </w:tc>
              <w:tc>
                <w:tcPr>
                  <w:tcW w:w="430" w:type="pct"/>
                  <w:tcBorders>
                    <w:tl2br w:val="nil"/>
                    <w:tr2bl w:val="nil"/>
                  </w:tcBorders>
                  <w:vAlign w:val="center"/>
                </w:tcPr>
                <w:p w14:paraId="6328C122">
                  <w:pPr>
                    <w:jc w:val="center"/>
                    <w:rPr>
                      <w:color w:val="auto"/>
                      <w:sz w:val="18"/>
                      <w:szCs w:val="18"/>
                    </w:rPr>
                  </w:pPr>
                  <w:r>
                    <w:rPr>
                      <w:rFonts w:hint="eastAsia"/>
                      <w:color w:val="auto"/>
                      <w:sz w:val="18"/>
                      <w:szCs w:val="18"/>
                      <w:lang w:val="en-US" w:eastAsia="zh-CN"/>
                    </w:rPr>
                    <w:t>氧化铝</w:t>
                  </w:r>
                </w:p>
              </w:tc>
              <w:tc>
                <w:tcPr>
                  <w:tcW w:w="348" w:type="pct"/>
                  <w:tcBorders>
                    <w:tl2br w:val="nil"/>
                    <w:tr2bl w:val="nil"/>
                  </w:tcBorders>
                  <w:vAlign w:val="center"/>
                </w:tcPr>
                <w:p w14:paraId="2D860F0B">
                  <w:pPr>
                    <w:pStyle w:val="68"/>
                    <w:rPr>
                      <w:color w:val="auto"/>
                      <w:sz w:val="18"/>
                      <w:szCs w:val="18"/>
                    </w:rPr>
                  </w:pPr>
                  <w:r>
                    <w:rPr>
                      <w:rFonts w:hint="eastAsia"/>
                      <w:color w:val="auto"/>
                      <w:sz w:val="18"/>
                      <w:szCs w:val="18"/>
                    </w:rPr>
                    <w:t>间断</w:t>
                  </w:r>
                </w:p>
              </w:tc>
              <w:tc>
                <w:tcPr>
                  <w:tcW w:w="362" w:type="pct"/>
                  <w:tcBorders>
                    <w:tl2br w:val="nil"/>
                    <w:tr2bl w:val="nil"/>
                  </w:tcBorders>
                  <w:vAlign w:val="center"/>
                </w:tcPr>
                <w:p w14:paraId="0AFBDCBC">
                  <w:pPr>
                    <w:pStyle w:val="68"/>
                    <w:rPr>
                      <w:rFonts w:hint="eastAsia" w:eastAsia="宋体"/>
                      <w:color w:val="auto"/>
                      <w:sz w:val="18"/>
                      <w:szCs w:val="18"/>
                      <w:lang w:eastAsia="zh-CN"/>
                    </w:rPr>
                  </w:pPr>
                  <w:r>
                    <w:rPr>
                      <w:rFonts w:hint="eastAsia"/>
                      <w:color w:val="auto"/>
                      <w:sz w:val="18"/>
                      <w:szCs w:val="18"/>
                      <w:lang w:val="en-US" w:eastAsia="zh-CN"/>
                    </w:rPr>
                    <w:t>R</w:t>
                  </w:r>
                </w:p>
              </w:tc>
              <w:tc>
                <w:tcPr>
                  <w:tcW w:w="609" w:type="pct"/>
                  <w:vMerge w:val="restart"/>
                  <w:tcBorders>
                    <w:tl2br w:val="nil"/>
                    <w:tr2bl w:val="nil"/>
                  </w:tcBorders>
                  <w:vAlign w:val="center"/>
                </w:tcPr>
                <w:p w14:paraId="7B4FD390">
                  <w:pPr>
                    <w:pStyle w:val="68"/>
                    <w:rPr>
                      <w:color w:val="auto"/>
                      <w:sz w:val="18"/>
                      <w:szCs w:val="18"/>
                    </w:rPr>
                  </w:pPr>
                  <w:r>
                    <w:rPr>
                      <w:rFonts w:hint="eastAsia"/>
                      <w:color w:val="auto"/>
                      <w:sz w:val="18"/>
                      <w:szCs w:val="18"/>
                    </w:rPr>
                    <w:t>暂存于</w:t>
                  </w:r>
                  <w:r>
                    <w:rPr>
                      <w:rFonts w:hint="eastAsia"/>
                      <w:color w:val="auto"/>
                      <w:sz w:val="18"/>
                      <w:szCs w:val="18"/>
                      <w:lang w:val="en-US" w:eastAsia="zh-CN"/>
                    </w:rPr>
                    <w:t>危险废物</w:t>
                  </w:r>
                  <w:r>
                    <w:rPr>
                      <w:rFonts w:hint="eastAsia"/>
                      <w:color w:val="auto"/>
                      <w:sz w:val="18"/>
                      <w:szCs w:val="18"/>
                    </w:rPr>
                    <w:t>贮存间，交</w:t>
                  </w:r>
                  <w:r>
                    <w:rPr>
                      <w:rFonts w:hint="eastAsia"/>
                      <w:color w:val="auto"/>
                      <w:sz w:val="18"/>
                      <w:szCs w:val="18"/>
                      <w:lang w:val="en-US" w:eastAsia="zh-CN"/>
                    </w:rPr>
                    <w:t>由</w:t>
                  </w:r>
                  <w:r>
                    <w:rPr>
                      <w:rFonts w:hint="eastAsia"/>
                      <w:color w:val="auto"/>
                      <w:sz w:val="18"/>
                      <w:szCs w:val="18"/>
                    </w:rPr>
                    <w:t>有资质单位处置</w:t>
                  </w:r>
                </w:p>
              </w:tc>
            </w:tr>
            <w:tr w14:paraId="66D16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6" w:type="pct"/>
                  <w:tcBorders>
                    <w:tl2br w:val="nil"/>
                    <w:tr2bl w:val="nil"/>
                  </w:tcBorders>
                  <w:vAlign w:val="center"/>
                </w:tcPr>
                <w:p w14:paraId="00503C9A">
                  <w:pPr>
                    <w:pStyle w:val="68"/>
                    <w:rPr>
                      <w:rFonts w:hint="eastAsia" w:eastAsia="宋体"/>
                      <w:color w:val="auto"/>
                      <w:sz w:val="18"/>
                      <w:szCs w:val="18"/>
                      <w:lang w:val="en-US" w:eastAsia="zh-CN"/>
                    </w:rPr>
                  </w:pPr>
                  <w:r>
                    <w:rPr>
                      <w:rFonts w:hint="eastAsia"/>
                      <w:color w:val="auto"/>
                      <w:sz w:val="18"/>
                      <w:szCs w:val="18"/>
                      <w:lang w:val="en-US" w:eastAsia="zh-CN"/>
                    </w:rPr>
                    <w:t>2</w:t>
                  </w:r>
                </w:p>
              </w:tc>
              <w:tc>
                <w:tcPr>
                  <w:tcW w:w="639" w:type="pct"/>
                  <w:tcBorders>
                    <w:tl2br w:val="nil"/>
                    <w:tr2bl w:val="nil"/>
                  </w:tcBorders>
                  <w:shd w:val="clear" w:color="auto" w:fill="auto"/>
                  <w:vAlign w:val="center"/>
                </w:tcPr>
                <w:p w14:paraId="2131A209">
                  <w:pPr>
                    <w:jc w:val="center"/>
                    <w:rPr>
                      <w:rFonts w:hint="eastAsia" w:hAnsi="宋体"/>
                      <w:color w:val="auto"/>
                      <w:sz w:val="18"/>
                      <w:szCs w:val="18"/>
                    </w:rPr>
                  </w:pPr>
                  <w:r>
                    <w:rPr>
                      <w:rFonts w:hint="eastAsia" w:hAnsi="宋体"/>
                      <w:color w:val="auto"/>
                      <w:sz w:val="18"/>
                      <w:szCs w:val="18"/>
                      <w:lang w:val="en-US" w:eastAsia="zh-CN"/>
                    </w:rPr>
                    <w:t>废切削液</w:t>
                  </w:r>
                </w:p>
              </w:tc>
              <w:tc>
                <w:tcPr>
                  <w:tcW w:w="473" w:type="pct"/>
                  <w:tcBorders>
                    <w:tl2br w:val="nil"/>
                    <w:tr2bl w:val="nil"/>
                  </w:tcBorders>
                  <w:vAlign w:val="center"/>
                </w:tcPr>
                <w:p w14:paraId="0821EEB1">
                  <w:pPr>
                    <w:jc w:val="center"/>
                    <w:rPr>
                      <w:rFonts w:hint="default"/>
                      <w:color w:val="auto"/>
                      <w:sz w:val="18"/>
                      <w:szCs w:val="18"/>
                      <w:lang w:val="en-US"/>
                    </w:rPr>
                  </w:pPr>
                  <w:r>
                    <w:rPr>
                      <w:color w:val="auto"/>
                      <w:sz w:val="18"/>
                      <w:szCs w:val="18"/>
                    </w:rPr>
                    <w:t>HW</w:t>
                  </w:r>
                  <w:r>
                    <w:rPr>
                      <w:rFonts w:hint="eastAsia"/>
                      <w:color w:val="auto"/>
                      <w:sz w:val="18"/>
                      <w:szCs w:val="18"/>
                      <w:lang w:val="en-US" w:eastAsia="zh-CN"/>
                    </w:rPr>
                    <w:t>09</w:t>
                  </w:r>
                </w:p>
              </w:tc>
              <w:tc>
                <w:tcPr>
                  <w:tcW w:w="676" w:type="pct"/>
                  <w:tcBorders>
                    <w:tl2br w:val="nil"/>
                    <w:tr2bl w:val="nil"/>
                  </w:tcBorders>
                  <w:vAlign w:val="center"/>
                </w:tcPr>
                <w:p w14:paraId="18CEBFBD">
                  <w:pPr>
                    <w:jc w:val="center"/>
                    <w:rPr>
                      <w:color w:val="auto"/>
                      <w:sz w:val="18"/>
                      <w:szCs w:val="18"/>
                    </w:rPr>
                  </w:pPr>
                  <w:r>
                    <w:rPr>
                      <w:rStyle w:val="36"/>
                      <w:rFonts w:hint="eastAsia"/>
                      <w:color w:val="auto"/>
                      <w:sz w:val="18"/>
                      <w:szCs w:val="18"/>
                    </w:rPr>
                    <w:t>900-006-09</w:t>
                  </w:r>
                </w:p>
              </w:tc>
              <w:tc>
                <w:tcPr>
                  <w:tcW w:w="400" w:type="pct"/>
                  <w:tcBorders>
                    <w:tl2br w:val="nil"/>
                    <w:tr2bl w:val="nil"/>
                  </w:tcBorders>
                  <w:shd w:val="clear" w:color="auto" w:fill="auto"/>
                  <w:vAlign w:val="center"/>
                </w:tcPr>
                <w:p w14:paraId="4E9E7B6B">
                  <w:pPr>
                    <w:jc w:val="center"/>
                    <w:rPr>
                      <w:rFonts w:hint="default"/>
                      <w:color w:val="auto"/>
                      <w:sz w:val="18"/>
                      <w:szCs w:val="18"/>
                      <w:lang w:val="en-US"/>
                    </w:rPr>
                  </w:pPr>
                  <w:r>
                    <w:rPr>
                      <w:rStyle w:val="36"/>
                      <w:rFonts w:hint="eastAsia"/>
                      <w:color w:val="auto"/>
                      <w:sz w:val="18"/>
                      <w:szCs w:val="18"/>
                      <w:lang w:val="en-US" w:eastAsia="zh-CN"/>
                    </w:rPr>
                    <w:t>0.2</w:t>
                  </w:r>
                </w:p>
              </w:tc>
              <w:tc>
                <w:tcPr>
                  <w:tcW w:w="563" w:type="pct"/>
                  <w:tcBorders>
                    <w:tl2br w:val="nil"/>
                    <w:tr2bl w:val="nil"/>
                  </w:tcBorders>
                  <w:vAlign w:val="center"/>
                </w:tcPr>
                <w:p w14:paraId="30F195D5">
                  <w:pPr>
                    <w:jc w:val="center"/>
                    <w:rPr>
                      <w:color w:val="auto"/>
                      <w:sz w:val="18"/>
                      <w:szCs w:val="18"/>
                    </w:rPr>
                  </w:pPr>
                  <w:r>
                    <w:rPr>
                      <w:rFonts w:hint="eastAsia"/>
                      <w:color w:val="auto"/>
                      <w:sz w:val="18"/>
                      <w:szCs w:val="18"/>
                      <w:lang w:val="en-US" w:eastAsia="zh-CN"/>
                    </w:rPr>
                    <w:t>机加工</w:t>
                  </w:r>
                </w:p>
              </w:tc>
              <w:tc>
                <w:tcPr>
                  <w:tcW w:w="248" w:type="pct"/>
                  <w:tcBorders>
                    <w:tl2br w:val="nil"/>
                    <w:tr2bl w:val="nil"/>
                  </w:tcBorders>
                  <w:vAlign w:val="center"/>
                </w:tcPr>
                <w:p w14:paraId="3F0DDDAD">
                  <w:pPr>
                    <w:jc w:val="center"/>
                    <w:rPr>
                      <w:rFonts w:hint="eastAsia" w:eastAsia="宋体"/>
                      <w:color w:val="auto"/>
                      <w:sz w:val="18"/>
                      <w:szCs w:val="18"/>
                      <w:lang w:eastAsia="zh-CN"/>
                    </w:rPr>
                  </w:pPr>
                  <w:r>
                    <w:rPr>
                      <w:rFonts w:hint="eastAsia" w:hAnsi="宋体"/>
                      <w:color w:val="auto"/>
                      <w:sz w:val="18"/>
                      <w:szCs w:val="18"/>
                      <w:lang w:val="en-US" w:eastAsia="zh-CN"/>
                    </w:rPr>
                    <w:t>液态</w:t>
                  </w:r>
                </w:p>
              </w:tc>
              <w:tc>
                <w:tcPr>
                  <w:tcW w:w="430" w:type="pct"/>
                  <w:tcBorders>
                    <w:tl2br w:val="nil"/>
                    <w:tr2bl w:val="nil"/>
                  </w:tcBorders>
                  <w:vAlign w:val="center"/>
                </w:tcPr>
                <w:p w14:paraId="11FE12C3">
                  <w:pPr>
                    <w:jc w:val="center"/>
                    <w:rPr>
                      <w:color w:val="auto"/>
                      <w:sz w:val="18"/>
                      <w:szCs w:val="18"/>
                    </w:rPr>
                  </w:pPr>
                  <w:r>
                    <w:rPr>
                      <w:rFonts w:hint="eastAsia"/>
                      <w:color w:val="auto"/>
                      <w:sz w:val="18"/>
                      <w:szCs w:val="18"/>
                      <w:lang w:val="en-US" w:eastAsia="zh-CN"/>
                    </w:rPr>
                    <w:t>切削液</w:t>
                  </w:r>
                </w:p>
              </w:tc>
              <w:tc>
                <w:tcPr>
                  <w:tcW w:w="348" w:type="pct"/>
                  <w:tcBorders>
                    <w:tl2br w:val="nil"/>
                    <w:tr2bl w:val="nil"/>
                  </w:tcBorders>
                  <w:vAlign w:val="center"/>
                </w:tcPr>
                <w:p w14:paraId="5B227F4E">
                  <w:pPr>
                    <w:jc w:val="center"/>
                    <w:rPr>
                      <w:color w:val="auto"/>
                      <w:sz w:val="18"/>
                      <w:szCs w:val="18"/>
                    </w:rPr>
                  </w:pPr>
                  <w:r>
                    <w:rPr>
                      <w:rFonts w:hint="eastAsia"/>
                      <w:color w:val="auto"/>
                      <w:sz w:val="18"/>
                      <w:szCs w:val="18"/>
                    </w:rPr>
                    <w:t>间断</w:t>
                  </w:r>
                </w:p>
              </w:tc>
              <w:tc>
                <w:tcPr>
                  <w:tcW w:w="362" w:type="pct"/>
                  <w:tcBorders>
                    <w:tl2br w:val="nil"/>
                    <w:tr2bl w:val="nil"/>
                  </w:tcBorders>
                  <w:vAlign w:val="center"/>
                </w:tcPr>
                <w:p w14:paraId="557AC394">
                  <w:pPr>
                    <w:pStyle w:val="68"/>
                    <w:rPr>
                      <w:color w:val="auto"/>
                      <w:sz w:val="18"/>
                      <w:szCs w:val="18"/>
                    </w:rPr>
                  </w:pPr>
                  <w:r>
                    <w:rPr>
                      <w:color w:val="auto"/>
                      <w:sz w:val="18"/>
                      <w:szCs w:val="18"/>
                    </w:rPr>
                    <w:t>T</w:t>
                  </w:r>
                </w:p>
              </w:tc>
              <w:tc>
                <w:tcPr>
                  <w:tcW w:w="609" w:type="pct"/>
                  <w:vMerge w:val="continue"/>
                  <w:tcBorders>
                    <w:tl2br w:val="nil"/>
                    <w:tr2bl w:val="nil"/>
                  </w:tcBorders>
                  <w:vAlign w:val="center"/>
                </w:tcPr>
                <w:p w14:paraId="61ADE259">
                  <w:pPr>
                    <w:pStyle w:val="68"/>
                    <w:rPr>
                      <w:color w:val="auto"/>
                      <w:sz w:val="18"/>
                      <w:szCs w:val="18"/>
                    </w:rPr>
                  </w:pPr>
                </w:p>
              </w:tc>
            </w:tr>
            <w:tr w14:paraId="3CF6B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6" w:type="pct"/>
                  <w:tcBorders>
                    <w:tl2br w:val="nil"/>
                    <w:tr2bl w:val="nil"/>
                  </w:tcBorders>
                  <w:vAlign w:val="center"/>
                </w:tcPr>
                <w:p w14:paraId="7CCF063E">
                  <w:pPr>
                    <w:pStyle w:val="68"/>
                    <w:rPr>
                      <w:rFonts w:hint="default"/>
                      <w:color w:val="auto"/>
                      <w:sz w:val="18"/>
                      <w:szCs w:val="18"/>
                      <w:lang w:val="en-US" w:eastAsia="zh-CN"/>
                    </w:rPr>
                  </w:pPr>
                  <w:r>
                    <w:rPr>
                      <w:rFonts w:hint="eastAsia"/>
                      <w:color w:val="auto"/>
                      <w:sz w:val="18"/>
                      <w:szCs w:val="18"/>
                      <w:lang w:val="en-US" w:eastAsia="zh-CN"/>
                    </w:rPr>
                    <w:t>3</w:t>
                  </w:r>
                </w:p>
              </w:tc>
              <w:tc>
                <w:tcPr>
                  <w:tcW w:w="639" w:type="pct"/>
                  <w:tcBorders>
                    <w:tl2br w:val="nil"/>
                    <w:tr2bl w:val="nil"/>
                  </w:tcBorders>
                  <w:shd w:val="clear" w:color="auto" w:fill="auto"/>
                  <w:vAlign w:val="center"/>
                </w:tcPr>
                <w:p w14:paraId="7A06A9C4">
                  <w:pPr>
                    <w:jc w:val="center"/>
                    <w:rPr>
                      <w:rFonts w:hint="eastAsia" w:hAnsi="宋体"/>
                      <w:color w:val="auto"/>
                      <w:sz w:val="18"/>
                      <w:szCs w:val="18"/>
                    </w:rPr>
                  </w:pPr>
                  <w:r>
                    <w:rPr>
                      <w:rFonts w:hint="eastAsia" w:hAnsi="宋体"/>
                      <w:color w:val="auto"/>
                      <w:sz w:val="18"/>
                      <w:szCs w:val="18"/>
                      <w:lang w:val="en-US" w:eastAsia="zh-CN"/>
                    </w:rPr>
                    <w:t>废液压油</w:t>
                  </w:r>
                </w:p>
              </w:tc>
              <w:tc>
                <w:tcPr>
                  <w:tcW w:w="473" w:type="pct"/>
                  <w:tcBorders>
                    <w:tl2br w:val="nil"/>
                    <w:tr2bl w:val="nil"/>
                  </w:tcBorders>
                  <w:vAlign w:val="center"/>
                </w:tcPr>
                <w:p w14:paraId="5EEA0B88">
                  <w:pPr>
                    <w:jc w:val="center"/>
                    <w:rPr>
                      <w:color w:val="auto"/>
                      <w:sz w:val="18"/>
                      <w:szCs w:val="18"/>
                    </w:rPr>
                  </w:pPr>
                  <w:r>
                    <w:rPr>
                      <w:color w:val="auto"/>
                      <w:sz w:val="18"/>
                      <w:szCs w:val="18"/>
                    </w:rPr>
                    <w:t>HW</w:t>
                  </w:r>
                  <w:r>
                    <w:rPr>
                      <w:rFonts w:hint="eastAsia"/>
                      <w:color w:val="auto"/>
                      <w:sz w:val="18"/>
                      <w:szCs w:val="18"/>
                      <w:lang w:val="en-US" w:eastAsia="zh-CN"/>
                    </w:rPr>
                    <w:t>08</w:t>
                  </w:r>
                </w:p>
              </w:tc>
              <w:tc>
                <w:tcPr>
                  <w:tcW w:w="676" w:type="pct"/>
                  <w:tcBorders>
                    <w:tl2br w:val="nil"/>
                    <w:tr2bl w:val="nil"/>
                  </w:tcBorders>
                  <w:vAlign w:val="center"/>
                </w:tcPr>
                <w:p w14:paraId="5C150CF5">
                  <w:pPr>
                    <w:jc w:val="center"/>
                    <w:rPr>
                      <w:rFonts w:hint="eastAsia"/>
                      <w:color w:val="auto"/>
                      <w:sz w:val="18"/>
                      <w:szCs w:val="18"/>
                    </w:rPr>
                  </w:pPr>
                  <w:r>
                    <w:rPr>
                      <w:rStyle w:val="36"/>
                      <w:rFonts w:hint="eastAsia"/>
                      <w:color w:val="auto"/>
                      <w:sz w:val="18"/>
                      <w:szCs w:val="18"/>
                    </w:rPr>
                    <w:t>900-218-08</w:t>
                  </w:r>
                </w:p>
              </w:tc>
              <w:tc>
                <w:tcPr>
                  <w:tcW w:w="400" w:type="pct"/>
                  <w:tcBorders>
                    <w:tl2br w:val="nil"/>
                    <w:tr2bl w:val="nil"/>
                  </w:tcBorders>
                  <w:shd w:val="clear" w:color="auto" w:fill="auto"/>
                  <w:vAlign w:val="center"/>
                </w:tcPr>
                <w:p w14:paraId="21835D7F">
                  <w:pPr>
                    <w:jc w:val="center"/>
                    <w:rPr>
                      <w:rFonts w:hint="eastAsia"/>
                      <w:color w:val="auto"/>
                      <w:sz w:val="18"/>
                      <w:szCs w:val="18"/>
                      <w:lang w:val="en-US" w:eastAsia="zh-CN"/>
                    </w:rPr>
                  </w:pPr>
                  <w:r>
                    <w:rPr>
                      <w:rStyle w:val="36"/>
                      <w:rFonts w:hint="eastAsia"/>
                      <w:color w:val="auto"/>
                      <w:sz w:val="18"/>
                      <w:szCs w:val="18"/>
                      <w:lang w:val="en-US" w:eastAsia="zh-CN"/>
                    </w:rPr>
                    <w:t>1.8</w:t>
                  </w:r>
                </w:p>
              </w:tc>
              <w:tc>
                <w:tcPr>
                  <w:tcW w:w="563" w:type="pct"/>
                  <w:tcBorders>
                    <w:tl2br w:val="nil"/>
                    <w:tr2bl w:val="nil"/>
                  </w:tcBorders>
                  <w:vAlign w:val="center"/>
                </w:tcPr>
                <w:p w14:paraId="3DB63960">
                  <w:pPr>
                    <w:jc w:val="center"/>
                    <w:rPr>
                      <w:rFonts w:hint="eastAsia"/>
                      <w:color w:val="auto"/>
                      <w:sz w:val="18"/>
                      <w:szCs w:val="18"/>
                    </w:rPr>
                  </w:pPr>
                  <w:r>
                    <w:rPr>
                      <w:rFonts w:hint="eastAsia"/>
                      <w:color w:val="auto"/>
                      <w:sz w:val="18"/>
                      <w:szCs w:val="18"/>
                      <w:lang w:val="en-US" w:eastAsia="zh-CN"/>
                    </w:rPr>
                    <w:t>红冲、压铸等工序</w:t>
                  </w:r>
                </w:p>
              </w:tc>
              <w:tc>
                <w:tcPr>
                  <w:tcW w:w="248" w:type="pct"/>
                  <w:tcBorders>
                    <w:tl2br w:val="nil"/>
                    <w:tr2bl w:val="nil"/>
                  </w:tcBorders>
                  <w:vAlign w:val="center"/>
                </w:tcPr>
                <w:p w14:paraId="6E3839F0">
                  <w:pPr>
                    <w:jc w:val="center"/>
                    <w:rPr>
                      <w:rFonts w:hint="eastAsia" w:hAnsi="宋体"/>
                      <w:color w:val="auto"/>
                      <w:sz w:val="18"/>
                      <w:szCs w:val="18"/>
                      <w:lang w:val="en-US" w:eastAsia="zh-CN"/>
                    </w:rPr>
                  </w:pPr>
                  <w:r>
                    <w:rPr>
                      <w:rFonts w:hint="eastAsia" w:hAnsi="宋体"/>
                      <w:color w:val="auto"/>
                      <w:sz w:val="18"/>
                      <w:szCs w:val="18"/>
                      <w:lang w:val="en-US" w:eastAsia="zh-CN"/>
                    </w:rPr>
                    <w:t>液态</w:t>
                  </w:r>
                </w:p>
              </w:tc>
              <w:tc>
                <w:tcPr>
                  <w:tcW w:w="430" w:type="pct"/>
                  <w:tcBorders>
                    <w:tl2br w:val="nil"/>
                    <w:tr2bl w:val="nil"/>
                  </w:tcBorders>
                  <w:vAlign w:val="center"/>
                </w:tcPr>
                <w:p w14:paraId="689F3EB2">
                  <w:pPr>
                    <w:jc w:val="center"/>
                    <w:rPr>
                      <w:rFonts w:hint="eastAsia"/>
                      <w:color w:val="auto"/>
                      <w:sz w:val="18"/>
                      <w:szCs w:val="18"/>
                      <w:lang w:val="en-US" w:eastAsia="zh-CN"/>
                    </w:rPr>
                  </w:pPr>
                  <w:r>
                    <w:rPr>
                      <w:rFonts w:hint="eastAsia"/>
                      <w:color w:val="auto"/>
                      <w:sz w:val="18"/>
                      <w:szCs w:val="18"/>
                      <w:lang w:val="en-US" w:eastAsia="zh-CN"/>
                    </w:rPr>
                    <w:t>液压油</w:t>
                  </w:r>
                </w:p>
              </w:tc>
              <w:tc>
                <w:tcPr>
                  <w:tcW w:w="348" w:type="pct"/>
                  <w:tcBorders>
                    <w:tl2br w:val="nil"/>
                    <w:tr2bl w:val="nil"/>
                  </w:tcBorders>
                  <w:shd w:val="clear" w:color="auto" w:fill="auto"/>
                  <w:vAlign w:val="center"/>
                </w:tcPr>
                <w:p w14:paraId="371C65B7">
                  <w:pPr>
                    <w:pStyle w:val="68"/>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间断</w:t>
                  </w:r>
                </w:p>
              </w:tc>
              <w:tc>
                <w:tcPr>
                  <w:tcW w:w="362" w:type="pct"/>
                  <w:tcBorders>
                    <w:tl2br w:val="nil"/>
                    <w:tr2bl w:val="nil"/>
                  </w:tcBorders>
                  <w:vAlign w:val="center"/>
                </w:tcPr>
                <w:p w14:paraId="43505703">
                  <w:pPr>
                    <w:pStyle w:val="68"/>
                    <w:rPr>
                      <w:rFonts w:hint="default" w:eastAsia="宋体"/>
                      <w:color w:val="auto"/>
                      <w:sz w:val="18"/>
                      <w:szCs w:val="18"/>
                      <w:lang w:val="en-US" w:eastAsia="zh-CN"/>
                    </w:rPr>
                  </w:pPr>
                  <w:r>
                    <w:rPr>
                      <w:rFonts w:hint="eastAsia"/>
                      <w:color w:val="auto"/>
                      <w:sz w:val="18"/>
                      <w:szCs w:val="18"/>
                      <w:lang w:val="en-US" w:eastAsia="zh-CN"/>
                    </w:rPr>
                    <w:t>T，I</w:t>
                  </w:r>
                </w:p>
              </w:tc>
              <w:tc>
                <w:tcPr>
                  <w:tcW w:w="609" w:type="pct"/>
                  <w:vMerge w:val="continue"/>
                  <w:tcBorders>
                    <w:tl2br w:val="nil"/>
                    <w:tr2bl w:val="nil"/>
                  </w:tcBorders>
                  <w:vAlign w:val="center"/>
                </w:tcPr>
                <w:p w14:paraId="43371F2D">
                  <w:pPr>
                    <w:pStyle w:val="68"/>
                    <w:rPr>
                      <w:color w:val="auto"/>
                      <w:sz w:val="18"/>
                      <w:szCs w:val="18"/>
                    </w:rPr>
                  </w:pPr>
                </w:p>
              </w:tc>
            </w:tr>
            <w:tr w14:paraId="3D814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6" w:type="pct"/>
                  <w:tcBorders>
                    <w:tl2br w:val="nil"/>
                    <w:tr2bl w:val="nil"/>
                  </w:tcBorders>
                  <w:vAlign w:val="center"/>
                </w:tcPr>
                <w:p w14:paraId="20406425">
                  <w:pPr>
                    <w:pStyle w:val="68"/>
                    <w:rPr>
                      <w:rFonts w:hint="default"/>
                      <w:color w:val="auto"/>
                      <w:sz w:val="18"/>
                      <w:szCs w:val="18"/>
                      <w:lang w:val="en-US" w:eastAsia="zh-CN"/>
                    </w:rPr>
                  </w:pPr>
                  <w:r>
                    <w:rPr>
                      <w:rFonts w:hint="eastAsia"/>
                      <w:color w:val="auto"/>
                      <w:sz w:val="18"/>
                      <w:szCs w:val="18"/>
                      <w:lang w:val="en-US" w:eastAsia="zh-CN"/>
                    </w:rPr>
                    <w:t>4</w:t>
                  </w:r>
                </w:p>
              </w:tc>
              <w:tc>
                <w:tcPr>
                  <w:tcW w:w="639" w:type="pct"/>
                  <w:tcBorders>
                    <w:tl2br w:val="nil"/>
                    <w:tr2bl w:val="nil"/>
                  </w:tcBorders>
                  <w:shd w:val="clear" w:color="auto" w:fill="auto"/>
                  <w:vAlign w:val="center"/>
                </w:tcPr>
                <w:p w14:paraId="7AA5AEE8">
                  <w:pPr>
                    <w:jc w:val="center"/>
                    <w:rPr>
                      <w:rFonts w:hint="eastAsia" w:hAnsi="宋体"/>
                      <w:color w:val="auto"/>
                      <w:sz w:val="18"/>
                      <w:szCs w:val="18"/>
                    </w:rPr>
                  </w:pPr>
                  <w:r>
                    <w:rPr>
                      <w:rFonts w:hint="eastAsia"/>
                      <w:color w:val="auto"/>
                      <w:sz w:val="18"/>
                      <w:szCs w:val="18"/>
                      <w:lang w:val="en-US" w:eastAsia="zh-CN"/>
                    </w:rPr>
                    <w:t>废活性炭</w:t>
                  </w:r>
                </w:p>
              </w:tc>
              <w:tc>
                <w:tcPr>
                  <w:tcW w:w="473" w:type="pct"/>
                  <w:tcBorders>
                    <w:tl2br w:val="nil"/>
                    <w:tr2bl w:val="nil"/>
                  </w:tcBorders>
                  <w:vAlign w:val="center"/>
                </w:tcPr>
                <w:p w14:paraId="5460F0B4">
                  <w:pPr>
                    <w:jc w:val="center"/>
                    <w:rPr>
                      <w:color w:val="auto"/>
                      <w:sz w:val="18"/>
                      <w:szCs w:val="18"/>
                    </w:rPr>
                  </w:pPr>
                  <w:r>
                    <w:rPr>
                      <w:color w:val="auto"/>
                      <w:sz w:val="18"/>
                      <w:szCs w:val="18"/>
                    </w:rPr>
                    <w:t>HW</w:t>
                  </w:r>
                  <w:r>
                    <w:rPr>
                      <w:rFonts w:hint="eastAsia"/>
                      <w:color w:val="auto"/>
                      <w:sz w:val="18"/>
                      <w:szCs w:val="18"/>
                      <w:lang w:val="en-US" w:eastAsia="zh-CN"/>
                    </w:rPr>
                    <w:t>49</w:t>
                  </w:r>
                </w:p>
              </w:tc>
              <w:tc>
                <w:tcPr>
                  <w:tcW w:w="676" w:type="pct"/>
                  <w:tcBorders>
                    <w:tl2br w:val="nil"/>
                    <w:tr2bl w:val="nil"/>
                  </w:tcBorders>
                  <w:vAlign w:val="center"/>
                </w:tcPr>
                <w:p w14:paraId="2E0E09F1">
                  <w:pPr>
                    <w:jc w:val="center"/>
                    <w:rPr>
                      <w:rFonts w:hint="eastAsia"/>
                      <w:color w:val="auto"/>
                      <w:sz w:val="18"/>
                      <w:szCs w:val="18"/>
                    </w:rPr>
                  </w:pPr>
                  <w:r>
                    <w:rPr>
                      <w:color w:val="auto"/>
                      <w:sz w:val="18"/>
                      <w:szCs w:val="18"/>
                    </w:rPr>
                    <w:t>900-</w:t>
                  </w:r>
                  <w:r>
                    <w:rPr>
                      <w:rFonts w:hint="eastAsia"/>
                      <w:color w:val="auto"/>
                      <w:sz w:val="18"/>
                      <w:szCs w:val="18"/>
                      <w:lang w:val="en-US" w:eastAsia="zh-CN"/>
                    </w:rPr>
                    <w:t>039</w:t>
                  </w:r>
                  <w:r>
                    <w:rPr>
                      <w:color w:val="auto"/>
                      <w:sz w:val="18"/>
                      <w:szCs w:val="18"/>
                    </w:rPr>
                    <w:t>-</w:t>
                  </w:r>
                  <w:r>
                    <w:rPr>
                      <w:rFonts w:hint="eastAsia"/>
                      <w:color w:val="auto"/>
                      <w:sz w:val="18"/>
                      <w:szCs w:val="18"/>
                      <w:lang w:val="en-US" w:eastAsia="zh-CN"/>
                    </w:rPr>
                    <w:t>49</w:t>
                  </w:r>
                </w:p>
              </w:tc>
              <w:tc>
                <w:tcPr>
                  <w:tcW w:w="400" w:type="pct"/>
                  <w:tcBorders>
                    <w:tl2br w:val="nil"/>
                    <w:tr2bl w:val="nil"/>
                  </w:tcBorders>
                  <w:shd w:val="clear" w:color="auto" w:fill="auto"/>
                  <w:vAlign w:val="center"/>
                </w:tcPr>
                <w:p w14:paraId="27303D5C">
                  <w:pPr>
                    <w:jc w:val="center"/>
                    <w:rPr>
                      <w:rFonts w:hint="eastAsia"/>
                      <w:color w:val="auto"/>
                      <w:sz w:val="18"/>
                      <w:szCs w:val="18"/>
                      <w:lang w:val="en-US" w:eastAsia="zh-CN"/>
                    </w:rPr>
                  </w:pPr>
                  <w:r>
                    <w:rPr>
                      <w:rStyle w:val="36"/>
                      <w:rFonts w:hint="eastAsia"/>
                      <w:color w:val="auto"/>
                      <w:sz w:val="18"/>
                      <w:szCs w:val="18"/>
                      <w:lang w:val="en-US" w:eastAsia="zh-CN"/>
                    </w:rPr>
                    <w:t>14.404</w:t>
                  </w:r>
                </w:p>
              </w:tc>
              <w:tc>
                <w:tcPr>
                  <w:tcW w:w="563" w:type="pct"/>
                  <w:tcBorders>
                    <w:tl2br w:val="nil"/>
                    <w:tr2bl w:val="nil"/>
                  </w:tcBorders>
                  <w:vAlign w:val="center"/>
                </w:tcPr>
                <w:p w14:paraId="1DF76CF0">
                  <w:pPr>
                    <w:jc w:val="center"/>
                    <w:rPr>
                      <w:rFonts w:hint="eastAsia"/>
                      <w:color w:val="auto"/>
                      <w:sz w:val="18"/>
                      <w:szCs w:val="18"/>
                    </w:rPr>
                  </w:pPr>
                  <w:r>
                    <w:rPr>
                      <w:rFonts w:hint="eastAsia"/>
                      <w:color w:val="auto"/>
                      <w:sz w:val="18"/>
                      <w:szCs w:val="18"/>
                      <w:lang w:val="en-US" w:eastAsia="zh-CN"/>
                    </w:rPr>
                    <w:t>废气治理</w:t>
                  </w:r>
                </w:p>
              </w:tc>
              <w:tc>
                <w:tcPr>
                  <w:tcW w:w="248" w:type="pct"/>
                  <w:tcBorders>
                    <w:tl2br w:val="nil"/>
                    <w:tr2bl w:val="nil"/>
                  </w:tcBorders>
                  <w:vAlign w:val="center"/>
                </w:tcPr>
                <w:p w14:paraId="0DE70A54">
                  <w:pPr>
                    <w:jc w:val="center"/>
                    <w:rPr>
                      <w:rFonts w:hint="eastAsia" w:hAnsi="宋体"/>
                      <w:color w:val="auto"/>
                      <w:sz w:val="18"/>
                      <w:szCs w:val="18"/>
                      <w:lang w:val="en-US" w:eastAsia="zh-CN"/>
                    </w:rPr>
                  </w:pPr>
                  <w:r>
                    <w:rPr>
                      <w:rFonts w:hint="eastAsia" w:hAnsi="宋体"/>
                      <w:color w:val="auto"/>
                      <w:sz w:val="18"/>
                      <w:szCs w:val="18"/>
                    </w:rPr>
                    <w:t>固态</w:t>
                  </w:r>
                </w:p>
              </w:tc>
              <w:tc>
                <w:tcPr>
                  <w:tcW w:w="430" w:type="pct"/>
                  <w:tcBorders>
                    <w:tl2br w:val="nil"/>
                    <w:tr2bl w:val="nil"/>
                  </w:tcBorders>
                  <w:vAlign w:val="center"/>
                </w:tcPr>
                <w:p w14:paraId="0F8C1E6F">
                  <w:pPr>
                    <w:jc w:val="center"/>
                    <w:rPr>
                      <w:rFonts w:hint="eastAsia"/>
                      <w:color w:val="auto"/>
                      <w:sz w:val="18"/>
                      <w:szCs w:val="18"/>
                      <w:lang w:val="en-US" w:eastAsia="zh-CN"/>
                    </w:rPr>
                  </w:pPr>
                  <w:r>
                    <w:rPr>
                      <w:rFonts w:hint="eastAsia"/>
                      <w:color w:val="auto"/>
                      <w:sz w:val="18"/>
                      <w:szCs w:val="18"/>
                      <w:lang w:val="en-US" w:eastAsia="zh-CN"/>
                    </w:rPr>
                    <w:t>吸附有机物</w:t>
                  </w:r>
                </w:p>
              </w:tc>
              <w:tc>
                <w:tcPr>
                  <w:tcW w:w="348" w:type="pct"/>
                  <w:tcBorders>
                    <w:tl2br w:val="nil"/>
                    <w:tr2bl w:val="nil"/>
                  </w:tcBorders>
                  <w:shd w:val="clear" w:color="auto" w:fill="auto"/>
                  <w:vAlign w:val="center"/>
                </w:tcPr>
                <w:p w14:paraId="01D5C9B7">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间断</w:t>
                  </w:r>
                </w:p>
              </w:tc>
              <w:tc>
                <w:tcPr>
                  <w:tcW w:w="362" w:type="pct"/>
                  <w:tcBorders>
                    <w:tl2br w:val="nil"/>
                    <w:tr2bl w:val="nil"/>
                  </w:tcBorders>
                  <w:vAlign w:val="center"/>
                </w:tcPr>
                <w:p w14:paraId="7470AB62">
                  <w:pPr>
                    <w:pStyle w:val="68"/>
                    <w:rPr>
                      <w:rFonts w:hint="default" w:eastAsia="宋体"/>
                      <w:color w:val="auto"/>
                      <w:sz w:val="18"/>
                      <w:szCs w:val="18"/>
                      <w:lang w:val="en-US" w:eastAsia="zh-CN"/>
                    </w:rPr>
                  </w:pPr>
                  <w:r>
                    <w:rPr>
                      <w:rFonts w:hint="eastAsia"/>
                      <w:color w:val="auto"/>
                      <w:sz w:val="18"/>
                      <w:szCs w:val="18"/>
                      <w:lang w:val="en-US" w:eastAsia="zh-CN"/>
                    </w:rPr>
                    <w:t>T/In</w:t>
                  </w:r>
                </w:p>
              </w:tc>
              <w:tc>
                <w:tcPr>
                  <w:tcW w:w="609" w:type="pct"/>
                  <w:vMerge w:val="continue"/>
                  <w:tcBorders>
                    <w:tl2br w:val="nil"/>
                    <w:tr2bl w:val="nil"/>
                  </w:tcBorders>
                  <w:vAlign w:val="center"/>
                </w:tcPr>
                <w:p w14:paraId="1B84C383">
                  <w:pPr>
                    <w:pStyle w:val="68"/>
                    <w:rPr>
                      <w:color w:val="auto"/>
                      <w:sz w:val="18"/>
                      <w:szCs w:val="18"/>
                    </w:rPr>
                  </w:pPr>
                </w:p>
              </w:tc>
            </w:tr>
            <w:tr w14:paraId="60FD2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6" w:type="pct"/>
                  <w:tcBorders>
                    <w:tl2br w:val="nil"/>
                    <w:tr2bl w:val="nil"/>
                  </w:tcBorders>
                  <w:vAlign w:val="center"/>
                </w:tcPr>
                <w:p w14:paraId="49D09E6D">
                  <w:pPr>
                    <w:pStyle w:val="68"/>
                    <w:rPr>
                      <w:rFonts w:hint="default"/>
                      <w:color w:val="auto"/>
                      <w:sz w:val="18"/>
                      <w:szCs w:val="18"/>
                      <w:lang w:val="en-US" w:eastAsia="zh-CN"/>
                    </w:rPr>
                  </w:pPr>
                  <w:r>
                    <w:rPr>
                      <w:rFonts w:hint="eastAsia"/>
                      <w:color w:val="auto"/>
                      <w:sz w:val="18"/>
                      <w:szCs w:val="18"/>
                      <w:lang w:val="en-US" w:eastAsia="zh-CN"/>
                    </w:rPr>
                    <w:t>5</w:t>
                  </w:r>
                </w:p>
              </w:tc>
              <w:tc>
                <w:tcPr>
                  <w:tcW w:w="639" w:type="pct"/>
                  <w:tcBorders>
                    <w:tl2br w:val="nil"/>
                    <w:tr2bl w:val="nil"/>
                  </w:tcBorders>
                  <w:shd w:val="clear" w:color="auto" w:fill="auto"/>
                  <w:vAlign w:val="center"/>
                </w:tcPr>
                <w:p w14:paraId="6F128EB0">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lang w:val="en-US" w:eastAsia="zh-CN"/>
                    </w:rPr>
                    <w:t>铝灰</w:t>
                  </w:r>
                </w:p>
              </w:tc>
              <w:tc>
                <w:tcPr>
                  <w:tcW w:w="473" w:type="pct"/>
                  <w:tcBorders>
                    <w:tl2br w:val="nil"/>
                    <w:tr2bl w:val="nil"/>
                  </w:tcBorders>
                  <w:vAlign w:val="center"/>
                </w:tcPr>
                <w:p w14:paraId="2FCD429B">
                  <w:pPr>
                    <w:jc w:val="center"/>
                    <w:rPr>
                      <w:color w:val="auto"/>
                      <w:sz w:val="18"/>
                      <w:szCs w:val="18"/>
                    </w:rPr>
                  </w:pPr>
                  <w:r>
                    <w:rPr>
                      <w:rFonts w:hint="eastAsia" w:hAnsi="宋体"/>
                      <w:color w:val="auto"/>
                      <w:sz w:val="18"/>
                      <w:szCs w:val="18"/>
                      <w:lang w:val="en-US" w:eastAsia="zh-CN"/>
                    </w:rPr>
                    <w:t>WH48</w:t>
                  </w:r>
                </w:p>
              </w:tc>
              <w:tc>
                <w:tcPr>
                  <w:tcW w:w="676" w:type="pct"/>
                  <w:tcBorders>
                    <w:tl2br w:val="nil"/>
                    <w:tr2bl w:val="nil"/>
                  </w:tcBorders>
                  <w:vAlign w:val="center"/>
                </w:tcPr>
                <w:p w14:paraId="17A295B0">
                  <w:pPr>
                    <w:jc w:val="center"/>
                    <w:rPr>
                      <w:color w:val="auto"/>
                      <w:sz w:val="18"/>
                      <w:szCs w:val="18"/>
                    </w:rPr>
                  </w:pPr>
                  <w:r>
                    <w:rPr>
                      <w:color w:val="auto"/>
                      <w:sz w:val="18"/>
                      <w:szCs w:val="18"/>
                    </w:rPr>
                    <w:t>900-</w:t>
                  </w:r>
                  <w:r>
                    <w:rPr>
                      <w:rFonts w:hint="eastAsia"/>
                      <w:color w:val="auto"/>
                      <w:sz w:val="18"/>
                      <w:szCs w:val="18"/>
                      <w:lang w:val="en-US" w:eastAsia="zh-CN"/>
                    </w:rPr>
                    <w:t>034</w:t>
                  </w:r>
                  <w:r>
                    <w:rPr>
                      <w:color w:val="auto"/>
                      <w:sz w:val="18"/>
                      <w:szCs w:val="18"/>
                    </w:rPr>
                    <w:t>-</w:t>
                  </w:r>
                  <w:r>
                    <w:rPr>
                      <w:rFonts w:hint="eastAsia"/>
                      <w:color w:val="auto"/>
                      <w:sz w:val="18"/>
                      <w:szCs w:val="18"/>
                      <w:lang w:val="en-US" w:eastAsia="zh-CN"/>
                    </w:rPr>
                    <w:t>48</w:t>
                  </w:r>
                </w:p>
              </w:tc>
              <w:tc>
                <w:tcPr>
                  <w:tcW w:w="400" w:type="pct"/>
                  <w:tcBorders>
                    <w:tl2br w:val="nil"/>
                    <w:tr2bl w:val="nil"/>
                  </w:tcBorders>
                  <w:shd w:val="clear" w:color="auto" w:fill="auto"/>
                  <w:vAlign w:val="center"/>
                </w:tcPr>
                <w:p w14:paraId="25C9745C">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1.848</w:t>
                  </w:r>
                </w:p>
              </w:tc>
              <w:tc>
                <w:tcPr>
                  <w:tcW w:w="563" w:type="pct"/>
                  <w:tcBorders>
                    <w:tl2br w:val="nil"/>
                    <w:tr2bl w:val="nil"/>
                  </w:tcBorders>
                  <w:vAlign w:val="center"/>
                </w:tcPr>
                <w:p w14:paraId="66D28BF2">
                  <w:pPr>
                    <w:jc w:val="center"/>
                    <w:rPr>
                      <w:rFonts w:hint="eastAsia"/>
                      <w:color w:val="auto"/>
                      <w:sz w:val="18"/>
                      <w:szCs w:val="18"/>
                      <w:lang w:val="en-US" w:eastAsia="zh-CN"/>
                    </w:rPr>
                  </w:pPr>
                  <w:r>
                    <w:rPr>
                      <w:rFonts w:hint="eastAsia"/>
                      <w:color w:val="auto"/>
                      <w:sz w:val="18"/>
                      <w:szCs w:val="18"/>
                      <w:lang w:val="en-US" w:eastAsia="zh-CN"/>
                    </w:rPr>
                    <w:t>废气治理</w:t>
                  </w:r>
                </w:p>
              </w:tc>
              <w:tc>
                <w:tcPr>
                  <w:tcW w:w="248" w:type="pct"/>
                  <w:tcBorders>
                    <w:tl2br w:val="nil"/>
                    <w:tr2bl w:val="nil"/>
                  </w:tcBorders>
                  <w:vAlign w:val="center"/>
                </w:tcPr>
                <w:p w14:paraId="5ED6417D">
                  <w:pPr>
                    <w:jc w:val="center"/>
                    <w:rPr>
                      <w:rFonts w:hint="eastAsia" w:hAnsi="宋体"/>
                      <w:color w:val="auto"/>
                      <w:sz w:val="18"/>
                      <w:szCs w:val="18"/>
                    </w:rPr>
                  </w:pPr>
                  <w:r>
                    <w:rPr>
                      <w:rFonts w:hint="eastAsia" w:hAnsi="宋体"/>
                      <w:color w:val="auto"/>
                      <w:sz w:val="18"/>
                      <w:szCs w:val="18"/>
                    </w:rPr>
                    <w:t>固态</w:t>
                  </w:r>
                </w:p>
              </w:tc>
              <w:tc>
                <w:tcPr>
                  <w:tcW w:w="430" w:type="pct"/>
                  <w:tcBorders>
                    <w:tl2br w:val="nil"/>
                    <w:tr2bl w:val="nil"/>
                  </w:tcBorders>
                  <w:vAlign w:val="center"/>
                </w:tcPr>
                <w:p w14:paraId="337E380D">
                  <w:pPr>
                    <w:jc w:val="center"/>
                    <w:rPr>
                      <w:rFonts w:hint="default"/>
                      <w:color w:val="auto"/>
                      <w:sz w:val="18"/>
                      <w:szCs w:val="18"/>
                      <w:lang w:val="en-US" w:eastAsia="zh-CN"/>
                    </w:rPr>
                  </w:pPr>
                  <w:r>
                    <w:rPr>
                      <w:rFonts w:hint="eastAsia"/>
                      <w:color w:val="auto"/>
                      <w:sz w:val="18"/>
                      <w:szCs w:val="18"/>
                      <w:lang w:val="en-US" w:eastAsia="zh-CN"/>
                    </w:rPr>
                    <w:t>氧化铝</w:t>
                  </w:r>
                </w:p>
              </w:tc>
              <w:tc>
                <w:tcPr>
                  <w:tcW w:w="348" w:type="pct"/>
                  <w:tcBorders>
                    <w:tl2br w:val="nil"/>
                    <w:tr2bl w:val="nil"/>
                  </w:tcBorders>
                  <w:shd w:val="clear" w:color="auto" w:fill="auto"/>
                  <w:vAlign w:val="center"/>
                </w:tcPr>
                <w:p w14:paraId="230FB447">
                  <w:pPr>
                    <w:pStyle w:val="68"/>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间断</w:t>
                  </w:r>
                </w:p>
              </w:tc>
              <w:tc>
                <w:tcPr>
                  <w:tcW w:w="362" w:type="pct"/>
                  <w:tcBorders>
                    <w:tl2br w:val="nil"/>
                    <w:tr2bl w:val="nil"/>
                  </w:tcBorders>
                  <w:vAlign w:val="center"/>
                </w:tcPr>
                <w:p w14:paraId="6EE829AF">
                  <w:pPr>
                    <w:pStyle w:val="68"/>
                    <w:rPr>
                      <w:rFonts w:hint="eastAsia"/>
                      <w:color w:val="auto"/>
                      <w:sz w:val="18"/>
                      <w:szCs w:val="18"/>
                      <w:lang w:val="en-US" w:eastAsia="zh-CN"/>
                    </w:rPr>
                  </w:pPr>
                  <w:r>
                    <w:rPr>
                      <w:rFonts w:hint="eastAsia"/>
                      <w:color w:val="auto"/>
                      <w:sz w:val="18"/>
                      <w:szCs w:val="18"/>
                      <w:lang w:val="en-US" w:eastAsia="zh-CN"/>
                    </w:rPr>
                    <w:t>T，R</w:t>
                  </w:r>
                </w:p>
              </w:tc>
              <w:tc>
                <w:tcPr>
                  <w:tcW w:w="609" w:type="pct"/>
                  <w:vMerge w:val="continue"/>
                  <w:tcBorders>
                    <w:tl2br w:val="nil"/>
                    <w:tr2bl w:val="nil"/>
                  </w:tcBorders>
                  <w:vAlign w:val="center"/>
                </w:tcPr>
                <w:p w14:paraId="3EFA9B6B">
                  <w:pPr>
                    <w:pStyle w:val="68"/>
                    <w:rPr>
                      <w:color w:val="auto"/>
                      <w:sz w:val="18"/>
                      <w:szCs w:val="18"/>
                    </w:rPr>
                  </w:pPr>
                </w:p>
              </w:tc>
            </w:tr>
            <w:tr w14:paraId="6127E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6" w:type="pct"/>
                  <w:tcBorders>
                    <w:tl2br w:val="nil"/>
                    <w:tr2bl w:val="nil"/>
                  </w:tcBorders>
                  <w:vAlign w:val="center"/>
                </w:tcPr>
                <w:p w14:paraId="1B88F147">
                  <w:pPr>
                    <w:pStyle w:val="68"/>
                    <w:rPr>
                      <w:rFonts w:hint="default"/>
                      <w:color w:val="auto"/>
                      <w:sz w:val="18"/>
                      <w:szCs w:val="18"/>
                      <w:lang w:val="en-US" w:eastAsia="zh-CN"/>
                    </w:rPr>
                  </w:pPr>
                  <w:r>
                    <w:rPr>
                      <w:rFonts w:hint="eastAsia"/>
                      <w:color w:val="auto"/>
                      <w:sz w:val="18"/>
                      <w:szCs w:val="18"/>
                      <w:lang w:val="en-US" w:eastAsia="zh-CN"/>
                    </w:rPr>
                    <w:t>6</w:t>
                  </w:r>
                </w:p>
              </w:tc>
              <w:tc>
                <w:tcPr>
                  <w:tcW w:w="639" w:type="pct"/>
                  <w:tcBorders>
                    <w:tl2br w:val="nil"/>
                    <w:tr2bl w:val="nil"/>
                  </w:tcBorders>
                  <w:shd w:val="clear" w:color="auto" w:fill="auto"/>
                  <w:vAlign w:val="center"/>
                </w:tcPr>
                <w:p w14:paraId="224E5986">
                  <w:pPr>
                    <w:jc w:val="center"/>
                    <w:rPr>
                      <w:rFonts w:hint="eastAsia" w:ascii="Times New Roman" w:hAnsi="宋体" w:eastAsia="宋体" w:cs="Times New Roman"/>
                      <w:color w:val="auto"/>
                      <w:kern w:val="2"/>
                      <w:sz w:val="18"/>
                      <w:szCs w:val="18"/>
                      <w:lang w:val="en-US" w:eastAsia="zh-CN" w:bidi="ar-SA"/>
                    </w:rPr>
                  </w:pPr>
                  <w:r>
                    <w:rPr>
                      <w:rFonts w:hint="eastAsia"/>
                      <w:color w:val="auto"/>
                      <w:sz w:val="18"/>
                      <w:szCs w:val="18"/>
                      <w:lang w:val="en-US" w:eastAsia="zh-CN"/>
                    </w:rPr>
                    <w:t>含铝灰的废除尘布袋</w:t>
                  </w:r>
                </w:p>
              </w:tc>
              <w:tc>
                <w:tcPr>
                  <w:tcW w:w="473" w:type="pct"/>
                  <w:tcBorders>
                    <w:tl2br w:val="nil"/>
                    <w:tr2bl w:val="nil"/>
                  </w:tcBorders>
                  <w:vAlign w:val="center"/>
                </w:tcPr>
                <w:p w14:paraId="65EC034D">
                  <w:pPr>
                    <w:jc w:val="center"/>
                    <w:rPr>
                      <w:color w:val="auto"/>
                      <w:sz w:val="18"/>
                      <w:szCs w:val="18"/>
                    </w:rPr>
                  </w:pPr>
                  <w:r>
                    <w:rPr>
                      <w:rFonts w:hint="eastAsia" w:hAnsi="宋体"/>
                      <w:color w:val="auto"/>
                      <w:sz w:val="18"/>
                      <w:szCs w:val="18"/>
                      <w:lang w:val="en-US" w:eastAsia="zh-CN"/>
                    </w:rPr>
                    <w:t>WH49</w:t>
                  </w:r>
                </w:p>
              </w:tc>
              <w:tc>
                <w:tcPr>
                  <w:tcW w:w="676" w:type="pct"/>
                  <w:tcBorders>
                    <w:tl2br w:val="nil"/>
                    <w:tr2bl w:val="nil"/>
                  </w:tcBorders>
                  <w:vAlign w:val="center"/>
                </w:tcPr>
                <w:p w14:paraId="13CB3C19">
                  <w:pPr>
                    <w:jc w:val="center"/>
                    <w:rPr>
                      <w:color w:val="auto"/>
                      <w:sz w:val="18"/>
                      <w:szCs w:val="18"/>
                    </w:rPr>
                  </w:pPr>
                  <w:r>
                    <w:rPr>
                      <w:color w:val="auto"/>
                      <w:sz w:val="18"/>
                      <w:szCs w:val="18"/>
                    </w:rPr>
                    <w:t>900-</w:t>
                  </w:r>
                  <w:r>
                    <w:rPr>
                      <w:rFonts w:hint="eastAsia"/>
                      <w:color w:val="auto"/>
                      <w:sz w:val="18"/>
                      <w:szCs w:val="18"/>
                      <w:lang w:val="en-US" w:eastAsia="zh-CN"/>
                    </w:rPr>
                    <w:t>041</w:t>
                  </w:r>
                  <w:r>
                    <w:rPr>
                      <w:color w:val="auto"/>
                      <w:sz w:val="18"/>
                      <w:szCs w:val="18"/>
                    </w:rPr>
                    <w:t>-</w:t>
                  </w:r>
                  <w:r>
                    <w:rPr>
                      <w:rFonts w:hint="eastAsia"/>
                      <w:color w:val="auto"/>
                      <w:sz w:val="18"/>
                      <w:szCs w:val="18"/>
                      <w:lang w:val="en-US" w:eastAsia="zh-CN"/>
                    </w:rPr>
                    <w:t>49</w:t>
                  </w:r>
                </w:p>
              </w:tc>
              <w:tc>
                <w:tcPr>
                  <w:tcW w:w="400" w:type="pct"/>
                  <w:tcBorders>
                    <w:tl2br w:val="nil"/>
                    <w:tr2bl w:val="nil"/>
                  </w:tcBorders>
                  <w:shd w:val="clear" w:color="auto" w:fill="auto"/>
                  <w:vAlign w:val="center"/>
                </w:tcPr>
                <w:p w14:paraId="2F064224">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0.2</w:t>
                  </w:r>
                </w:p>
              </w:tc>
              <w:tc>
                <w:tcPr>
                  <w:tcW w:w="563" w:type="pct"/>
                  <w:tcBorders>
                    <w:tl2br w:val="nil"/>
                    <w:tr2bl w:val="nil"/>
                  </w:tcBorders>
                  <w:vAlign w:val="center"/>
                </w:tcPr>
                <w:p w14:paraId="1E287EDF">
                  <w:pPr>
                    <w:jc w:val="center"/>
                    <w:rPr>
                      <w:rFonts w:hint="eastAsia"/>
                      <w:color w:val="auto"/>
                      <w:sz w:val="18"/>
                      <w:szCs w:val="18"/>
                      <w:lang w:val="en-US" w:eastAsia="zh-CN"/>
                    </w:rPr>
                  </w:pPr>
                  <w:r>
                    <w:rPr>
                      <w:rFonts w:hint="eastAsia"/>
                      <w:color w:val="auto"/>
                      <w:sz w:val="18"/>
                      <w:szCs w:val="18"/>
                      <w:lang w:val="en-US" w:eastAsia="zh-CN"/>
                    </w:rPr>
                    <w:t>废气治理</w:t>
                  </w:r>
                </w:p>
              </w:tc>
              <w:tc>
                <w:tcPr>
                  <w:tcW w:w="248" w:type="pct"/>
                  <w:tcBorders>
                    <w:tl2br w:val="nil"/>
                    <w:tr2bl w:val="nil"/>
                  </w:tcBorders>
                  <w:vAlign w:val="center"/>
                </w:tcPr>
                <w:p w14:paraId="1169F01B">
                  <w:pPr>
                    <w:jc w:val="center"/>
                    <w:rPr>
                      <w:rFonts w:hint="eastAsia" w:hAnsi="宋体"/>
                      <w:color w:val="auto"/>
                      <w:sz w:val="18"/>
                      <w:szCs w:val="18"/>
                    </w:rPr>
                  </w:pPr>
                  <w:r>
                    <w:rPr>
                      <w:rFonts w:hint="eastAsia" w:hAnsi="宋体"/>
                      <w:color w:val="auto"/>
                      <w:sz w:val="18"/>
                      <w:szCs w:val="18"/>
                    </w:rPr>
                    <w:t>固态</w:t>
                  </w:r>
                </w:p>
              </w:tc>
              <w:tc>
                <w:tcPr>
                  <w:tcW w:w="430" w:type="pct"/>
                  <w:tcBorders>
                    <w:tl2br w:val="nil"/>
                    <w:tr2bl w:val="nil"/>
                  </w:tcBorders>
                  <w:vAlign w:val="center"/>
                </w:tcPr>
                <w:p w14:paraId="2C79361B">
                  <w:pPr>
                    <w:jc w:val="center"/>
                    <w:rPr>
                      <w:rFonts w:hint="default"/>
                      <w:color w:val="auto"/>
                      <w:sz w:val="18"/>
                      <w:szCs w:val="18"/>
                      <w:lang w:val="en-US" w:eastAsia="zh-CN"/>
                    </w:rPr>
                  </w:pPr>
                  <w:r>
                    <w:rPr>
                      <w:rFonts w:hint="eastAsia"/>
                      <w:color w:val="auto"/>
                      <w:sz w:val="18"/>
                      <w:szCs w:val="18"/>
                      <w:lang w:val="en-US" w:eastAsia="zh-CN"/>
                    </w:rPr>
                    <w:t>氧化铝、合成纤维</w:t>
                  </w:r>
                </w:p>
              </w:tc>
              <w:tc>
                <w:tcPr>
                  <w:tcW w:w="348" w:type="pct"/>
                  <w:tcBorders>
                    <w:tl2br w:val="nil"/>
                    <w:tr2bl w:val="nil"/>
                  </w:tcBorders>
                  <w:shd w:val="clear" w:color="auto" w:fill="auto"/>
                  <w:vAlign w:val="center"/>
                </w:tcPr>
                <w:p w14:paraId="025524FE">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间断</w:t>
                  </w:r>
                </w:p>
              </w:tc>
              <w:tc>
                <w:tcPr>
                  <w:tcW w:w="362" w:type="pct"/>
                  <w:tcBorders>
                    <w:tl2br w:val="nil"/>
                    <w:tr2bl w:val="nil"/>
                  </w:tcBorders>
                  <w:vAlign w:val="center"/>
                </w:tcPr>
                <w:p w14:paraId="0A3ED858">
                  <w:pPr>
                    <w:pStyle w:val="68"/>
                    <w:rPr>
                      <w:rFonts w:hint="eastAsia"/>
                      <w:color w:val="auto"/>
                      <w:sz w:val="18"/>
                      <w:szCs w:val="18"/>
                      <w:lang w:val="en-US" w:eastAsia="zh-CN"/>
                    </w:rPr>
                  </w:pPr>
                  <w:r>
                    <w:rPr>
                      <w:rFonts w:hint="eastAsia"/>
                      <w:color w:val="auto"/>
                      <w:sz w:val="18"/>
                      <w:szCs w:val="18"/>
                      <w:lang w:val="en-US" w:eastAsia="zh-CN"/>
                    </w:rPr>
                    <w:t>T/R</w:t>
                  </w:r>
                </w:p>
              </w:tc>
              <w:tc>
                <w:tcPr>
                  <w:tcW w:w="609" w:type="pct"/>
                  <w:vMerge w:val="continue"/>
                  <w:tcBorders>
                    <w:tl2br w:val="nil"/>
                    <w:tr2bl w:val="nil"/>
                  </w:tcBorders>
                  <w:vAlign w:val="center"/>
                </w:tcPr>
                <w:p w14:paraId="4A0B72EA">
                  <w:pPr>
                    <w:pStyle w:val="68"/>
                    <w:rPr>
                      <w:color w:val="auto"/>
                      <w:sz w:val="18"/>
                      <w:szCs w:val="18"/>
                    </w:rPr>
                  </w:pPr>
                </w:p>
              </w:tc>
            </w:tr>
          </w:tbl>
          <w:p w14:paraId="1852475C">
            <w:pPr>
              <w:pStyle w:val="82"/>
              <w:spacing w:before="120" w:beforeLines="50"/>
              <w:rPr>
                <w:color w:val="auto"/>
                <w:sz w:val="24"/>
                <w:szCs w:val="24"/>
              </w:rPr>
            </w:pPr>
            <w:r>
              <w:rPr>
                <w:color w:val="auto"/>
                <w:sz w:val="24"/>
                <w:szCs w:val="24"/>
              </w:rPr>
              <w:t>4.</w:t>
            </w:r>
            <w:r>
              <w:rPr>
                <w:rFonts w:hint="eastAsia"/>
                <w:color w:val="auto"/>
                <w:sz w:val="24"/>
                <w:szCs w:val="24"/>
              </w:rPr>
              <w:t>2</w:t>
            </w:r>
            <w:r>
              <w:rPr>
                <w:color w:val="auto"/>
                <w:sz w:val="24"/>
                <w:szCs w:val="24"/>
              </w:rPr>
              <w:t>固体废物处置措施合理性分析</w:t>
            </w:r>
          </w:p>
          <w:p w14:paraId="2788419B">
            <w:pPr>
              <w:adjustRightInd w:val="0"/>
              <w:snapToGrid w:val="0"/>
              <w:spacing w:line="360" w:lineRule="auto"/>
              <w:ind w:firstLine="480" w:firstLineChars="200"/>
              <w:rPr>
                <w:color w:val="auto"/>
                <w:sz w:val="24"/>
                <w:szCs w:val="24"/>
              </w:rPr>
            </w:pPr>
            <w:r>
              <w:rPr>
                <w:color w:val="auto"/>
                <w:sz w:val="24"/>
                <w:szCs w:val="24"/>
              </w:rPr>
              <w:t>根据固体废物判别结果可知，本项目产生的固体废物分为一般</w:t>
            </w:r>
            <w:r>
              <w:rPr>
                <w:rFonts w:hint="eastAsia"/>
                <w:color w:val="auto"/>
                <w:sz w:val="24"/>
                <w:szCs w:val="24"/>
              </w:rPr>
              <w:t>工业固体</w:t>
            </w:r>
            <w:r>
              <w:rPr>
                <w:color w:val="auto"/>
                <w:sz w:val="24"/>
                <w:szCs w:val="24"/>
              </w:rPr>
              <w:t>废物</w:t>
            </w:r>
            <w:r>
              <w:rPr>
                <w:rFonts w:hint="eastAsia"/>
                <w:color w:val="auto"/>
                <w:sz w:val="24"/>
                <w:szCs w:val="24"/>
              </w:rPr>
              <w:t>、</w:t>
            </w:r>
            <w:r>
              <w:rPr>
                <w:color w:val="auto"/>
                <w:sz w:val="24"/>
                <w:szCs w:val="24"/>
              </w:rPr>
              <w:t>危险废物</w:t>
            </w:r>
            <w:r>
              <w:rPr>
                <w:rFonts w:hint="eastAsia"/>
                <w:color w:val="auto"/>
                <w:sz w:val="24"/>
                <w:szCs w:val="24"/>
              </w:rPr>
              <w:t>、生活垃圾</w:t>
            </w:r>
            <w:r>
              <w:rPr>
                <w:color w:val="auto"/>
                <w:sz w:val="24"/>
                <w:szCs w:val="24"/>
              </w:rPr>
              <w:t>。</w:t>
            </w:r>
          </w:p>
          <w:p w14:paraId="31499F17">
            <w:pPr>
              <w:adjustRightInd w:val="0"/>
              <w:snapToGrid w:val="0"/>
              <w:spacing w:line="360" w:lineRule="auto"/>
              <w:ind w:firstLine="480" w:firstLineChars="200"/>
              <w:rPr>
                <w:color w:val="auto"/>
                <w:kern w:val="18"/>
                <w:sz w:val="24"/>
                <w:szCs w:val="24"/>
              </w:rPr>
            </w:pPr>
            <w:r>
              <w:rPr>
                <w:color w:val="auto"/>
                <w:sz w:val="24"/>
                <w:szCs w:val="24"/>
              </w:rPr>
              <w:t>本项目产生的</w:t>
            </w:r>
            <w:r>
              <w:rPr>
                <w:rFonts w:hint="eastAsia"/>
                <w:color w:val="auto"/>
                <w:sz w:val="24"/>
                <w:szCs w:val="24"/>
              </w:rPr>
              <w:t>一般工业</w:t>
            </w:r>
            <w:r>
              <w:rPr>
                <w:color w:val="auto"/>
                <w:sz w:val="24"/>
                <w:szCs w:val="24"/>
              </w:rPr>
              <w:t>固体废物在厂内</w:t>
            </w:r>
            <w:r>
              <w:rPr>
                <w:rFonts w:hint="eastAsia"/>
                <w:color w:val="auto"/>
                <w:sz w:val="24"/>
                <w:szCs w:val="24"/>
              </w:rPr>
              <w:t>一般固废间</w:t>
            </w:r>
            <w:r>
              <w:rPr>
                <w:rFonts w:hint="eastAsia"/>
                <w:color w:val="auto"/>
                <w:sz w:val="24"/>
                <w:szCs w:val="24"/>
                <w:lang w:val="en-US" w:eastAsia="zh-CN"/>
              </w:rPr>
              <w:t>暂存</w:t>
            </w:r>
            <w:r>
              <w:rPr>
                <w:rFonts w:hint="eastAsia"/>
                <w:color w:val="auto"/>
                <w:sz w:val="24"/>
                <w:szCs w:val="24"/>
                <w:lang w:eastAsia="zh-CN"/>
              </w:rPr>
              <w:t>，</w:t>
            </w:r>
            <w:r>
              <w:rPr>
                <w:rFonts w:hint="eastAsia"/>
                <w:color w:val="auto"/>
                <w:sz w:val="24"/>
                <w:szCs w:val="24"/>
                <w:lang w:val="en-US" w:eastAsia="zh-CN"/>
              </w:rPr>
              <w:t>并</w:t>
            </w:r>
            <w:r>
              <w:rPr>
                <w:color w:val="auto"/>
                <w:sz w:val="24"/>
                <w:szCs w:val="24"/>
              </w:rPr>
              <w:t>分类贮存</w:t>
            </w:r>
            <w:r>
              <w:rPr>
                <w:rFonts w:hint="eastAsia"/>
                <w:color w:val="auto"/>
                <w:sz w:val="24"/>
                <w:szCs w:val="24"/>
              </w:rPr>
              <w:t>，一般工业</w:t>
            </w:r>
            <w:r>
              <w:rPr>
                <w:color w:val="auto"/>
                <w:sz w:val="24"/>
                <w:szCs w:val="24"/>
              </w:rPr>
              <w:t>固体废物</w:t>
            </w:r>
            <w:r>
              <w:rPr>
                <w:rFonts w:hint="eastAsia"/>
                <w:color w:val="auto"/>
                <w:sz w:val="24"/>
                <w:szCs w:val="24"/>
              </w:rPr>
              <w:t>贮存过程中</w:t>
            </w:r>
            <w:r>
              <w:rPr>
                <w:rFonts w:hint="eastAsia"/>
                <w:color w:val="auto"/>
                <w:kern w:val="18"/>
                <w:sz w:val="24"/>
                <w:szCs w:val="24"/>
              </w:rPr>
              <w:t>采取防扬尘、防雨淋、防渗漏等相应环保措施。</w:t>
            </w:r>
          </w:p>
          <w:p w14:paraId="70690FA4">
            <w:pPr>
              <w:adjustRightInd w:val="0"/>
              <w:snapToGrid w:val="0"/>
              <w:spacing w:line="360" w:lineRule="auto"/>
              <w:ind w:firstLine="480" w:firstLineChars="200"/>
              <w:rPr>
                <w:color w:val="auto"/>
                <w:sz w:val="24"/>
                <w:szCs w:val="24"/>
              </w:rPr>
            </w:pPr>
            <w:r>
              <w:rPr>
                <w:rFonts w:hint="eastAsia"/>
                <w:color w:val="auto"/>
                <w:sz w:val="24"/>
                <w:szCs w:val="24"/>
              </w:rPr>
              <w:t>本项目产生的危险废物</w:t>
            </w:r>
            <w:r>
              <w:rPr>
                <w:rFonts w:hint="eastAsia"/>
                <w:color w:val="auto"/>
                <w:kern w:val="18"/>
                <w:sz w:val="24"/>
                <w:szCs w:val="24"/>
              </w:rPr>
              <w:t>贮存</w:t>
            </w:r>
            <w:r>
              <w:rPr>
                <w:rFonts w:hint="eastAsia"/>
                <w:color w:val="auto"/>
                <w:kern w:val="18"/>
                <w:sz w:val="24"/>
                <w:szCs w:val="24"/>
                <w:lang w:val="en-US" w:eastAsia="zh-CN"/>
              </w:rPr>
              <w:t>满足</w:t>
            </w:r>
            <w:r>
              <w:rPr>
                <w:rFonts w:hint="eastAsia"/>
                <w:color w:val="auto"/>
                <w:kern w:val="18"/>
                <w:sz w:val="24"/>
                <w:szCs w:val="24"/>
              </w:rPr>
              <w:t>《危险废物贮存污染控制标准》（GB18597-2023）的有关规定。危险废物交</w:t>
            </w:r>
            <w:r>
              <w:rPr>
                <w:rFonts w:hint="eastAsia"/>
                <w:color w:val="auto"/>
                <w:kern w:val="18"/>
                <w:sz w:val="24"/>
                <w:szCs w:val="24"/>
                <w:lang w:val="en-US" w:eastAsia="zh-CN"/>
              </w:rPr>
              <w:t>由</w:t>
            </w:r>
            <w:r>
              <w:rPr>
                <w:rFonts w:hint="eastAsia"/>
                <w:color w:val="auto"/>
                <w:kern w:val="18"/>
                <w:sz w:val="24"/>
                <w:szCs w:val="24"/>
                <w:lang w:eastAsia="zh-CN"/>
              </w:rPr>
              <w:t>有资质单位</w:t>
            </w:r>
            <w:r>
              <w:rPr>
                <w:rFonts w:hint="eastAsia"/>
                <w:color w:val="auto"/>
                <w:kern w:val="18"/>
                <w:sz w:val="24"/>
                <w:szCs w:val="24"/>
              </w:rPr>
              <w:t>处置。</w:t>
            </w:r>
          </w:p>
          <w:p w14:paraId="098A0210">
            <w:pPr>
              <w:adjustRightInd w:val="0"/>
              <w:snapToGrid w:val="0"/>
              <w:spacing w:line="360" w:lineRule="auto"/>
              <w:ind w:firstLine="480" w:firstLineChars="200"/>
              <w:rPr>
                <w:color w:val="auto"/>
                <w:sz w:val="24"/>
                <w:szCs w:val="24"/>
              </w:rPr>
            </w:pPr>
            <w:r>
              <w:rPr>
                <w:rFonts w:hint="eastAsia"/>
                <w:color w:val="auto"/>
                <w:sz w:val="24"/>
                <w:szCs w:val="24"/>
              </w:rPr>
              <w:t>生活垃圾经集中收集于垃圾桶中，及时交环卫部门处理，严禁混入危险废物。</w:t>
            </w:r>
          </w:p>
          <w:p w14:paraId="0E7DE07B">
            <w:pPr>
              <w:adjustRightInd w:val="0"/>
              <w:snapToGrid w:val="0"/>
              <w:spacing w:line="360" w:lineRule="auto"/>
              <w:ind w:firstLine="480" w:firstLineChars="200"/>
              <w:jc w:val="left"/>
              <w:rPr>
                <w:color w:val="auto"/>
                <w:sz w:val="24"/>
                <w:szCs w:val="24"/>
              </w:rPr>
            </w:pPr>
            <w:r>
              <w:rPr>
                <w:color w:val="auto"/>
                <w:sz w:val="24"/>
                <w:szCs w:val="24"/>
              </w:rPr>
              <w:t>综上所述，本项目各类固体废物均有</w:t>
            </w:r>
            <w:r>
              <w:rPr>
                <w:rFonts w:hint="eastAsia"/>
                <w:color w:val="auto"/>
                <w:sz w:val="24"/>
                <w:szCs w:val="24"/>
              </w:rPr>
              <w:t>妥善</w:t>
            </w:r>
            <w:r>
              <w:rPr>
                <w:color w:val="auto"/>
                <w:sz w:val="24"/>
                <w:szCs w:val="24"/>
              </w:rPr>
              <w:t>合理</w:t>
            </w:r>
            <w:r>
              <w:rPr>
                <w:rFonts w:hint="eastAsia"/>
                <w:color w:val="auto"/>
                <w:sz w:val="24"/>
                <w:szCs w:val="24"/>
                <w:lang w:val="en-US" w:eastAsia="zh-CN"/>
              </w:rPr>
              <w:t>地</w:t>
            </w:r>
            <w:r>
              <w:rPr>
                <w:rFonts w:hint="eastAsia"/>
                <w:color w:val="auto"/>
                <w:sz w:val="24"/>
                <w:szCs w:val="24"/>
              </w:rPr>
              <w:t>处理</w:t>
            </w:r>
            <w:r>
              <w:rPr>
                <w:color w:val="auto"/>
                <w:sz w:val="24"/>
                <w:szCs w:val="24"/>
              </w:rPr>
              <w:t>处置途径，</w:t>
            </w:r>
            <w:r>
              <w:rPr>
                <w:rFonts w:hint="eastAsia"/>
                <w:color w:val="auto"/>
                <w:sz w:val="24"/>
                <w:szCs w:val="24"/>
              </w:rPr>
              <w:t>固体废物污染防治措施</w:t>
            </w:r>
            <w:r>
              <w:rPr>
                <w:color w:val="auto"/>
                <w:sz w:val="24"/>
                <w:szCs w:val="24"/>
              </w:rPr>
              <w:t>可行</w:t>
            </w:r>
            <w:r>
              <w:rPr>
                <w:rFonts w:hint="eastAsia"/>
                <w:color w:val="auto"/>
                <w:sz w:val="24"/>
                <w:szCs w:val="24"/>
              </w:rPr>
              <w:t>，对环境影响很小</w:t>
            </w:r>
            <w:r>
              <w:rPr>
                <w:color w:val="auto"/>
                <w:sz w:val="24"/>
                <w:szCs w:val="24"/>
              </w:rPr>
              <w:t>。</w:t>
            </w:r>
          </w:p>
          <w:p w14:paraId="52F7C2E5">
            <w:pPr>
              <w:adjustRightInd w:val="0"/>
              <w:snapToGrid w:val="0"/>
              <w:spacing w:line="360" w:lineRule="auto"/>
              <w:ind w:firstLine="480" w:firstLineChars="200"/>
              <w:jc w:val="left"/>
              <w:rPr>
                <w:color w:val="auto"/>
                <w:sz w:val="24"/>
                <w:szCs w:val="24"/>
              </w:rPr>
            </w:pPr>
          </w:p>
          <w:p w14:paraId="1D0DC0EB">
            <w:pPr>
              <w:adjustRightInd w:val="0"/>
              <w:snapToGrid w:val="0"/>
              <w:spacing w:line="360" w:lineRule="auto"/>
              <w:ind w:firstLine="480" w:firstLineChars="200"/>
              <w:jc w:val="left"/>
              <w:rPr>
                <w:color w:val="auto"/>
                <w:sz w:val="24"/>
                <w:szCs w:val="24"/>
              </w:rPr>
            </w:pPr>
          </w:p>
          <w:p w14:paraId="0E1978CC">
            <w:pPr>
              <w:pStyle w:val="82"/>
              <w:rPr>
                <w:color w:val="auto"/>
                <w:sz w:val="24"/>
                <w:szCs w:val="24"/>
              </w:rPr>
            </w:pPr>
            <w:r>
              <w:rPr>
                <w:color w:val="auto"/>
                <w:sz w:val="24"/>
                <w:szCs w:val="24"/>
              </w:rPr>
              <w:t>4.3危废废物</w:t>
            </w:r>
            <w:r>
              <w:rPr>
                <w:rFonts w:hint="eastAsia"/>
                <w:color w:val="auto"/>
                <w:sz w:val="24"/>
                <w:szCs w:val="24"/>
              </w:rPr>
              <w:t>处理</w:t>
            </w:r>
            <w:r>
              <w:rPr>
                <w:color w:val="auto"/>
                <w:sz w:val="24"/>
                <w:szCs w:val="24"/>
              </w:rPr>
              <w:t>措施合理性分析</w:t>
            </w:r>
          </w:p>
          <w:p w14:paraId="62594D4E">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default" w:ascii="Times New Roman" w:hAnsi="Times New Roman" w:cs="Times New Roman"/>
                <w:color w:val="auto"/>
                <w:sz w:val="24"/>
                <w:szCs w:val="24"/>
              </w:rPr>
              <w:t>危险废物</w:t>
            </w:r>
            <w:r>
              <w:rPr>
                <w:rFonts w:hint="eastAsia" w:cs="Times New Roman"/>
                <w:color w:val="auto"/>
                <w:sz w:val="24"/>
                <w:szCs w:val="24"/>
                <w:lang w:val="en-US" w:eastAsia="zh-CN"/>
              </w:rPr>
              <w:t>暂存设施</w:t>
            </w:r>
            <w:r>
              <w:rPr>
                <w:rFonts w:hint="default" w:ascii="Times New Roman" w:hAnsi="Times New Roman" w:cs="Times New Roman"/>
                <w:color w:val="auto"/>
                <w:sz w:val="24"/>
                <w:szCs w:val="24"/>
              </w:rPr>
              <w:t>及可行性分析</w:t>
            </w:r>
          </w:p>
          <w:p w14:paraId="61D8CE9E">
            <w:pPr>
              <w:spacing w:line="360" w:lineRule="auto"/>
              <w:ind w:firstLine="480" w:firstLineChars="200"/>
              <w:rPr>
                <w:rFonts w:hint="default" w:ascii="Times New Roman" w:hAnsi="Times New Roman" w:cs="Times New Roman"/>
                <w:b/>
                <w:bCs/>
                <w:color w:val="auto"/>
                <w:sz w:val="24"/>
                <w:szCs w:val="24"/>
              </w:rPr>
            </w:pPr>
            <w:r>
              <w:rPr>
                <w:rFonts w:hint="eastAsia" w:cs="Times New Roman"/>
                <w:color w:val="auto"/>
                <w:sz w:val="24"/>
                <w:szCs w:val="24"/>
                <w:lang w:val="en-US" w:eastAsia="zh-CN"/>
              </w:rPr>
              <w:t>项目拟建</w:t>
            </w:r>
            <w:r>
              <w:rPr>
                <w:rFonts w:hint="default" w:ascii="Times New Roman" w:hAnsi="Times New Roman" w:cs="Times New Roman"/>
                <w:color w:val="auto"/>
                <w:sz w:val="24"/>
                <w:szCs w:val="24"/>
              </w:rPr>
              <w:t>1座危险废物贮存库，位于厂区</w:t>
            </w:r>
            <w:r>
              <w:rPr>
                <w:rFonts w:hint="eastAsia" w:cs="Times New Roman"/>
                <w:color w:val="auto"/>
                <w:sz w:val="24"/>
                <w:szCs w:val="24"/>
                <w:lang w:val="en-US" w:eastAsia="zh-CN"/>
              </w:rPr>
              <w:t>2#厂房1F</w:t>
            </w:r>
            <w:r>
              <w:rPr>
                <w:rFonts w:hint="default" w:ascii="Times New Roman" w:hAnsi="Times New Roman" w:cs="Times New Roman"/>
                <w:color w:val="auto"/>
                <w:sz w:val="24"/>
                <w:szCs w:val="24"/>
              </w:rPr>
              <w:t>，为独立隔间，危废仓库</w:t>
            </w:r>
            <w:r>
              <w:rPr>
                <w:rFonts w:hint="eastAsia" w:cs="Times New Roman"/>
                <w:color w:val="auto"/>
                <w:sz w:val="24"/>
                <w:szCs w:val="24"/>
                <w:lang w:val="en-US" w:eastAsia="zh-CN"/>
              </w:rPr>
              <w:t>建设应</w:t>
            </w:r>
            <w:r>
              <w:rPr>
                <w:rFonts w:hint="default" w:ascii="Times New Roman" w:hAnsi="Times New Roman" w:cs="Times New Roman"/>
                <w:color w:val="auto"/>
                <w:sz w:val="24"/>
                <w:szCs w:val="24"/>
              </w:rPr>
              <w:t>满足《危险废物贮存污染控制标准》(GB18597-2023)要求。</w:t>
            </w:r>
            <w:r>
              <w:rPr>
                <w:rFonts w:hint="eastAsia" w:cs="Times New Roman"/>
                <w:color w:val="auto"/>
                <w:sz w:val="24"/>
                <w:szCs w:val="24"/>
                <w:lang w:val="en-US" w:eastAsia="zh-CN"/>
              </w:rPr>
              <w:t>本项目危险废物产生量35.102t/a</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危险废物每</w:t>
            </w:r>
            <w:r>
              <w:rPr>
                <w:rFonts w:hint="eastAsia" w:cs="Times New Roman"/>
                <w:color w:val="auto"/>
                <w:sz w:val="24"/>
                <w:szCs w:val="24"/>
                <w:lang w:val="en-US" w:eastAsia="zh-CN"/>
              </w:rPr>
              <w:t>三个</w:t>
            </w:r>
            <w:r>
              <w:rPr>
                <w:rFonts w:hint="eastAsia" w:ascii="Times New Roman" w:hAnsi="Times New Roman" w:cs="Times New Roman"/>
                <w:color w:val="auto"/>
                <w:sz w:val="24"/>
                <w:szCs w:val="24"/>
                <w:lang w:val="en-US" w:eastAsia="zh-CN"/>
              </w:rPr>
              <w:t>月转运一次</w:t>
            </w:r>
            <w:r>
              <w:rPr>
                <w:rFonts w:hint="default" w:ascii="Times New Roman" w:hAnsi="Times New Roman" w:cs="Times New Roman"/>
                <w:color w:val="auto"/>
                <w:sz w:val="24"/>
                <w:szCs w:val="24"/>
              </w:rPr>
              <w:t>。</w:t>
            </w:r>
            <w:r>
              <w:rPr>
                <w:rFonts w:hint="eastAsia" w:cs="Times New Roman"/>
                <w:color w:val="auto"/>
                <w:sz w:val="24"/>
                <w:szCs w:val="24"/>
                <w:lang w:val="en-US" w:eastAsia="zh-CN"/>
              </w:rPr>
              <w:t>项目危险废物储存场所储存能力40t，满足本项目危险废物暂存需求，危险废物一般每季度转运一次，最长贮存周期不超过一年。</w:t>
            </w:r>
            <w:r>
              <w:rPr>
                <w:rFonts w:hint="default" w:ascii="Times New Roman" w:hAnsi="Times New Roman" w:cs="Times New Roman"/>
                <w:color w:val="auto"/>
                <w:sz w:val="24"/>
                <w:szCs w:val="24"/>
              </w:rPr>
              <w:t>危险废物贮存场所基本情况详见</w:t>
            </w: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4-</w:t>
            </w:r>
            <w:r>
              <w:rPr>
                <w:rFonts w:hint="eastAsia" w:cs="Times New Roman"/>
                <w:b/>
                <w:bCs/>
                <w:color w:val="auto"/>
                <w:sz w:val="24"/>
                <w:szCs w:val="24"/>
                <w:lang w:val="en-US" w:eastAsia="zh-CN"/>
              </w:rPr>
              <w:t>41</w:t>
            </w:r>
            <w:r>
              <w:rPr>
                <w:rFonts w:hint="default" w:ascii="Times New Roman" w:hAnsi="Times New Roman" w:cs="Times New Roman"/>
                <w:b/>
                <w:bCs/>
                <w:color w:val="auto"/>
                <w:sz w:val="24"/>
                <w:szCs w:val="24"/>
              </w:rPr>
              <w:t>。</w:t>
            </w:r>
          </w:p>
          <w:p w14:paraId="42072632">
            <w:pPr>
              <w:spacing w:line="360" w:lineRule="auto"/>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表</w:t>
            </w:r>
            <w:r>
              <w:rPr>
                <w:rFonts w:hint="eastAsia" w:ascii="Times New Roman" w:hAnsi="Times New Roman" w:cs="Times New Roman"/>
                <w:b/>
                <w:bCs/>
                <w:color w:val="auto"/>
                <w:kern w:val="0"/>
                <w:sz w:val="24"/>
                <w:szCs w:val="24"/>
                <w:lang w:val="en-US" w:eastAsia="zh-CN"/>
              </w:rPr>
              <w:t>4-</w:t>
            </w:r>
            <w:r>
              <w:rPr>
                <w:rFonts w:hint="eastAsia" w:cs="Times New Roman"/>
                <w:b/>
                <w:bCs/>
                <w:color w:val="auto"/>
                <w:kern w:val="0"/>
                <w:sz w:val="24"/>
                <w:szCs w:val="24"/>
                <w:lang w:val="en-US" w:eastAsia="zh-CN"/>
              </w:rPr>
              <w:t xml:space="preserve">41 </w:t>
            </w:r>
            <w:r>
              <w:rPr>
                <w:rFonts w:hint="eastAsia" w:ascii="Times New Roman" w:hAnsi="Times New Roman" w:cs="Times New Roman"/>
                <w:b/>
                <w:bCs/>
                <w:color w:val="auto"/>
                <w:kern w:val="0"/>
                <w:sz w:val="24"/>
                <w:szCs w:val="24"/>
                <w:lang w:val="en-US" w:eastAsia="zh-CN"/>
              </w:rPr>
              <w:t xml:space="preserve"> </w:t>
            </w:r>
            <w:r>
              <w:rPr>
                <w:rFonts w:hint="default" w:ascii="Times New Roman" w:hAnsi="Times New Roman" w:cs="Times New Roman"/>
                <w:b/>
                <w:bCs/>
                <w:color w:val="auto"/>
                <w:kern w:val="0"/>
                <w:sz w:val="24"/>
                <w:szCs w:val="24"/>
              </w:rPr>
              <w:t>危险废物贮存场所（设施）基本情况表</w:t>
            </w:r>
          </w:p>
          <w:tbl>
            <w:tblPr>
              <w:tblStyle w:val="2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6"/>
              <w:gridCol w:w="1118"/>
              <w:gridCol w:w="1088"/>
              <w:gridCol w:w="973"/>
              <w:gridCol w:w="1040"/>
              <w:gridCol w:w="990"/>
              <w:gridCol w:w="540"/>
              <w:gridCol w:w="525"/>
              <w:gridCol w:w="465"/>
              <w:gridCol w:w="585"/>
              <w:gridCol w:w="570"/>
            </w:tblGrid>
            <w:tr w14:paraId="1A17B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4" w:type="pct"/>
                  <w:noWrap w:val="0"/>
                  <w:vAlign w:val="center"/>
                </w:tcPr>
                <w:p w14:paraId="6EB1BFEF">
                  <w:pPr>
                    <w:topLinePunct/>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667" w:type="pct"/>
                  <w:noWrap w:val="0"/>
                  <w:vAlign w:val="center"/>
                </w:tcPr>
                <w:p w14:paraId="5D5E8B11">
                  <w:pPr>
                    <w:topLinePunct/>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贮存场所(设施)名称</w:t>
                  </w:r>
                </w:p>
              </w:tc>
              <w:tc>
                <w:tcPr>
                  <w:tcW w:w="649" w:type="pct"/>
                  <w:noWrap w:val="0"/>
                  <w:vAlign w:val="center"/>
                </w:tcPr>
                <w:p w14:paraId="7FC217FF">
                  <w:pPr>
                    <w:topLinePunct/>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危险废物名称</w:t>
                  </w:r>
                </w:p>
              </w:tc>
              <w:tc>
                <w:tcPr>
                  <w:tcW w:w="581" w:type="pct"/>
                  <w:noWrap w:val="0"/>
                  <w:vAlign w:val="center"/>
                </w:tcPr>
                <w:p w14:paraId="50A01D00">
                  <w:pPr>
                    <w:topLinePunct/>
                    <w:adjustRightInd w:val="0"/>
                    <w:snapToGrid w:val="0"/>
                    <w:jc w:val="center"/>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产生量t/a</w:t>
                  </w:r>
                </w:p>
              </w:tc>
              <w:tc>
                <w:tcPr>
                  <w:tcW w:w="621" w:type="pct"/>
                  <w:noWrap w:val="0"/>
                  <w:vAlign w:val="center"/>
                </w:tcPr>
                <w:p w14:paraId="178A4925">
                  <w:pPr>
                    <w:topLinePunct/>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危险废物类别</w:t>
                  </w:r>
                </w:p>
              </w:tc>
              <w:tc>
                <w:tcPr>
                  <w:tcW w:w="591" w:type="pct"/>
                  <w:noWrap w:val="0"/>
                  <w:vAlign w:val="center"/>
                </w:tcPr>
                <w:p w14:paraId="267F43DD">
                  <w:pPr>
                    <w:topLinePunct/>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危险废物代码</w:t>
                  </w:r>
                </w:p>
              </w:tc>
              <w:tc>
                <w:tcPr>
                  <w:tcW w:w="322" w:type="pct"/>
                  <w:noWrap w:val="0"/>
                  <w:vAlign w:val="center"/>
                </w:tcPr>
                <w:p w14:paraId="6EE0947C">
                  <w:pPr>
                    <w:topLinePunct/>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位置</w:t>
                  </w:r>
                </w:p>
              </w:tc>
              <w:tc>
                <w:tcPr>
                  <w:tcW w:w="313" w:type="pct"/>
                  <w:noWrap w:val="0"/>
                  <w:vAlign w:val="center"/>
                </w:tcPr>
                <w:p w14:paraId="4C825B1E">
                  <w:pPr>
                    <w:topLinePunct/>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面积</w:t>
                  </w:r>
                </w:p>
              </w:tc>
              <w:tc>
                <w:tcPr>
                  <w:tcW w:w="277" w:type="pct"/>
                  <w:noWrap w:val="0"/>
                  <w:vAlign w:val="center"/>
                </w:tcPr>
                <w:p w14:paraId="25B6F48B">
                  <w:pPr>
                    <w:topLinePunct/>
                    <w:adjustRightInd w:val="0"/>
                    <w:snapToGrid w:val="0"/>
                    <w:jc w:val="center"/>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储存能力</w:t>
                  </w:r>
                </w:p>
              </w:tc>
              <w:tc>
                <w:tcPr>
                  <w:tcW w:w="349" w:type="pct"/>
                  <w:noWrap w:val="0"/>
                  <w:vAlign w:val="center"/>
                </w:tcPr>
                <w:p w14:paraId="44046D99">
                  <w:pPr>
                    <w:topLinePunct/>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贮存方式</w:t>
                  </w:r>
                </w:p>
              </w:tc>
              <w:tc>
                <w:tcPr>
                  <w:tcW w:w="340" w:type="pct"/>
                  <w:noWrap w:val="0"/>
                  <w:vAlign w:val="center"/>
                </w:tcPr>
                <w:p w14:paraId="616D69FC">
                  <w:pPr>
                    <w:topLinePunct/>
                    <w:adjustRightInd w:val="0"/>
                    <w:snapToGrid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贮存周期</w:t>
                  </w:r>
                </w:p>
              </w:tc>
            </w:tr>
            <w:tr w14:paraId="7FA9D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4" w:type="pct"/>
                  <w:noWrap w:val="0"/>
                  <w:vAlign w:val="center"/>
                </w:tcPr>
                <w:p w14:paraId="4FEF055A">
                  <w:pPr>
                    <w:topLinePunct/>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667" w:type="pct"/>
                  <w:vMerge w:val="restart"/>
                  <w:noWrap w:val="0"/>
                  <w:vAlign w:val="center"/>
                </w:tcPr>
                <w:p w14:paraId="37C1B92D">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危险废物贮存库</w:t>
                  </w:r>
                </w:p>
              </w:tc>
              <w:tc>
                <w:tcPr>
                  <w:tcW w:w="649" w:type="pct"/>
                  <w:noWrap w:val="0"/>
                  <w:vAlign w:val="center"/>
                </w:tcPr>
                <w:p w14:paraId="408FB012">
                  <w:pPr>
                    <w:jc w:val="center"/>
                    <w:rPr>
                      <w:rFonts w:hint="default" w:ascii="Times New Roman" w:hAnsi="Times New Roman" w:cs="Times New Roman"/>
                      <w:color w:val="auto"/>
                      <w:kern w:val="18"/>
                      <w:sz w:val="18"/>
                      <w:szCs w:val="18"/>
                    </w:rPr>
                  </w:pPr>
                  <w:r>
                    <w:rPr>
                      <w:rFonts w:hint="eastAsia" w:hAnsi="宋体"/>
                      <w:color w:val="auto"/>
                      <w:sz w:val="18"/>
                      <w:szCs w:val="18"/>
                      <w:lang w:val="en-US" w:eastAsia="zh-CN"/>
                    </w:rPr>
                    <w:t>铝灰渣</w:t>
                  </w:r>
                </w:p>
              </w:tc>
              <w:tc>
                <w:tcPr>
                  <w:tcW w:w="581" w:type="pct"/>
                  <w:noWrap w:val="0"/>
                  <w:vAlign w:val="center"/>
                </w:tcPr>
                <w:p w14:paraId="040DA3F4">
                  <w:pPr>
                    <w:jc w:val="center"/>
                    <w:rPr>
                      <w:rFonts w:hint="default"/>
                      <w:color w:val="auto"/>
                      <w:sz w:val="18"/>
                      <w:szCs w:val="18"/>
                      <w:lang w:val="en-US" w:eastAsia="zh-CN"/>
                    </w:rPr>
                  </w:pPr>
                  <w:r>
                    <w:rPr>
                      <w:rStyle w:val="36"/>
                      <w:rFonts w:hint="eastAsia"/>
                      <w:color w:val="auto"/>
                      <w:sz w:val="18"/>
                      <w:szCs w:val="18"/>
                      <w:lang w:val="en-US" w:eastAsia="zh-CN"/>
                    </w:rPr>
                    <w:t>16.65</w:t>
                  </w:r>
                </w:p>
              </w:tc>
              <w:tc>
                <w:tcPr>
                  <w:tcW w:w="621" w:type="pct"/>
                  <w:noWrap w:val="0"/>
                  <w:vAlign w:val="center"/>
                </w:tcPr>
                <w:p w14:paraId="62D53479">
                  <w:pPr>
                    <w:pStyle w:val="68"/>
                    <w:rPr>
                      <w:rFonts w:hint="default" w:ascii="Times New Roman" w:hAnsi="Times New Roman" w:cs="Times New Roman"/>
                      <w:color w:val="auto"/>
                      <w:sz w:val="18"/>
                      <w:szCs w:val="18"/>
                    </w:rPr>
                  </w:pPr>
                  <w:r>
                    <w:rPr>
                      <w:rFonts w:hint="eastAsia"/>
                      <w:color w:val="auto"/>
                      <w:sz w:val="18"/>
                      <w:szCs w:val="18"/>
                    </w:rPr>
                    <w:t>HW</w:t>
                  </w:r>
                  <w:r>
                    <w:rPr>
                      <w:rFonts w:hint="eastAsia"/>
                      <w:color w:val="auto"/>
                      <w:sz w:val="18"/>
                      <w:szCs w:val="18"/>
                      <w:lang w:val="en-US" w:eastAsia="zh-CN"/>
                    </w:rPr>
                    <w:t>48</w:t>
                  </w:r>
                </w:p>
              </w:tc>
              <w:tc>
                <w:tcPr>
                  <w:tcW w:w="591" w:type="pct"/>
                  <w:noWrap w:val="0"/>
                  <w:vAlign w:val="center"/>
                </w:tcPr>
                <w:p w14:paraId="55C344CD">
                  <w:pPr>
                    <w:jc w:val="center"/>
                    <w:rPr>
                      <w:rFonts w:hint="default" w:ascii="Times New Roman" w:hAnsi="Times New Roman" w:cs="Times New Roman"/>
                      <w:color w:val="auto"/>
                      <w:sz w:val="18"/>
                      <w:szCs w:val="18"/>
                    </w:rPr>
                  </w:pPr>
                  <w:r>
                    <w:rPr>
                      <w:rStyle w:val="36"/>
                      <w:rFonts w:hint="eastAsia"/>
                      <w:color w:val="auto"/>
                      <w:sz w:val="18"/>
                      <w:szCs w:val="18"/>
                    </w:rPr>
                    <w:t>321-026-48</w:t>
                  </w:r>
                </w:p>
              </w:tc>
              <w:tc>
                <w:tcPr>
                  <w:tcW w:w="322" w:type="pct"/>
                  <w:vMerge w:val="restart"/>
                  <w:noWrap w:val="0"/>
                  <w:vAlign w:val="center"/>
                </w:tcPr>
                <w:p w14:paraId="59BDE8B5">
                  <w:pPr>
                    <w:topLinePunct/>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2#厂房1F</w:t>
                  </w:r>
                </w:p>
              </w:tc>
              <w:tc>
                <w:tcPr>
                  <w:tcW w:w="313" w:type="pct"/>
                  <w:vMerge w:val="restart"/>
                  <w:noWrap w:val="0"/>
                  <w:vAlign w:val="center"/>
                </w:tcPr>
                <w:p w14:paraId="253B1131">
                  <w:pPr>
                    <w:topLinePunct/>
                    <w:adjustRightInd w:val="0"/>
                    <w:snapToGri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125</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p>
              </w:tc>
              <w:tc>
                <w:tcPr>
                  <w:tcW w:w="277" w:type="pct"/>
                  <w:vMerge w:val="restart"/>
                  <w:noWrap w:val="0"/>
                  <w:vAlign w:val="center"/>
                </w:tcPr>
                <w:p w14:paraId="0DBB1524">
                  <w:pPr>
                    <w:topLinePunct/>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40t</w:t>
                  </w:r>
                </w:p>
              </w:tc>
              <w:tc>
                <w:tcPr>
                  <w:tcW w:w="349" w:type="pct"/>
                  <w:noWrap w:val="0"/>
                  <w:vAlign w:val="center"/>
                </w:tcPr>
                <w:p w14:paraId="02B03CDE">
                  <w:pPr>
                    <w:topLinePunct/>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袋装</w:t>
                  </w:r>
                </w:p>
              </w:tc>
              <w:tc>
                <w:tcPr>
                  <w:tcW w:w="340" w:type="pct"/>
                  <w:noWrap w:val="0"/>
                  <w:vAlign w:val="center"/>
                </w:tcPr>
                <w:p w14:paraId="5F73457A">
                  <w:pPr>
                    <w:topLinePunct/>
                    <w:adjustRightInd w:val="0"/>
                    <w:snapToGrid w:val="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3</w:t>
                  </w:r>
                  <w:r>
                    <w:rPr>
                      <w:rFonts w:hint="eastAsia" w:ascii="Times New Roman" w:hAnsi="Times New Roman" w:cs="Times New Roman"/>
                      <w:color w:val="auto"/>
                      <w:sz w:val="18"/>
                      <w:szCs w:val="18"/>
                      <w:lang w:val="en-US" w:eastAsia="zh-CN"/>
                    </w:rPr>
                    <w:t>月</w:t>
                  </w:r>
                </w:p>
              </w:tc>
            </w:tr>
            <w:tr w14:paraId="0FDE5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4" w:type="pct"/>
                  <w:noWrap w:val="0"/>
                  <w:vAlign w:val="center"/>
                </w:tcPr>
                <w:p w14:paraId="03E52259">
                  <w:pPr>
                    <w:topLinePunct/>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2</w:t>
                  </w:r>
                </w:p>
              </w:tc>
              <w:tc>
                <w:tcPr>
                  <w:tcW w:w="667" w:type="pct"/>
                  <w:vMerge w:val="continue"/>
                  <w:noWrap w:val="0"/>
                  <w:vAlign w:val="center"/>
                </w:tcPr>
                <w:p w14:paraId="71404EBD">
                  <w:pPr>
                    <w:adjustRightInd w:val="0"/>
                    <w:snapToGrid w:val="0"/>
                    <w:jc w:val="center"/>
                    <w:rPr>
                      <w:rFonts w:hint="default" w:ascii="Times New Roman" w:hAnsi="Times New Roman" w:cs="Times New Roman"/>
                      <w:color w:val="auto"/>
                      <w:sz w:val="18"/>
                      <w:szCs w:val="18"/>
                    </w:rPr>
                  </w:pPr>
                </w:p>
              </w:tc>
              <w:tc>
                <w:tcPr>
                  <w:tcW w:w="649" w:type="pct"/>
                  <w:noWrap w:val="0"/>
                  <w:vAlign w:val="center"/>
                </w:tcPr>
                <w:p w14:paraId="52D9F4D9">
                  <w:pPr>
                    <w:jc w:val="center"/>
                    <w:rPr>
                      <w:rFonts w:hint="default" w:ascii="Times New Roman" w:hAnsi="Times New Roman" w:cs="Times New Roman"/>
                      <w:color w:val="auto"/>
                      <w:kern w:val="18"/>
                      <w:sz w:val="18"/>
                      <w:szCs w:val="18"/>
                    </w:rPr>
                  </w:pPr>
                  <w:r>
                    <w:rPr>
                      <w:rFonts w:hint="eastAsia" w:hAnsi="宋体"/>
                      <w:color w:val="auto"/>
                      <w:sz w:val="18"/>
                      <w:szCs w:val="18"/>
                      <w:lang w:val="en-US" w:eastAsia="zh-CN"/>
                    </w:rPr>
                    <w:t>废切削液</w:t>
                  </w:r>
                </w:p>
              </w:tc>
              <w:tc>
                <w:tcPr>
                  <w:tcW w:w="581" w:type="pct"/>
                  <w:noWrap w:val="0"/>
                  <w:vAlign w:val="center"/>
                </w:tcPr>
                <w:p w14:paraId="17A171A5">
                  <w:pPr>
                    <w:jc w:val="center"/>
                    <w:rPr>
                      <w:rFonts w:hint="default" w:hAnsi="宋体"/>
                      <w:color w:val="auto"/>
                      <w:sz w:val="18"/>
                      <w:szCs w:val="18"/>
                      <w:lang w:val="en-US" w:eastAsia="zh-CN"/>
                    </w:rPr>
                  </w:pPr>
                  <w:r>
                    <w:rPr>
                      <w:rStyle w:val="36"/>
                      <w:rFonts w:hint="eastAsia"/>
                      <w:color w:val="auto"/>
                      <w:sz w:val="18"/>
                      <w:szCs w:val="18"/>
                      <w:lang w:val="en-US" w:eastAsia="zh-CN"/>
                    </w:rPr>
                    <w:t>0.2</w:t>
                  </w:r>
                </w:p>
              </w:tc>
              <w:tc>
                <w:tcPr>
                  <w:tcW w:w="621" w:type="pct"/>
                  <w:noWrap w:val="0"/>
                  <w:vAlign w:val="center"/>
                </w:tcPr>
                <w:p w14:paraId="4200A893">
                  <w:pPr>
                    <w:jc w:val="center"/>
                    <w:rPr>
                      <w:rFonts w:hint="default" w:ascii="Times New Roman" w:hAnsi="Times New Roman" w:eastAsia="宋体" w:cs="Times New Roman"/>
                      <w:color w:val="auto"/>
                      <w:sz w:val="18"/>
                      <w:szCs w:val="18"/>
                      <w:lang w:val="en-US" w:eastAsia="zh-CN"/>
                    </w:rPr>
                  </w:pPr>
                  <w:r>
                    <w:rPr>
                      <w:color w:val="auto"/>
                      <w:sz w:val="18"/>
                      <w:szCs w:val="18"/>
                    </w:rPr>
                    <w:t>HW</w:t>
                  </w:r>
                  <w:r>
                    <w:rPr>
                      <w:rFonts w:hint="eastAsia"/>
                      <w:color w:val="auto"/>
                      <w:sz w:val="18"/>
                      <w:szCs w:val="18"/>
                      <w:lang w:val="en-US" w:eastAsia="zh-CN"/>
                    </w:rPr>
                    <w:t>09</w:t>
                  </w:r>
                </w:p>
              </w:tc>
              <w:tc>
                <w:tcPr>
                  <w:tcW w:w="591" w:type="pct"/>
                  <w:noWrap w:val="0"/>
                  <w:vAlign w:val="center"/>
                </w:tcPr>
                <w:p w14:paraId="4681859C">
                  <w:pPr>
                    <w:jc w:val="center"/>
                    <w:rPr>
                      <w:rFonts w:hint="default" w:ascii="Times New Roman" w:hAnsi="Times New Roman" w:cs="Times New Roman"/>
                      <w:color w:val="auto"/>
                      <w:sz w:val="18"/>
                      <w:szCs w:val="18"/>
                    </w:rPr>
                  </w:pPr>
                  <w:r>
                    <w:rPr>
                      <w:rStyle w:val="36"/>
                      <w:rFonts w:hint="eastAsia"/>
                      <w:color w:val="auto"/>
                      <w:sz w:val="18"/>
                      <w:szCs w:val="18"/>
                    </w:rPr>
                    <w:t>900-006-09</w:t>
                  </w:r>
                </w:p>
              </w:tc>
              <w:tc>
                <w:tcPr>
                  <w:tcW w:w="322" w:type="pct"/>
                  <w:vMerge w:val="continue"/>
                  <w:noWrap w:val="0"/>
                  <w:vAlign w:val="center"/>
                </w:tcPr>
                <w:p w14:paraId="7FCAA729">
                  <w:pPr>
                    <w:topLinePunct/>
                    <w:adjustRightInd w:val="0"/>
                    <w:snapToGrid w:val="0"/>
                    <w:jc w:val="center"/>
                    <w:rPr>
                      <w:rFonts w:hint="default" w:ascii="Times New Roman" w:hAnsi="Times New Roman" w:cs="Times New Roman"/>
                      <w:color w:val="auto"/>
                      <w:kern w:val="0"/>
                      <w:sz w:val="18"/>
                      <w:szCs w:val="18"/>
                    </w:rPr>
                  </w:pPr>
                </w:p>
              </w:tc>
              <w:tc>
                <w:tcPr>
                  <w:tcW w:w="313" w:type="pct"/>
                  <w:vMerge w:val="continue"/>
                  <w:noWrap w:val="0"/>
                  <w:vAlign w:val="center"/>
                </w:tcPr>
                <w:p w14:paraId="29E5880F">
                  <w:pPr>
                    <w:topLinePunct/>
                    <w:adjustRightInd w:val="0"/>
                    <w:snapToGrid w:val="0"/>
                    <w:jc w:val="center"/>
                    <w:rPr>
                      <w:rFonts w:hint="default" w:ascii="Times New Roman" w:hAnsi="Times New Roman" w:cs="Times New Roman"/>
                      <w:color w:val="auto"/>
                      <w:sz w:val="18"/>
                      <w:szCs w:val="18"/>
                    </w:rPr>
                  </w:pPr>
                </w:p>
              </w:tc>
              <w:tc>
                <w:tcPr>
                  <w:tcW w:w="277" w:type="pct"/>
                  <w:vMerge w:val="continue"/>
                  <w:noWrap w:val="0"/>
                  <w:vAlign w:val="center"/>
                </w:tcPr>
                <w:p w14:paraId="3B68734C">
                  <w:pPr>
                    <w:topLinePunct/>
                    <w:adjustRightInd w:val="0"/>
                    <w:snapToGrid w:val="0"/>
                    <w:jc w:val="center"/>
                    <w:rPr>
                      <w:rFonts w:hint="default" w:ascii="Times New Roman" w:hAnsi="Times New Roman" w:cs="Times New Roman"/>
                      <w:color w:val="auto"/>
                      <w:sz w:val="18"/>
                      <w:szCs w:val="18"/>
                    </w:rPr>
                  </w:pPr>
                </w:p>
              </w:tc>
              <w:tc>
                <w:tcPr>
                  <w:tcW w:w="349" w:type="pct"/>
                  <w:noWrap w:val="0"/>
                  <w:vAlign w:val="center"/>
                </w:tcPr>
                <w:p w14:paraId="23F88F97">
                  <w:pPr>
                    <w:topLinePunct/>
                    <w:adjustRightInd w:val="0"/>
                    <w:snapToGrid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桶装</w:t>
                  </w:r>
                </w:p>
              </w:tc>
              <w:tc>
                <w:tcPr>
                  <w:tcW w:w="340" w:type="pct"/>
                  <w:noWrap w:val="0"/>
                  <w:vAlign w:val="center"/>
                </w:tcPr>
                <w:p w14:paraId="63855475">
                  <w:pPr>
                    <w:topLinePunct/>
                    <w:adjustRightInd w:val="0"/>
                    <w:snapToGri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3</w:t>
                  </w:r>
                  <w:r>
                    <w:rPr>
                      <w:rFonts w:hint="eastAsia" w:ascii="Times New Roman" w:hAnsi="Times New Roman" w:cs="Times New Roman"/>
                      <w:color w:val="auto"/>
                      <w:sz w:val="18"/>
                      <w:szCs w:val="18"/>
                      <w:lang w:val="en-US" w:eastAsia="zh-CN"/>
                    </w:rPr>
                    <w:t>月</w:t>
                  </w:r>
                </w:p>
              </w:tc>
            </w:tr>
            <w:tr w14:paraId="2D01A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284" w:type="pct"/>
                  <w:shd w:val="clear" w:color="auto" w:fill="auto"/>
                  <w:noWrap w:val="0"/>
                  <w:vAlign w:val="center"/>
                </w:tcPr>
                <w:p w14:paraId="3297756A">
                  <w:pPr>
                    <w:topLinePunct/>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3</w:t>
                  </w:r>
                </w:p>
              </w:tc>
              <w:tc>
                <w:tcPr>
                  <w:tcW w:w="667" w:type="pct"/>
                  <w:vMerge w:val="continue"/>
                  <w:noWrap w:val="0"/>
                  <w:vAlign w:val="center"/>
                </w:tcPr>
                <w:p w14:paraId="567EF877">
                  <w:pPr>
                    <w:adjustRightInd w:val="0"/>
                    <w:snapToGrid w:val="0"/>
                    <w:jc w:val="center"/>
                    <w:rPr>
                      <w:rFonts w:hint="default" w:ascii="Times New Roman" w:hAnsi="Times New Roman" w:cs="Times New Roman"/>
                      <w:color w:val="auto"/>
                      <w:sz w:val="18"/>
                      <w:szCs w:val="18"/>
                    </w:rPr>
                  </w:pPr>
                </w:p>
              </w:tc>
              <w:tc>
                <w:tcPr>
                  <w:tcW w:w="649" w:type="pct"/>
                  <w:noWrap w:val="0"/>
                  <w:vAlign w:val="center"/>
                </w:tcPr>
                <w:p w14:paraId="7E0ECEB0">
                  <w:pPr>
                    <w:jc w:val="center"/>
                    <w:rPr>
                      <w:rFonts w:hint="eastAsia" w:ascii="Times New Roman" w:hAnsi="Times New Roman" w:eastAsia="宋体" w:cs="Times New Roman"/>
                      <w:color w:val="auto"/>
                      <w:kern w:val="18"/>
                      <w:sz w:val="18"/>
                      <w:szCs w:val="18"/>
                      <w:lang w:val="en-US" w:eastAsia="zh-CN"/>
                    </w:rPr>
                  </w:pPr>
                  <w:r>
                    <w:rPr>
                      <w:rFonts w:hint="eastAsia" w:hAnsi="宋体"/>
                      <w:color w:val="auto"/>
                      <w:sz w:val="18"/>
                      <w:szCs w:val="18"/>
                      <w:lang w:val="en-US" w:eastAsia="zh-CN"/>
                    </w:rPr>
                    <w:t>废液压油</w:t>
                  </w:r>
                </w:p>
              </w:tc>
              <w:tc>
                <w:tcPr>
                  <w:tcW w:w="581" w:type="pct"/>
                  <w:noWrap w:val="0"/>
                  <w:vAlign w:val="center"/>
                </w:tcPr>
                <w:p w14:paraId="169AE76D">
                  <w:pPr>
                    <w:jc w:val="center"/>
                    <w:rPr>
                      <w:rFonts w:hint="default" w:cs="Times New Roman"/>
                      <w:color w:val="auto"/>
                      <w:kern w:val="18"/>
                      <w:sz w:val="18"/>
                      <w:szCs w:val="18"/>
                      <w:lang w:val="en-US" w:eastAsia="zh-CN"/>
                    </w:rPr>
                  </w:pPr>
                  <w:r>
                    <w:rPr>
                      <w:rStyle w:val="36"/>
                      <w:rFonts w:hint="eastAsia"/>
                      <w:color w:val="auto"/>
                      <w:sz w:val="18"/>
                      <w:szCs w:val="18"/>
                      <w:lang w:val="en-US" w:eastAsia="zh-CN"/>
                    </w:rPr>
                    <w:t>1.8</w:t>
                  </w:r>
                </w:p>
              </w:tc>
              <w:tc>
                <w:tcPr>
                  <w:tcW w:w="621" w:type="pct"/>
                  <w:shd w:val="clear" w:color="auto" w:fill="auto"/>
                  <w:noWrap w:val="0"/>
                  <w:vAlign w:val="center"/>
                </w:tcPr>
                <w:p w14:paraId="446E82AC">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HW</w:t>
                  </w:r>
                  <w:r>
                    <w:rPr>
                      <w:rFonts w:hint="eastAsia"/>
                      <w:color w:val="auto"/>
                      <w:sz w:val="18"/>
                      <w:szCs w:val="18"/>
                      <w:lang w:val="en-US" w:eastAsia="zh-CN"/>
                    </w:rPr>
                    <w:t>08</w:t>
                  </w:r>
                </w:p>
              </w:tc>
              <w:tc>
                <w:tcPr>
                  <w:tcW w:w="591" w:type="pct"/>
                  <w:shd w:val="clear" w:color="auto" w:fill="auto"/>
                  <w:noWrap w:val="0"/>
                  <w:vAlign w:val="center"/>
                </w:tcPr>
                <w:p w14:paraId="71E2FCDD">
                  <w:pPr>
                    <w:jc w:val="center"/>
                    <w:rPr>
                      <w:rFonts w:hint="default" w:ascii="Times New Roman" w:hAnsi="Times New Roman" w:eastAsia="宋体" w:cs="Times New Roman"/>
                      <w:color w:val="auto"/>
                      <w:kern w:val="2"/>
                      <w:sz w:val="18"/>
                      <w:szCs w:val="18"/>
                      <w:lang w:val="en-US" w:eastAsia="zh-CN" w:bidi="ar-SA"/>
                    </w:rPr>
                  </w:pPr>
                  <w:r>
                    <w:rPr>
                      <w:rStyle w:val="36"/>
                      <w:rFonts w:hint="eastAsia"/>
                      <w:color w:val="auto"/>
                      <w:sz w:val="18"/>
                      <w:szCs w:val="18"/>
                    </w:rPr>
                    <w:t>900-218-08</w:t>
                  </w:r>
                </w:p>
              </w:tc>
              <w:tc>
                <w:tcPr>
                  <w:tcW w:w="322" w:type="pct"/>
                  <w:vMerge w:val="continue"/>
                  <w:noWrap w:val="0"/>
                  <w:vAlign w:val="center"/>
                </w:tcPr>
                <w:p w14:paraId="367A769F">
                  <w:pPr>
                    <w:topLinePunct/>
                    <w:adjustRightInd w:val="0"/>
                    <w:snapToGrid w:val="0"/>
                    <w:jc w:val="center"/>
                    <w:rPr>
                      <w:rFonts w:hint="default" w:ascii="Times New Roman" w:hAnsi="Times New Roman" w:cs="Times New Roman"/>
                      <w:color w:val="auto"/>
                      <w:kern w:val="0"/>
                      <w:sz w:val="18"/>
                      <w:szCs w:val="18"/>
                    </w:rPr>
                  </w:pPr>
                </w:p>
              </w:tc>
              <w:tc>
                <w:tcPr>
                  <w:tcW w:w="313" w:type="pct"/>
                  <w:vMerge w:val="continue"/>
                  <w:noWrap w:val="0"/>
                  <w:vAlign w:val="center"/>
                </w:tcPr>
                <w:p w14:paraId="5E9A971D">
                  <w:pPr>
                    <w:topLinePunct/>
                    <w:adjustRightInd w:val="0"/>
                    <w:snapToGrid w:val="0"/>
                    <w:jc w:val="center"/>
                    <w:rPr>
                      <w:rFonts w:hint="default" w:ascii="Times New Roman" w:hAnsi="Times New Roman" w:cs="Times New Roman"/>
                      <w:color w:val="auto"/>
                      <w:sz w:val="18"/>
                      <w:szCs w:val="18"/>
                    </w:rPr>
                  </w:pPr>
                </w:p>
              </w:tc>
              <w:tc>
                <w:tcPr>
                  <w:tcW w:w="277" w:type="pct"/>
                  <w:vMerge w:val="continue"/>
                  <w:noWrap w:val="0"/>
                  <w:vAlign w:val="center"/>
                </w:tcPr>
                <w:p w14:paraId="12D30D3D">
                  <w:pPr>
                    <w:topLinePunct/>
                    <w:adjustRightInd w:val="0"/>
                    <w:snapToGrid w:val="0"/>
                    <w:jc w:val="center"/>
                    <w:rPr>
                      <w:rFonts w:hint="default" w:ascii="Times New Roman" w:hAnsi="Times New Roman" w:cs="Times New Roman"/>
                      <w:color w:val="auto"/>
                      <w:sz w:val="18"/>
                      <w:szCs w:val="18"/>
                    </w:rPr>
                  </w:pPr>
                </w:p>
              </w:tc>
              <w:tc>
                <w:tcPr>
                  <w:tcW w:w="349" w:type="pct"/>
                  <w:noWrap w:val="0"/>
                  <w:vAlign w:val="center"/>
                </w:tcPr>
                <w:p w14:paraId="4DB7AC71">
                  <w:pPr>
                    <w:topLinePunct/>
                    <w:adjustRightInd w:val="0"/>
                    <w:snapToGrid w:val="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桶装</w:t>
                  </w:r>
                </w:p>
              </w:tc>
              <w:tc>
                <w:tcPr>
                  <w:tcW w:w="340" w:type="pct"/>
                  <w:noWrap w:val="0"/>
                  <w:vAlign w:val="center"/>
                </w:tcPr>
                <w:p w14:paraId="31699FE0">
                  <w:pPr>
                    <w:topLinePunct/>
                    <w:adjustRightInd w:val="0"/>
                    <w:snapToGri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3</w:t>
                  </w:r>
                  <w:r>
                    <w:rPr>
                      <w:rFonts w:hint="eastAsia" w:ascii="Times New Roman" w:hAnsi="Times New Roman" w:cs="Times New Roman"/>
                      <w:color w:val="auto"/>
                      <w:sz w:val="18"/>
                      <w:szCs w:val="18"/>
                      <w:lang w:val="en-US" w:eastAsia="zh-CN"/>
                    </w:rPr>
                    <w:t>月</w:t>
                  </w:r>
                </w:p>
              </w:tc>
            </w:tr>
            <w:tr w14:paraId="59C40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4" w:type="pct"/>
                  <w:shd w:val="clear" w:color="auto" w:fill="auto"/>
                  <w:noWrap w:val="0"/>
                  <w:vAlign w:val="center"/>
                </w:tcPr>
                <w:p w14:paraId="6A84C893">
                  <w:pPr>
                    <w:topLinePunct/>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4</w:t>
                  </w:r>
                </w:p>
              </w:tc>
              <w:tc>
                <w:tcPr>
                  <w:tcW w:w="667" w:type="pct"/>
                  <w:vMerge w:val="continue"/>
                  <w:noWrap w:val="0"/>
                  <w:vAlign w:val="center"/>
                </w:tcPr>
                <w:p w14:paraId="357B204F">
                  <w:pPr>
                    <w:adjustRightInd w:val="0"/>
                    <w:snapToGrid w:val="0"/>
                    <w:jc w:val="center"/>
                    <w:rPr>
                      <w:rFonts w:hint="default" w:ascii="Times New Roman" w:hAnsi="Times New Roman" w:cs="Times New Roman"/>
                      <w:color w:val="auto"/>
                      <w:sz w:val="18"/>
                      <w:szCs w:val="18"/>
                    </w:rPr>
                  </w:pPr>
                </w:p>
              </w:tc>
              <w:tc>
                <w:tcPr>
                  <w:tcW w:w="649" w:type="pct"/>
                  <w:noWrap w:val="0"/>
                  <w:vAlign w:val="center"/>
                </w:tcPr>
                <w:p w14:paraId="0994985F">
                  <w:pPr>
                    <w:jc w:val="center"/>
                    <w:rPr>
                      <w:rFonts w:hint="eastAsia" w:ascii="Times New Roman" w:hAnsi="Times New Roman" w:eastAsia="宋体" w:cs="Times New Roman"/>
                      <w:color w:val="auto"/>
                      <w:kern w:val="18"/>
                      <w:sz w:val="18"/>
                      <w:szCs w:val="18"/>
                      <w:lang w:val="en-US" w:eastAsia="zh-CN"/>
                    </w:rPr>
                  </w:pPr>
                  <w:r>
                    <w:rPr>
                      <w:rFonts w:hint="eastAsia"/>
                      <w:color w:val="auto"/>
                      <w:sz w:val="18"/>
                      <w:szCs w:val="18"/>
                      <w:lang w:val="en-US" w:eastAsia="zh-CN"/>
                    </w:rPr>
                    <w:t>废活性炭</w:t>
                  </w:r>
                </w:p>
              </w:tc>
              <w:tc>
                <w:tcPr>
                  <w:tcW w:w="581" w:type="pct"/>
                  <w:noWrap w:val="0"/>
                  <w:vAlign w:val="center"/>
                </w:tcPr>
                <w:p w14:paraId="58A42875">
                  <w:pPr>
                    <w:jc w:val="center"/>
                    <w:rPr>
                      <w:rFonts w:hint="default"/>
                      <w:bCs/>
                      <w:snapToGrid w:val="0"/>
                      <w:color w:val="auto"/>
                      <w:sz w:val="18"/>
                      <w:szCs w:val="18"/>
                      <w:lang w:val="en-US" w:eastAsia="zh-CN"/>
                    </w:rPr>
                  </w:pPr>
                  <w:r>
                    <w:rPr>
                      <w:rStyle w:val="36"/>
                      <w:rFonts w:hint="eastAsia"/>
                      <w:color w:val="auto"/>
                      <w:sz w:val="18"/>
                      <w:szCs w:val="18"/>
                      <w:lang w:val="en-US" w:eastAsia="zh-CN"/>
                    </w:rPr>
                    <w:t>14.404</w:t>
                  </w:r>
                </w:p>
              </w:tc>
              <w:tc>
                <w:tcPr>
                  <w:tcW w:w="621" w:type="pct"/>
                  <w:noWrap w:val="0"/>
                  <w:vAlign w:val="center"/>
                </w:tcPr>
                <w:p w14:paraId="4B3F0ADA">
                  <w:pPr>
                    <w:jc w:val="center"/>
                    <w:rPr>
                      <w:rFonts w:hint="default" w:ascii="Times New Roman" w:hAnsi="Times New Roman" w:cs="Times New Roman"/>
                      <w:color w:val="auto"/>
                      <w:sz w:val="18"/>
                      <w:szCs w:val="18"/>
                    </w:rPr>
                  </w:pPr>
                  <w:r>
                    <w:rPr>
                      <w:color w:val="auto"/>
                      <w:sz w:val="18"/>
                      <w:szCs w:val="18"/>
                    </w:rPr>
                    <w:t>HW</w:t>
                  </w:r>
                  <w:r>
                    <w:rPr>
                      <w:rFonts w:hint="eastAsia"/>
                      <w:color w:val="auto"/>
                      <w:sz w:val="18"/>
                      <w:szCs w:val="18"/>
                      <w:lang w:val="en-US" w:eastAsia="zh-CN"/>
                    </w:rPr>
                    <w:t>49</w:t>
                  </w:r>
                </w:p>
              </w:tc>
              <w:tc>
                <w:tcPr>
                  <w:tcW w:w="591" w:type="pct"/>
                  <w:noWrap w:val="0"/>
                  <w:vAlign w:val="center"/>
                </w:tcPr>
                <w:p w14:paraId="025AAF71">
                  <w:pPr>
                    <w:jc w:val="center"/>
                    <w:rPr>
                      <w:rFonts w:hint="default" w:ascii="Times New Roman" w:hAnsi="Times New Roman" w:cs="Times New Roman"/>
                      <w:color w:val="auto"/>
                      <w:sz w:val="18"/>
                      <w:szCs w:val="18"/>
                    </w:rPr>
                  </w:pPr>
                  <w:r>
                    <w:rPr>
                      <w:color w:val="auto"/>
                      <w:sz w:val="18"/>
                      <w:szCs w:val="18"/>
                    </w:rPr>
                    <w:t>900-</w:t>
                  </w:r>
                  <w:r>
                    <w:rPr>
                      <w:rFonts w:hint="eastAsia"/>
                      <w:color w:val="auto"/>
                      <w:sz w:val="18"/>
                      <w:szCs w:val="18"/>
                      <w:lang w:val="en-US" w:eastAsia="zh-CN"/>
                    </w:rPr>
                    <w:t>039</w:t>
                  </w:r>
                  <w:r>
                    <w:rPr>
                      <w:color w:val="auto"/>
                      <w:sz w:val="18"/>
                      <w:szCs w:val="18"/>
                    </w:rPr>
                    <w:t>-</w:t>
                  </w:r>
                  <w:r>
                    <w:rPr>
                      <w:rFonts w:hint="eastAsia"/>
                      <w:color w:val="auto"/>
                      <w:sz w:val="18"/>
                      <w:szCs w:val="18"/>
                      <w:lang w:val="en-US" w:eastAsia="zh-CN"/>
                    </w:rPr>
                    <w:t>49</w:t>
                  </w:r>
                </w:p>
              </w:tc>
              <w:tc>
                <w:tcPr>
                  <w:tcW w:w="322" w:type="pct"/>
                  <w:vMerge w:val="continue"/>
                  <w:noWrap w:val="0"/>
                  <w:vAlign w:val="center"/>
                </w:tcPr>
                <w:p w14:paraId="4564F5C8">
                  <w:pPr>
                    <w:topLinePunct/>
                    <w:adjustRightInd w:val="0"/>
                    <w:snapToGrid w:val="0"/>
                    <w:jc w:val="center"/>
                    <w:rPr>
                      <w:rFonts w:hint="default" w:ascii="Times New Roman" w:hAnsi="Times New Roman" w:cs="Times New Roman"/>
                      <w:color w:val="auto"/>
                      <w:kern w:val="0"/>
                      <w:sz w:val="18"/>
                      <w:szCs w:val="18"/>
                    </w:rPr>
                  </w:pPr>
                </w:p>
              </w:tc>
              <w:tc>
                <w:tcPr>
                  <w:tcW w:w="313" w:type="pct"/>
                  <w:vMerge w:val="continue"/>
                  <w:noWrap w:val="0"/>
                  <w:vAlign w:val="center"/>
                </w:tcPr>
                <w:p w14:paraId="2D4F956F">
                  <w:pPr>
                    <w:topLinePunct/>
                    <w:adjustRightInd w:val="0"/>
                    <w:snapToGrid w:val="0"/>
                    <w:jc w:val="center"/>
                    <w:rPr>
                      <w:rFonts w:hint="default" w:ascii="Times New Roman" w:hAnsi="Times New Roman" w:cs="Times New Roman"/>
                      <w:color w:val="auto"/>
                      <w:sz w:val="18"/>
                      <w:szCs w:val="18"/>
                    </w:rPr>
                  </w:pPr>
                </w:p>
              </w:tc>
              <w:tc>
                <w:tcPr>
                  <w:tcW w:w="277" w:type="pct"/>
                  <w:vMerge w:val="continue"/>
                  <w:noWrap w:val="0"/>
                  <w:vAlign w:val="center"/>
                </w:tcPr>
                <w:p w14:paraId="7BF6F4B3">
                  <w:pPr>
                    <w:topLinePunct/>
                    <w:adjustRightInd w:val="0"/>
                    <w:snapToGrid w:val="0"/>
                    <w:jc w:val="center"/>
                    <w:rPr>
                      <w:rFonts w:hint="default" w:ascii="Times New Roman" w:hAnsi="Times New Roman" w:cs="Times New Roman"/>
                      <w:color w:val="auto"/>
                      <w:sz w:val="18"/>
                      <w:szCs w:val="18"/>
                    </w:rPr>
                  </w:pPr>
                </w:p>
              </w:tc>
              <w:tc>
                <w:tcPr>
                  <w:tcW w:w="349" w:type="pct"/>
                  <w:noWrap w:val="0"/>
                  <w:vAlign w:val="center"/>
                </w:tcPr>
                <w:p w14:paraId="604A168B">
                  <w:pPr>
                    <w:topLinePunct/>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袋装</w:t>
                  </w:r>
                </w:p>
              </w:tc>
              <w:tc>
                <w:tcPr>
                  <w:tcW w:w="340" w:type="pct"/>
                  <w:noWrap w:val="0"/>
                  <w:vAlign w:val="center"/>
                </w:tcPr>
                <w:p w14:paraId="2CD56FBA">
                  <w:pPr>
                    <w:topLinePunct/>
                    <w:adjustRightInd w:val="0"/>
                    <w:snapToGri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3</w:t>
                  </w:r>
                  <w:r>
                    <w:rPr>
                      <w:rFonts w:hint="eastAsia" w:ascii="Times New Roman" w:hAnsi="Times New Roman" w:cs="Times New Roman"/>
                      <w:color w:val="auto"/>
                      <w:sz w:val="18"/>
                      <w:szCs w:val="18"/>
                      <w:lang w:val="en-US" w:eastAsia="zh-CN"/>
                    </w:rPr>
                    <w:t>月</w:t>
                  </w:r>
                </w:p>
              </w:tc>
            </w:tr>
            <w:tr w14:paraId="11F4F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4" w:type="pct"/>
                  <w:shd w:val="clear" w:color="auto" w:fill="auto"/>
                  <w:noWrap w:val="0"/>
                  <w:vAlign w:val="center"/>
                </w:tcPr>
                <w:p w14:paraId="0C1AB3F9">
                  <w:pPr>
                    <w:topLinePunct/>
                    <w:adjustRightInd w:val="0"/>
                    <w:snapToGrid w:val="0"/>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5</w:t>
                  </w:r>
                </w:p>
              </w:tc>
              <w:tc>
                <w:tcPr>
                  <w:tcW w:w="667" w:type="pct"/>
                  <w:vMerge w:val="continue"/>
                  <w:noWrap w:val="0"/>
                  <w:vAlign w:val="center"/>
                </w:tcPr>
                <w:p w14:paraId="596E80F2">
                  <w:pPr>
                    <w:adjustRightInd w:val="0"/>
                    <w:snapToGrid w:val="0"/>
                    <w:jc w:val="center"/>
                    <w:rPr>
                      <w:rFonts w:hint="default" w:ascii="Times New Roman" w:hAnsi="Times New Roman" w:cs="Times New Roman"/>
                      <w:color w:val="auto"/>
                      <w:sz w:val="18"/>
                      <w:szCs w:val="18"/>
                    </w:rPr>
                  </w:pPr>
                </w:p>
              </w:tc>
              <w:tc>
                <w:tcPr>
                  <w:tcW w:w="649" w:type="pct"/>
                  <w:shd w:val="clear" w:color="auto" w:fill="auto"/>
                  <w:noWrap w:val="0"/>
                  <w:vAlign w:val="center"/>
                </w:tcPr>
                <w:p w14:paraId="223EF050">
                  <w:pPr>
                    <w:jc w:val="center"/>
                    <w:rPr>
                      <w:rFonts w:hint="eastAsia" w:ascii="Times New Roman" w:hAnsi="宋体" w:eastAsia="宋体" w:cs="Times New Roman"/>
                      <w:color w:val="auto"/>
                      <w:kern w:val="2"/>
                      <w:sz w:val="18"/>
                      <w:szCs w:val="18"/>
                      <w:lang w:val="en-US" w:eastAsia="zh-CN" w:bidi="ar-SA"/>
                    </w:rPr>
                  </w:pPr>
                  <w:r>
                    <w:rPr>
                      <w:rFonts w:hint="eastAsia" w:hAnsi="宋体"/>
                      <w:color w:val="auto"/>
                      <w:sz w:val="18"/>
                      <w:szCs w:val="18"/>
                      <w:lang w:val="en-US" w:eastAsia="zh-CN"/>
                    </w:rPr>
                    <w:t>铝灰</w:t>
                  </w:r>
                </w:p>
              </w:tc>
              <w:tc>
                <w:tcPr>
                  <w:tcW w:w="581" w:type="pct"/>
                  <w:noWrap w:val="0"/>
                  <w:vAlign w:val="center"/>
                </w:tcPr>
                <w:p w14:paraId="33A0ABAE">
                  <w:pPr>
                    <w:jc w:val="center"/>
                    <w:rPr>
                      <w:rStyle w:val="36"/>
                      <w:rFonts w:hint="eastAsia"/>
                      <w:color w:val="auto"/>
                      <w:sz w:val="18"/>
                      <w:szCs w:val="18"/>
                      <w:lang w:val="en-US" w:eastAsia="zh-CN"/>
                    </w:rPr>
                  </w:pPr>
                  <w:r>
                    <w:rPr>
                      <w:rFonts w:hint="eastAsia"/>
                      <w:color w:val="auto"/>
                      <w:sz w:val="18"/>
                      <w:szCs w:val="18"/>
                      <w:lang w:val="en-US" w:eastAsia="zh-CN"/>
                    </w:rPr>
                    <w:t>1.848</w:t>
                  </w:r>
                </w:p>
              </w:tc>
              <w:tc>
                <w:tcPr>
                  <w:tcW w:w="621" w:type="pct"/>
                  <w:noWrap w:val="0"/>
                  <w:vAlign w:val="center"/>
                </w:tcPr>
                <w:p w14:paraId="2772B801">
                  <w:pPr>
                    <w:jc w:val="center"/>
                    <w:rPr>
                      <w:color w:val="auto"/>
                      <w:sz w:val="18"/>
                      <w:szCs w:val="18"/>
                    </w:rPr>
                  </w:pPr>
                  <w:r>
                    <w:rPr>
                      <w:rFonts w:hint="eastAsia" w:hAnsi="宋体"/>
                      <w:color w:val="auto"/>
                      <w:sz w:val="18"/>
                      <w:szCs w:val="18"/>
                      <w:lang w:val="en-US" w:eastAsia="zh-CN"/>
                    </w:rPr>
                    <w:t>WH48</w:t>
                  </w:r>
                </w:p>
              </w:tc>
              <w:tc>
                <w:tcPr>
                  <w:tcW w:w="591" w:type="pct"/>
                  <w:noWrap w:val="0"/>
                  <w:vAlign w:val="center"/>
                </w:tcPr>
                <w:p w14:paraId="594CD094">
                  <w:pPr>
                    <w:jc w:val="center"/>
                    <w:rPr>
                      <w:color w:val="auto"/>
                      <w:sz w:val="18"/>
                      <w:szCs w:val="18"/>
                    </w:rPr>
                  </w:pPr>
                  <w:r>
                    <w:rPr>
                      <w:color w:val="auto"/>
                      <w:sz w:val="18"/>
                      <w:szCs w:val="18"/>
                    </w:rPr>
                    <w:t>900-</w:t>
                  </w:r>
                  <w:r>
                    <w:rPr>
                      <w:rFonts w:hint="eastAsia"/>
                      <w:color w:val="auto"/>
                      <w:sz w:val="18"/>
                      <w:szCs w:val="18"/>
                      <w:lang w:val="en-US" w:eastAsia="zh-CN"/>
                    </w:rPr>
                    <w:t>034</w:t>
                  </w:r>
                  <w:r>
                    <w:rPr>
                      <w:color w:val="auto"/>
                      <w:sz w:val="18"/>
                      <w:szCs w:val="18"/>
                    </w:rPr>
                    <w:t>-</w:t>
                  </w:r>
                  <w:r>
                    <w:rPr>
                      <w:rFonts w:hint="eastAsia"/>
                      <w:color w:val="auto"/>
                      <w:sz w:val="18"/>
                      <w:szCs w:val="18"/>
                      <w:lang w:val="en-US" w:eastAsia="zh-CN"/>
                    </w:rPr>
                    <w:t>48</w:t>
                  </w:r>
                </w:p>
              </w:tc>
              <w:tc>
                <w:tcPr>
                  <w:tcW w:w="322" w:type="pct"/>
                  <w:vMerge w:val="continue"/>
                  <w:noWrap w:val="0"/>
                  <w:vAlign w:val="center"/>
                </w:tcPr>
                <w:p w14:paraId="04410065">
                  <w:pPr>
                    <w:topLinePunct/>
                    <w:adjustRightInd w:val="0"/>
                    <w:snapToGrid w:val="0"/>
                    <w:jc w:val="center"/>
                    <w:rPr>
                      <w:rFonts w:hint="default" w:ascii="Times New Roman" w:hAnsi="Times New Roman" w:cs="Times New Roman"/>
                      <w:color w:val="auto"/>
                      <w:kern w:val="0"/>
                      <w:sz w:val="18"/>
                      <w:szCs w:val="18"/>
                    </w:rPr>
                  </w:pPr>
                </w:p>
              </w:tc>
              <w:tc>
                <w:tcPr>
                  <w:tcW w:w="313" w:type="pct"/>
                  <w:vMerge w:val="continue"/>
                  <w:noWrap w:val="0"/>
                  <w:vAlign w:val="center"/>
                </w:tcPr>
                <w:p w14:paraId="7D27CC23">
                  <w:pPr>
                    <w:topLinePunct/>
                    <w:adjustRightInd w:val="0"/>
                    <w:snapToGrid w:val="0"/>
                    <w:jc w:val="center"/>
                    <w:rPr>
                      <w:rFonts w:hint="default" w:ascii="Times New Roman" w:hAnsi="Times New Roman" w:cs="Times New Roman"/>
                      <w:color w:val="auto"/>
                      <w:sz w:val="18"/>
                      <w:szCs w:val="18"/>
                    </w:rPr>
                  </w:pPr>
                </w:p>
              </w:tc>
              <w:tc>
                <w:tcPr>
                  <w:tcW w:w="277" w:type="pct"/>
                  <w:vMerge w:val="continue"/>
                  <w:noWrap w:val="0"/>
                  <w:vAlign w:val="center"/>
                </w:tcPr>
                <w:p w14:paraId="110D9FDD">
                  <w:pPr>
                    <w:topLinePunct/>
                    <w:adjustRightInd w:val="0"/>
                    <w:snapToGrid w:val="0"/>
                    <w:jc w:val="center"/>
                    <w:rPr>
                      <w:rFonts w:hint="default" w:ascii="Times New Roman" w:hAnsi="Times New Roman" w:cs="Times New Roman"/>
                      <w:color w:val="auto"/>
                      <w:sz w:val="18"/>
                      <w:szCs w:val="18"/>
                    </w:rPr>
                  </w:pPr>
                </w:p>
              </w:tc>
              <w:tc>
                <w:tcPr>
                  <w:tcW w:w="349" w:type="pct"/>
                  <w:shd w:val="clear" w:color="auto" w:fill="auto"/>
                  <w:noWrap w:val="0"/>
                  <w:vAlign w:val="center"/>
                </w:tcPr>
                <w:p w14:paraId="6BE9957A">
                  <w:pPr>
                    <w:topLinePunct/>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袋装</w:t>
                  </w:r>
                </w:p>
              </w:tc>
              <w:tc>
                <w:tcPr>
                  <w:tcW w:w="340" w:type="pct"/>
                  <w:shd w:val="clear" w:color="auto" w:fill="auto"/>
                  <w:noWrap w:val="0"/>
                  <w:vAlign w:val="center"/>
                </w:tcPr>
                <w:p w14:paraId="1E5742CA">
                  <w:pPr>
                    <w:topLinePunct/>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w:t>
                  </w:r>
                  <w:r>
                    <w:rPr>
                      <w:rFonts w:hint="eastAsia" w:ascii="Times New Roman" w:hAnsi="Times New Roman" w:cs="Times New Roman"/>
                      <w:color w:val="auto"/>
                      <w:sz w:val="18"/>
                      <w:szCs w:val="18"/>
                      <w:lang w:val="en-US" w:eastAsia="zh-CN"/>
                    </w:rPr>
                    <w:t>月</w:t>
                  </w:r>
                </w:p>
              </w:tc>
            </w:tr>
            <w:tr w14:paraId="5E942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284" w:type="pct"/>
                  <w:shd w:val="clear" w:color="auto" w:fill="auto"/>
                  <w:noWrap w:val="0"/>
                  <w:vAlign w:val="center"/>
                </w:tcPr>
                <w:p w14:paraId="42E9ED79">
                  <w:pPr>
                    <w:topLinePunct/>
                    <w:adjustRightInd w:val="0"/>
                    <w:snapToGrid w:val="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6</w:t>
                  </w:r>
                </w:p>
              </w:tc>
              <w:tc>
                <w:tcPr>
                  <w:tcW w:w="667" w:type="pct"/>
                  <w:vMerge w:val="continue"/>
                  <w:noWrap w:val="0"/>
                  <w:vAlign w:val="center"/>
                </w:tcPr>
                <w:p w14:paraId="23D417E5">
                  <w:pPr>
                    <w:adjustRightInd w:val="0"/>
                    <w:snapToGrid w:val="0"/>
                    <w:jc w:val="center"/>
                    <w:rPr>
                      <w:rFonts w:hint="default" w:ascii="Times New Roman" w:hAnsi="Times New Roman" w:cs="Times New Roman"/>
                      <w:color w:val="auto"/>
                      <w:sz w:val="18"/>
                      <w:szCs w:val="18"/>
                    </w:rPr>
                  </w:pPr>
                </w:p>
              </w:tc>
              <w:tc>
                <w:tcPr>
                  <w:tcW w:w="649" w:type="pct"/>
                  <w:shd w:val="clear" w:color="auto" w:fill="auto"/>
                  <w:noWrap w:val="0"/>
                  <w:vAlign w:val="center"/>
                </w:tcPr>
                <w:p w14:paraId="7B5784AC">
                  <w:pPr>
                    <w:jc w:val="center"/>
                    <w:rPr>
                      <w:rFonts w:hint="eastAsia" w:ascii="Times New Roman" w:hAnsi="宋体" w:eastAsia="宋体" w:cs="Times New Roman"/>
                      <w:color w:val="auto"/>
                      <w:kern w:val="2"/>
                      <w:sz w:val="18"/>
                      <w:szCs w:val="18"/>
                      <w:lang w:val="en-US" w:eastAsia="zh-CN" w:bidi="ar-SA"/>
                    </w:rPr>
                  </w:pPr>
                  <w:r>
                    <w:rPr>
                      <w:rFonts w:hint="eastAsia"/>
                      <w:color w:val="auto"/>
                      <w:sz w:val="18"/>
                      <w:szCs w:val="18"/>
                      <w:lang w:val="en-US" w:eastAsia="zh-CN"/>
                    </w:rPr>
                    <w:t>含铝灰的废除尘布袋</w:t>
                  </w:r>
                </w:p>
              </w:tc>
              <w:tc>
                <w:tcPr>
                  <w:tcW w:w="581" w:type="pct"/>
                  <w:noWrap w:val="0"/>
                  <w:vAlign w:val="center"/>
                </w:tcPr>
                <w:p w14:paraId="4D1F21CE">
                  <w:pPr>
                    <w:jc w:val="center"/>
                    <w:rPr>
                      <w:rStyle w:val="36"/>
                      <w:rFonts w:hint="eastAsia"/>
                      <w:color w:val="auto"/>
                      <w:sz w:val="18"/>
                      <w:szCs w:val="18"/>
                      <w:lang w:val="en-US" w:eastAsia="zh-CN"/>
                    </w:rPr>
                  </w:pPr>
                  <w:r>
                    <w:rPr>
                      <w:rFonts w:hint="eastAsia"/>
                      <w:color w:val="auto"/>
                      <w:sz w:val="18"/>
                      <w:szCs w:val="18"/>
                      <w:lang w:val="en-US" w:eastAsia="zh-CN"/>
                    </w:rPr>
                    <w:t>0.2</w:t>
                  </w:r>
                </w:p>
              </w:tc>
              <w:tc>
                <w:tcPr>
                  <w:tcW w:w="621" w:type="pct"/>
                  <w:noWrap w:val="0"/>
                  <w:vAlign w:val="center"/>
                </w:tcPr>
                <w:p w14:paraId="4EF27C7A">
                  <w:pPr>
                    <w:jc w:val="center"/>
                    <w:rPr>
                      <w:color w:val="auto"/>
                      <w:sz w:val="18"/>
                      <w:szCs w:val="18"/>
                    </w:rPr>
                  </w:pPr>
                  <w:r>
                    <w:rPr>
                      <w:rFonts w:hint="eastAsia" w:hAnsi="宋体"/>
                      <w:color w:val="auto"/>
                      <w:sz w:val="18"/>
                      <w:szCs w:val="18"/>
                      <w:lang w:val="en-US" w:eastAsia="zh-CN"/>
                    </w:rPr>
                    <w:t>WH49</w:t>
                  </w:r>
                </w:p>
              </w:tc>
              <w:tc>
                <w:tcPr>
                  <w:tcW w:w="591" w:type="pct"/>
                  <w:noWrap w:val="0"/>
                  <w:vAlign w:val="center"/>
                </w:tcPr>
                <w:p w14:paraId="726092DE">
                  <w:pPr>
                    <w:jc w:val="center"/>
                    <w:rPr>
                      <w:color w:val="auto"/>
                      <w:sz w:val="18"/>
                      <w:szCs w:val="18"/>
                    </w:rPr>
                  </w:pPr>
                  <w:r>
                    <w:rPr>
                      <w:color w:val="auto"/>
                      <w:sz w:val="18"/>
                      <w:szCs w:val="18"/>
                    </w:rPr>
                    <w:t>900-</w:t>
                  </w:r>
                  <w:r>
                    <w:rPr>
                      <w:rFonts w:hint="eastAsia"/>
                      <w:color w:val="auto"/>
                      <w:sz w:val="18"/>
                      <w:szCs w:val="18"/>
                      <w:lang w:val="en-US" w:eastAsia="zh-CN"/>
                    </w:rPr>
                    <w:t>041</w:t>
                  </w:r>
                  <w:r>
                    <w:rPr>
                      <w:color w:val="auto"/>
                      <w:sz w:val="18"/>
                      <w:szCs w:val="18"/>
                    </w:rPr>
                    <w:t>-</w:t>
                  </w:r>
                  <w:r>
                    <w:rPr>
                      <w:rFonts w:hint="eastAsia"/>
                      <w:color w:val="auto"/>
                      <w:sz w:val="18"/>
                      <w:szCs w:val="18"/>
                      <w:lang w:val="en-US" w:eastAsia="zh-CN"/>
                    </w:rPr>
                    <w:t>49</w:t>
                  </w:r>
                </w:p>
              </w:tc>
              <w:tc>
                <w:tcPr>
                  <w:tcW w:w="322" w:type="pct"/>
                  <w:vMerge w:val="continue"/>
                  <w:noWrap w:val="0"/>
                  <w:vAlign w:val="center"/>
                </w:tcPr>
                <w:p w14:paraId="188D62AD">
                  <w:pPr>
                    <w:topLinePunct/>
                    <w:adjustRightInd w:val="0"/>
                    <w:snapToGrid w:val="0"/>
                    <w:jc w:val="center"/>
                    <w:rPr>
                      <w:rFonts w:hint="default" w:ascii="Times New Roman" w:hAnsi="Times New Roman" w:cs="Times New Roman"/>
                      <w:color w:val="auto"/>
                      <w:kern w:val="0"/>
                      <w:sz w:val="18"/>
                      <w:szCs w:val="18"/>
                    </w:rPr>
                  </w:pPr>
                </w:p>
              </w:tc>
              <w:tc>
                <w:tcPr>
                  <w:tcW w:w="313" w:type="pct"/>
                  <w:vMerge w:val="continue"/>
                  <w:noWrap w:val="0"/>
                  <w:vAlign w:val="center"/>
                </w:tcPr>
                <w:p w14:paraId="5A2A5DED">
                  <w:pPr>
                    <w:topLinePunct/>
                    <w:adjustRightInd w:val="0"/>
                    <w:snapToGrid w:val="0"/>
                    <w:jc w:val="center"/>
                    <w:rPr>
                      <w:rFonts w:hint="default" w:ascii="Times New Roman" w:hAnsi="Times New Roman" w:cs="Times New Roman"/>
                      <w:color w:val="auto"/>
                      <w:sz w:val="18"/>
                      <w:szCs w:val="18"/>
                    </w:rPr>
                  </w:pPr>
                </w:p>
              </w:tc>
              <w:tc>
                <w:tcPr>
                  <w:tcW w:w="277" w:type="pct"/>
                  <w:vMerge w:val="continue"/>
                  <w:noWrap w:val="0"/>
                  <w:vAlign w:val="center"/>
                </w:tcPr>
                <w:p w14:paraId="6EC60A55">
                  <w:pPr>
                    <w:topLinePunct/>
                    <w:adjustRightInd w:val="0"/>
                    <w:snapToGrid w:val="0"/>
                    <w:jc w:val="center"/>
                    <w:rPr>
                      <w:rFonts w:hint="default" w:ascii="Times New Roman" w:hAnsi="Times New Roman" w:cs="Times New Roman"/>
                      <w:color w:val="auto"/>
                      <w:sz w:val="18"/>
                      <w:szCs w:val="18"/>
                    </w:rPr>
                  </w:pPr>
                </w:p>
              </w:tc>
              <w:tc>
                <w:tcPr>
                  <w:tcW w:w="349" w:type="pct"/>
                  <w:shd w:val="clear" w:color="auto" w:fill="auto"/>
                  <w:noWrap w:val="0"/>
                  <w:vAlign w:val="center"/>
                </w:tcPr>
                <w:p w14:paraId="4D5C30A0">
                  <w:pPr>
                    <w:topLinePunct/>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袋装</w:t>
                  </w:r>
                </w:p>
              </w:tc>
              <w:tc>
                <w:tcPr>
                  <w:tcW w:w="340" w:type="pct"/>
                  <w:shd w:val="clear" w:color="auto" w:fill="auto"/>
                  <w:noWrap w:val="0"/>
                  <w:vAlign w:val="center"/>
                </w:tcPr>
                <w:p w14:paraId="64C16939">
                  <w:pPr>
                    <w:topLinePunct/>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w:t>
                  </w:r>
                  <w:r>
                    <w:rPr>
                      <w:rFonts w:hint="eastAsia" w:ascii="Times New Roman" w:hAnsi="Times New Roman" w:cs="Times New Roman"/>
                      <w:color w:val="auto"/>
                      <w:sz w:val="18"/>
                      <w:szCs w:val="18"/>
                      <w:lang w:val="en-US" w:eastAsia="zh-CN"/>
                    </w:rPr>
                    <w:t>月</w:t>
                  </w:r>
                </w:p>
              </w:tc>
            </w:tr>
            <w:tr w14:paraId="0410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284" w:type="pct"/>
                  <w:shd w:val="clear" w:color="auto" w:fill="auto"/>
                  <w:noWrap w:val="0"/>
                  <w:vAlign w:val="center"/>
                </w:tcPr>
                <w:p w14:paraId="5E17495B">
                  <w:pPr>
                    <w:topLinePunct/>
                    <w:adjustRightInd w:val="0"/>
                    <w:snapToGrid w:val="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7</w:t>
                  </w:r>
                </w:p>
              </w:tc>
              <w:tc>
                <w:tcPr>
                  <w:tcW w:w="667" w:type="pct"/>
                  <w:vMerge w:val="continue"/>
                  <w:noWrap w:val="0"/>
                  <w:vAlign w:val="center"/>
                </w:tcPr>
                <w:p w14:paraId="787BAD63">
                  <w:pPr>
                    <w:adjustRightInd w:val="0"/>
                    <w:snapToGrid w:val="0"/>
                    <w:jc w:val="center"/>
                    <w:rPr>
                      <w:rFonts w:hint="default" w:ascii="Times New Roman" w:hAnsi="Times New Roman" w:cs="Times New Roman"/>
                      <w:color w:val="auto"/>
                      <w:sz w:val="18"/>
                      <w:szCs w:val="18"/>
                    </w:rPr>
                  </w:pPr>
                </w:p>
              </w:tc>
              <w:tc>
                <w:tcPr>
                  <w:tcW w:w="649" w:type="pct"/>
                  <w:noWrap w:val="0"/>
                  <w:vAlign w:val="center"/>
                </w:tcPr>
                <w:p w14:paraId="75C5725E">
                  <w:pPr>
                    <w:adjustRightInd w:val="0"/>
                    <w:snapToGrid w:val="0"/>
                    <w:jc w:val="center"/>
                    <w:rPr>
                      <w:rFonts w:hint="eastAsia" w:ascii="Times New Roman" w:hAnsi="Times New Roman" w:eastAsia="宋体"/>
                      <w:bCs/>
                      <w:snapToGrid w:val="0"/>
                      <w:color w:val="auto"/>
                      <w:sz w:val="18"/>
                      <w:szCs w:val="18"/>
                      <w:lang w:val="en-US" w:eastAsia="zh-CN"/>
                    </w:rPr>
                  </w:pPr>
                  <w:r>
                    <w:rPr>
                      <w:rFonts w:hint="eastAsia"/>
                      <w:bCs/>
                      <w:snapToGrid w:val="0"/>
                      <w:color w:val="auto"/>
                      <w:sz w:val="18"/>
                      <w:szCs w:val="18"/>
                      <w:lang w:val="en-US" w:eastAsia="zh-CN"/>
                    </w:rPr>
                    <w:t>废空桶</w:t>
                  </w:r>
                </w:p>
              </w:tc>
              <w:tc>
                <w:tcPr>
                  <w:tcW w:w="581" w:type="pct"/>
                  <w:noWrap w:val="0"/>
                  <w:vAlign w:val="center"/>
                </w:tcPr>
                <w:p w14:paraId="79BB6B75">
                  <w:pPr>
                    <w:adjustRightInd w:val="0"/>
                    <w:snapToGrid w:val="0"/>
                    <w:jc w:val="center"/>
                    <w:rPr>
                      <w:rFonts w:hint="default"/>
                      <w:bCs/>
                      <w:snapToGrid w:val="0"/>
                      <w:color w:val="auto"/>
                      <w:sz w:val="18"/>
                      <w:szCs w:val="18"/>
                      <w:lang w:val="en-US" w:eastAsia="zh-CN"/>
                    </w:rPr>
                  </w:pPr>
                  <w:r>
                    <w:rPr>
                      <w:rFonts w:hint="eastAsia"/>
                      <w:bCs/>
                      <w:snapToGrid w:val="0"/>
                      <w:color w:val="auto"/>
                      <w:sz w:val="18"/>
                      <w:szCs w:val="18"/>
                      <w:lang w:val="en-US" w:eastAsia="zh-CN"/>
                    </w:rPr>
                    <w:t>30个/年</w:t>
                  </w:r>
                </w:p>
              </w:tc>
              <w:tc>
                <w:tcPr>
                  <w:tcW w:w="621" w:type="pct"/>
                  <w:noWrap w:val="0"/>
                  <w:vAlign w:val="center"/>
                </w:tcPr>
                <w:p w14:paraId="51CE1237">
                  <w:pPr>
                    <w:topLinePunct/>
                    <w:autoSpaceDE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591" w:type="pct"/>
                  <w:noWrap w:val="0"/>
                  <w:vAlign w:val="center"/>
                </w:tcPr>
                <w:p w14:paraId="6E137095">
                  <w:pPr>
                    <w:autoSpaceDE w:val="0"/>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322" w:type="pct"/>
                  <w:vMerge w:val="continue"/>
                  <w:noWrap w:val="0"/>
                  <w:vAlign w:val="center"/>
                </w:tcPr>
                <w:p w14:paraId="01E1054C">
                  <w:pPr>
                    <w:topLinePunct/>
                    <w:adjustRightInd w:val="0"/>
                    <w:snapToGrid w:val="0"/>
                    <w:jc w:val="center"/>
                    <w:rPr>
                      <w:rFonts w:hint="default" w:ascii="Times New Roman" w:hAnsi="Times New Roman" w:cs="Times New Roman"/>
                      <w:color w:val="auto"/>
                      <w:kern w:val="0"/>
                      <w:sz w:val="18"/>
                      <w:szCs w:val="18"/>
                    </w:rPr>
                  </w:pPr>
                </w:p>
              </w:tc>
              <w:tc>
                <w:tcPr>
                  <w:tcW w:w="313" w:type="pct"/>
                  <w:vMerge w:val="continue"/>
                  <w:noWrap w:val="0"/>
                  <w:vAlign w:val="center"/>
                </w:tcPr>
                <w:p w14:paraId="2E3FCAD9">
                  <w:pPr>
                    <w:topLinePunct/>
                    <w:adjustRightInd w:val="0"/>
                    <w:snapToGrid w:val="0"/>
                    <w:jc w:val="center"/>
                    <w:rPr>
                      <w:rFonts w:hint="default" w:ascii="Times New Roman" w:hAnsi="Times New Roman" w:cs="Times New Roman"/>
                      <w:color w:val="auto"/>
                      <w:sz w:val="18"/>
                      <w:szCs w:val="18"/>
                    </w:rPr>
                  </w:pPr>
                </w:p>
              </w:tc>
              <w:tc>
                <w:tcPr>
                  <w:tcW w:w="277" w:type="pct"/>
                  <w:vMerge w:val="continue"/>
                  <w:noWrap w:val="0"/>
                  <w:vAlign w:val="center"/>
                </w:tcPr>
                <w:p w14:paraId="08DF3EEC">
                  <w:pPr>
                    <w:topLinePunct/>
                    <w:adjustRightInd w:val="0"/>
                    <w:snapToGrid w:val="0"/>
                    <w:jc w:val="center"/>
                    <w:rPr>
                      <w:rFonts w:hint="default" w:ascii="Times New Roman" w:hAnsi="Times New Roman" w:cs="Times New Roman"/>
                      <w:color w:val="auto"/>
                      <w:sz w:val="18"/>
                      <w:szCs w:val="18"/>
                    </w:rPr>
                  </w:pPr>
                </w:p>
              </w:tc>
              <w:tc>
                <w:tcPr>
                  <w:tcW w:w="349" w:type="pct"/>
                  <w:shd w:val="clear" w:color="auto" w:fill="auto"/>
                  <w:noWrap w:val="0"/>
                  <w:vAlign w:val="center"/>
                </w:tcPr>
                <w:p w14:paraId="1A185B49">
                  <w:pPr>
                    <w:topLinePunct/>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袋装</w:t>
                  </w:r>
                </w:p>
              </w:tc>
              <w:tc>
                <w:tcPr>
                  <w:tcW w:w="340" w:type="pct"/>
                  <w:shd w:val="clear" w:color="auto" w:fill="auto"/>
                  <w:noWrap w:val="0"/>
                  <w:vAlign w:val="center"/>
                </w:tcPr>
                <w:p w14:paraId="030AA228">
                  <w:pPr>
                    <w:topLinePunct/>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w:t>
                  </w:r>
                  <w:r>
                    <w:rPr>
                      <w:rFonts w:hint="eastAsia" w:ascii="Times New Roman" w:hAnsi="Times New Roman" w:cs="Times New Roman"/>
                      <w:color w:val="auto"/>
                      <w:sz w:val="18"/>
                      <w:szCs w:val="18"/>
                      <w:lang w:val="en-US" w:eastAsia="zh-CN"/>
                    </w:rPr>
                    <w:t>月</w:t>
                  </w:r>
                </w:p>
              </w:tc>
            </w:tr>
          </w:tbl>
          <w:p w14:paraId="140D0165">
            <w:pPr>
              <w:spacing w:before="120" w:beforeLines="5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项目危废间面积</w:t>
            </w:r>
            <w:r>
              <w:rPr>
                <w:rFonts w:hint="eastAsia" w:cs="Times New Roman"/>
                <w:color w:val="auto"/>
                <w:sz w:val="24"/>
                <w:szCs w:val="24"/>
                <w:lang w:val="en-US" w:eastAsia="zh-CN"/>
              </w:rPr>
              <w:t>125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，在做好及时转运处置的情况下，项目危废间储存能力满足临时储存需求。</w:t>
            </w:r>
          </w:p>
          <w:p w14:paraId="54F019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②危险废物贮存库建设要求</w:t>
            </w:r>
          </w:p>
          <w:p w14:paraId="0A2754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建设单位应按照《危险废物贮存污染控制标准》(GB18597-2023)要求建设危废贮存间，具体如下：</w:t>
            </w:r>
          </w:p>
          <w:p w14:paraId="57A027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a.</w:t>
            </w:r>
            <w:r>
              <w:rPr>
                <w:rFonts w:hint="default" w:ascii="Times New Roman" w:hAnsi="Times New Roman" w:cs="Times New Roman"/>
                <w:color w:val="auto"/>
                <w:sz w:val="24"/>
                <w:szCs w:val="24"/>
              </w:rPr>
              <w:t>危险废物贮存库</w:t>
            </w:r>
            <w:r>
              <w:rPr>
                <w:rFonts w:hint="eastAsia" w:cs="Times New Roman"/>
                <w:color w:val="auto"/>
                <w:sz w:val="24"/>
                <w:szCs w:val="24"/>
                <w:lang w:val="en-US" w:eastAsia="zh-CN"/>
              </w:rPr>
              <w:t>应防风、防雨、防晒、防流失、防扬散、防渗漏。</w:t>
            </w:r>
          </w:p>
          <w:p w14:paraId="6F611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b.</w:t>
            </w:r>
            <w:r>
              <w:rPr>
                <w:rFonts w:hint="default" w:ascii="Times New Roman" w:hAnsi="Times New Roman" w:cs="Times New Roman"/>
                <w:color w:val="auto"/>
                <w:sz w:val="24"/>
                <w:szCs w:val="24"/>
              </w:rPr>
              <w:t>危险废物贮存库</w:t>
            </w:r>
            <w:r>
              <w:rPr>
                <w:rFonts w:hint="eastAsia" w:cs="Times New Roman"/>
                <w:color w:val="auto"/>
                <w:sz w:val="24"/>
                <w:szCs w:val="24"/>
                <w:lang w:val="en-US" w:eastAsia="zh-CN"/>
              </w:rPr>
              <w:t>应按要求设置贮存分区，不同贮存分区之间应采用过道、隔板或隔墙等隔离措施。</w:t>
            </w:r>
          </w:p>
          <w:p w14:paraId="2824DE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c.地面、墙面裙脚、堵截泄漏的围堰、接触危险废物的隔板和墙体等应采用坚固的材料建造，表面无裂缝。</w:t>
            </w:r>
          </w:p>
          <w:p w14:paraId="1FE6BC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d.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auto"/>
                <w:sz w:val="24"/>
                <w:szCs w:val="24"/>
                <w:vertAlign w:val="superscript"/>
                <w:lang w:val="en-US" w:eastAsia="zh-CN"/>
              </w:rPr>
              <w:t>-7</w:t>
            </w:r>
            <w:r>
              <w:rPr>
                <w:rFonts w:hint="eastAsia" w:cs="Times New Roman"/>
                <w:color w:val="auto"/>
                <w:sz w:val="24"/>
                <w:szCs w:val="24"/>
                <w:lang w:val="en-US" w:eastAsia="zh-CN"/>
              </w:rPr>
              <w:t>cm/s)，或至少2mm厚高密度聚乙烯膜等人工防渗材料(渗透系数不大于10</w:t>
            </w:r>
            <w:r>
              <w:rPr>
                <w:rFonts w:hint="eastAsia" w:cs="Times New Roman"/>
                <w:color w:val="auto"/>
                <w:sz w:val="24"/>
                <w:szCs w:val="24"/>
                <w:vertAlign w:val="superscript"/>
                <w:lang w:val="en-US" w:eastAsia="zh-CN"/>
              </w:rPr>
              <w:t>-10</w:t>
            </w:r>
            <w:r>
              <w:rPr>
                <w:rFonts w:hint="eastAsia" w:cs="Times New Roman"/>
                <w:color w:val="auto"/>
                <w:sz w:val="24"/>
                <w:szCs w:val="24"/>
                <w:lang w:val="en-US" w:eastAsia="zh-CN"/>
              </w:rPr>
              <w:t>cm/s)，或其他防渗性能等效的材料。</w:t>
            </w:r>
          </w:p>
          <w:p w14:paraId="434CFD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e.贮存液态危险废物的，应具有液体泄漏堵截设施，堵截设施最小容积不应低于对应贮存区域最大液态废物容器容积或液态废物总储量1/10(二者取较大者)。</w:t>
            </w:r>
          </w:p>
          <w:p w14:paraId="3B5FFF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综上分析，本项目在</w:t>
            </w:r>
            <w:r>
              <w:rPr>
                <w:rFonts w:hint="eastAsia" w:cs="Times New Roman"/>
                <w:color w:val="auto"/>
                <w:sz w:val="24"/>
                <w:szCs w:val="24"/>
                <w:lang w:val="en-US" w:eastAsia="zh-CN"/>
              </w:rPr>
              <w:t>2</w:t>
            </w:r>
            <w:r>
              <w:rPr>
                <w:rFonts w:hint="default" w:ascii="Times New Roman" w:hAnsi="Times New Roman" w:cs="Times New Roman"/>
                <w:color w:val="auto"/>
                <w:sz w:val="24"/>
                <w:szCs w:val="24"/>
              </w:rPr>
              <w:t>#厂房</w:t>
            </w:r>
            <w:r>
              <w:rPr>
                <w:rFonts w:hint="eastAsia" w:cs="Times New Roman"/>
                <w:color w:val="auto"/>
                <w:sz w:val="24"/>
                <w:szCs w:val="24"/>
                <w:lang w:val="en-US" w:eastAsia="zh-CN"/>
              </w:rPr>
              <w:t>1F</w:t>
            </w:r>
            <w:r>
              <w:rPr>
                <w:rFonts w:hint="default" w:ascii="Times New Roman" w:hAnsi="Times New Roman" w:cs="Times New Roman"/>
                <w:color w:val="auto"/>
                <w:sz w:val="24"/>
                <w:szCs w:val="24"/>
              </w:rPr>
              <w:t>设置一个约</w:t>
            </w:r>
            <w:r>
              <w:rPr>
                <w:rFonts w:hint="eastAsia" w:cs="Times New Roman"/>
                <w:color w:val="auto"/>
                <w:sz w:val="24"/>
                <w:szCs w:val="24"/>
                <w:lang w:val="en-US" w:eastAsia="zh-CN"/>
              </w:rPr>
              <w:t>125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的危废暂存间，铝灰渣、废切削液、废液压油、废活性炭、废包装桶分类收集后暂存于危废暂存间，定期委托有资质单位处置，不会产生二次污染，危险废物</w:t>
            </w:r>
            <w:r>
              <w:rPr>
                <w:rFonts w:hint="eastAsia" w:cs="Times New Roman"/>
                <w:color w:val="auto"/>
                <w:sz w:val="24"/>
                <w:szCs w:val="24"/>
                <w:lang w:val="en-US" w:eastAsia="zh-CN"/>
              </w:rPr>
              <w:t>处置</w:t>
            </w:r>
            <w:r>
              <w:rPr>
                <w:rFonts w:hint="default" w:ascii="Times New Roman" w:hAnsi="Times New Roman" w:cs="Times New Roman"/>
                <w:color w:val="auto"/>
                <w:sz w:val="24"/>
                <w:szCs w:val="24"/>
              </w:rPr>
              <w:t>措施可行。</w:t>
            </w:r>
          </w:p>
          <w:p w14:paraId="2DDAA6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（2）一般固废处置措施及可行性分析</w:t>
            </w:r>
          </w:p>
          <w:p w14:paraId="758183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vertAlign w:val="baseline"/>
                <w:lang w:val="en-US" w:eastAsia="zh-CN"/>
              </w:rPr>
            </w:pPr>
            <w:r>
              <w:rPr>
                <w:rFonts w:hint="eastAsia" w:cs="Times New Roman"/>
                <w:color w:val="auto"/>
                <w:sz w:val="24"/>
                <w:szCs w:val="24"/>
                <w:lang w:val="en-US" w:eastAsia="zh-CN"/>
              </w:rPr>
              <w:t>项目一般</w:t>
            </w:r>
            <w:r>
              <w:rPr>
                <w:rFonts w:hint="default" w:ascii="Times New Roman" w:hAnsi="Times New Roman" w:cs="Times New Roman"/>
                <w:color w:val="auto"/>
                <w:sz w:val="24"/>
                <w:szCs w:val="24"/>
              </w:rPr>
              <w:t>固体废物分类收集，</w:t>
            </w:r>
            <w:r>
              <w:rPr>
                <w:rFonts w:hint="eastAsia" w:cs="Times New Roman"/>
                <w:color w:val="auto"/>
                <w:sz w:val="24"/>
                <w:szCs w:val="24"/>
                <w:lang w:val="en-US" w:eastAsia="zh-CN"/>
              </w:rPr>
              <w:t>分区存放。建设单位</w:t>
            </w:r>
            <w:r>
              <w:rPr>
                <w:rFonts w:hint="default" w:ascii="Times New Roman" w:hAnsi="Times New Roman" w:cs="Times New Roman"/>
                <w:color w:val="auto"/>
                <w:sz w:val="24"/>
                <w:szCs w:val="24"/>
              </w:rPr>
              <w:t>拟在</w:t>
            </w:r>
            <w:r>
              <w:rPr>
                <w:rFonts w:hint="eastAsia" w:cs="Times New Roman"/>
                <w:color w:val="auto"/>
                <w:sz w:val="24"/>
                <w:szCs w:val="24"/>
                <w:lang w:val="en-US" w:eastAsia="zh-CN"/>
              </w:rPr>
              <w:t>2</w:t>
            </w:r>
            <w:r>
              <w:rPr>
                <w:rFonts w:hint="default" w:ascii="Times New Roman" w:hAnsi="Times New Roman" w:cs="Times New Roman"/>
                <w:color w:val="auto"/>
                <w:sz w:val="24"/>
                <w:szCs w:val="24"/>
              </w:rPr>
              <w:t>#厂房</w:t>
            </w:r>
            <w:r>
              <w:rPr>
                <w:rFonts w:hint="eastAsia" w:cs="Times New Roman"/>
                <w:color w:val="auto"/>
                <w:sz w:val="24"/>
                <w:szCs w:val="24"/>
                <w:lang w:val="en-US" w:eastAsia="zh-CN"/>
              </w:rPr>
              <w:t>1F</w:t>
            </w:r>
            <w:r>
              <w:rPr>
                <w:rFonts w:hint="default" w:ascii="Times New Roman" w:hAnsi="Times New Roman" w:cs="Times New Roman"/>
                <w:color w:val="auto"/>
                <w:sz w:val="24"/>
                <w:szCs w:val="24"/>
              </w:rPr>
              <w:t>设置一般固体废物暂存间，用于暂存项目所产生的中频炉废炉渣、废砂、</w:t>
            </w:r>
            <w:r>
              <w:rPr>
                <w:rFonts w:hint="eastAsia" w:cs="Times New Roman"/>
                <w:color w:val="auto"/>
                <w:sz w:val="24"/>
                <w:szCs w:val="24"/>
                <w:lang w:eastAsia="zh-CN"/>
              </w:rPr>
              <w:t>袋式除尘器</w:t>
            </w:r>
            <w:r>
              <w:rPr>
                <w:rFonts w:hint="default" w:ascii="Times New Roman" w:hAnsi="Times New Roman" w:cs="Times New Roman"/>
                <w:color w:val="auto"/>
                <w:sz w:val="24"/>
                <w:szCs w:val="24"/>
              </w:rPr>
              <w:t>粉尘、废石蜡、废边角料、涤纶边角料等，占地面积130m</w:t>
            </w:r>
            <w:r>
              <w:rPr>
                <w:rFonts w:hint="default" w:ascii="Times New Roman" w:hAnsi="Times New Roman" w:cs="Times New Roman"/>
                <w:color w:val="auto"/>
                <w:sz w:val="24"/>
                <w:szCs w:val="24"/>
                <w:vertAlign w:val="superscript"/>
              </w:rPr>
              <w:t>2</w:t>
            </w:r>
            <w:r>
              <w:rPr>
                <w:rFonts w:hint="eastAsia" w:cs="Times New Roman"/>
                <w:color w:val="auto"/>
                <w:sz w:val="24"/>
                <w:szCs w:val="24"/>
                <w:vertAlign w:val="baseline"/>
                <w:lang w:eastAsia="zh-CN"/>
              </w:rPr>
              <w:t>，</w:t>
            </w:r>
            <w:r>
              <w:rPr>
                <w:rFonts w:hint="eastAsia" w:cs="Times New Roman"/>
                <w:color w:val="auto"/>
                <w:sz w:val="24"/>
                <w:szCs w:val="24"/>
                <w:vertAlign w:val="baseline"/>
                <w:lang w:val="en-US" w:eastAsia="zh-CN"/>
              </w:rPr>
              <w:t>以单位面积储存0.6t固体废物计，贮存能力约78t。本项目一般固体废物总产生量约2899.850t/a，产生量较大的主要为废砂（1840t/a，6.13t/d）、中频炉渣（626.24t/a、2.09t/d），袋式除尘器粉尘（367.470t/a、1.22t/d）。项目一般固体废物清运频次较高，废砂、中频炉渣、袋式除尘器粉尘每周清运一次，项目一般固废暂存场所的储存能力是可以满足暂存需求。</w:t>
            </w:r>
          </w:p>
          <w:p w14:paraId="0C4D52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本项目一般固废贮存过程应满足</w:t>
            </w:r>
            <w:r>
              <w:rPr>
                <w:rFonts w:hint="default" w:cs="Times New Roman"/>
                <w:color w:val="auto"/>
                <w:sz w:val="24"/>
                <w:szCs w:val="24"/>
                <w:vertAlign w:val="baseline"/>
                <w:lang w:val="en-US" w:eastAsia="zh-CN"/>
              </w:rPr>
              <w:t>《一般工业固体废物贮存和填埋污染控制标准》（GB18599-2020）</w:t>
            </w:r>
            <w:r>
              <w:rPr>
                <w:rFonts w:hint="default" w:ascii="Times New Roman" w:hAnsi="Times New Roman" w:cs="Times New Roman"/>
                <w:color w:val="auto"/>
                <w:sz w:val="24"/>
                <w:szCs w:val="24"/>
                <w:vertAlign w:val="baseline"/>
                <w:lang w:val="en-US" w:eastAsia="zh-CN"/>
              </w:rPr>
              <w:t>中的</w:t>
            </w:r>
            <w:r>
              <w:rPr>
                <w:rFonts w:hint="default" w:ascii="Times New Roman" w:hAnsi="Times New Roman" w:eastAsia="微软雅黑" w:cs="Times New Roman"/>
                <w:color w:val="auto"/>
                <w:sz w:val="24"/>
                <w:szCs w:val="24"/>
                <w:vertAlign w:val="baseline"/>
                <w:lang w:val="en-US" w:eastAsia="zh-CN"/>
              </w:rPr>
              <w:t>Ⅱ</w:t>
            </w:r>
            <w:r>
              <w:rPr>
                <w:rFonts w:hint="eastAsia" w:cs="Times New Roman"/>
                <w:color w:val="auto"/>
                <w:sz w:val="24"/>
                <w:szCs w:val="24"/>
                <w:vertAlign w:val="baseline"/>
                <w:lang w:val="en-US" w:eastAsia="zh-CN"/>
              </w:rPr>
              <w:t>类场</w:t>
            </w:r>
            <w:r>
              <w:rPr>
                <w:rFonts w:hint="default" w:cs="Times New Roman"/>
                <w:color w:val="auto"/>
                <w:sz w:val="24"/>
                <w:szCs w:val="24"/>
                <w:vertAlign w:val="baseline"/>
                <w:lang w:val="en-US" w:eastAsia="zh-CN"/>
              </w:rPr>
              <w:t>有关规定</w:t>
            </w:r>
            <w:r>
              <w:rPr>
                <w:rFonts w:hint="eastAsia" w:cs="Times New Roman"/>
                <w:color w:val="auto"/>
                <w:sz w:val="24"/>
                <w:szCs w:val="24"/>
                <w:vertAlign w:val="baseline"/>
                <w:lang w:val="en-US" w:eastAsia="zh-CN"/>
              </w:rPr>
              <w:t>；一般固废均贮存在室内，符合防雨淋要求；各类一般固废采用袋装或桶装，符合防扬尘要求。危险废物和生活垃圾不得进入一般固废贮存间，各类一般固废分类分区存放，贮存区应设置清晰、完整的一般工业固体废物标志牌</w:t>
            </w:r>
            <w:r>
              <w:rPr>
                <w:rFonts w:hint="default" w:cs="Times New Roman"/>
                <w:color w:val="auto"/>
                <w:sz w:val="24"/>
                <w:szCs w:val="24"/>
                <w:vertAlign w:val="baseline"/>
                <w:lang w:val="en-US" w:eastAsia="zh-CN"/>
              </w:rPr>
              <w:t>。</w:t>
            </w:r>
          </w:p>
          <w:p w14:paraId="0C8A29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综上分析，项目拟采取的一般固体废物处置措施可行。</w:t>
            </w:r>
          </w:p>
          <w:p w14:paraId="34D7B9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vertAlign w:val="baseline"/>
                <w:lang w:val="en-US" w:eastAsia="zh-CN"/>
              </w:rPr>
            </w:pPr>
            <w:r>
              <w:rPr>
                <w:rFonts w:hint="eastAsia" w:cs="Times New Roman"/>
                <w:color w:val="auto"/>
                <w:sz w:val="24"/>
                <w:szCs w:val="24"/>
                <w:vertAlign w:val="baseline"/>
                <w:lang w:val="en-US" w:eastAsia="zh-CN"/>
              </w:rPr>
              <w:t>（3）</w:t>
            </w:r>
            <w:r>
              <w:rPr>
                <w:rFonts w:hint="default" w:cs="Times New Roman"/>
                <w:color w:val="auto"/>
                <w:sz w:val="24"/>
                <w:szCs w:val="24"/>
                <w:vertAlign w:val="baseline"/>
                <w:lang w:val="en-US" w:eastAsia="zh-CN"/>
              </w:rPr>
              <w:t>生活垃圾</w:t>
            </w:r>
          </w:p>
          <w:p w14:paraId="39B452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vertAlign w:val="baseline"/>
                <w:lang w:val="en-US" w:eastAsia="zh-CN"/>
              </w:rPr>
            </w:pPr>
            <w:r>
              <w:rPr>
                <w:rFonts w:hint="default" w:cs="Times New Roman"/>
                <w:color w:val="auto"/>
                <w:sz w:val="24"/>
                <w:szCs w:val="24"/>
                <w:vertAlign w:val="baseline"/>
                <w:lang w:val="en-US" w:eastAsia="zh-CN"/>
              </w:rPr>
              <w:t>项目生活垃圾设置垃圾桶集中收集，</w:t>
            </w:r>
            <w:r>
              <w:rPr>
                <w:rFonts w:hint="eastAsia" w:cs="Times New Roman"/>
                <w:color w:val="auto"/>
                <w:sz w:val="24"/>
                <w:szCs w:val="24"/>
                <w:vertAlign w:val="baseline"/>
                <w:lang w:val="en-US" w:eastAsia="zh-CN"/>
              </w:rPr>
              <w:t>由环卫部门清运处置</w:t>
            </w:r>
            <w:r>
              <w:rPr>
                <w:rFonts w:hint="default" w:cs="Times New Roman"/>
                <w:color w:val="auto"/>
                <w:sz w:val="24"/>
                <w:szCs w:val="24"/>
                <w:vertAlign w:val="baseline"/>
                <w:lang w:val="en-US" w:eastAsia="zh-CN"/>
              </w:rPr>
              <w:t>，措施可行。</w:t>
            </w:r>
          </w:p>
          <w:p w14:paraId="2D0855C5">
            <w:pPr>
              <w:pStyle w:val="82"/>
              <w:rPr>
                <w:rFonts w:hint="default"/>
                <w:color w:val="auto"/>
                <w:sz w:val="24"/>
                <w:szCs w:val="24"/>
                <w:lang w:val="en-US"/>
              </w:rPr>
            </w:pPr>
            <w:r>
              <w:rPr>
                <w:color w:val="auto"/>
                <w:sz w:val="24"/>
                <w:szCs w:val="24"/>
              </w:rPr>
              <w:t>4.</w:t>
            </w:r>
            <w:r>
              <w:rPr>
                <w:rFonts w:hint="eastAsia"/>
                <w:color w:val="auto"/>
                <w:sz w:val="24"/>
                <w:szCs w:val="24"/>
                <w:lang w:val="en-US" w:eastAsia="zh-CN"/>
              </w:rPr>
              <w:t>4固体废物环境管理要求</w:t>
            </w:r>
          </w:p>
          <w:p w14:paraId="01A198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vertAlign w:val="baseline"/>
                <w:lang w:val="en-US" w:eastAsia="zh-CN"/>
              </w:rPr>
              <w:t>（1）危险废物</w:t>
            </w:r>
          </w:p>
          <w:p w14:paraId="65FAE3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①危险废物的收集包装：</w:t>
            </w:r>
          </w:p>
          <w:p w14:paraId="64BE9A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a．有符合要求的包装容器、收集人员的个人防护设备。</w:t>
            </w:r>
          </w:p>
          <w:p w14:paraId="7D57C0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b．危险废物的收集容器应在醒目位置贴有危险废物标签，在收集场所醒目的地方设置危险废物警告标识。</w:t>
            </w:r>
          </w:p>
          <w:p w14:paraId="4E2176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c．危险废物标签应标明以下信息：危险废物名称、数量、物理形态、危险类别、安全措施以及危险废物产生单位名称、地址、联系人及电话。</w:t>
            </w:r>
          </w:p>
          <w:p w14:paraId="0DC328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②危险废物的暂存要求：</w:t>
            </w:r>
          </w:p>
          <w:p w14:paraId="4C2F9D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危险废物堆放场应满足《危险废物贮存污染控制标准》（GB18597-2023）有关规定：</w:t>
            </w:r>
          </w:p>
          <w:p w14:paraId="273030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a．按《危险废物识别标志设置技术规范》（HJ1276-2022）设置标志。</w:t>
            </w:r>
          </w:p>
          <w:p w14:paraId="7AE943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b．必须有耐腐蚀的硬化地面和基础防渗层，地面无裂隙。</w:t>
            </w:r>
          </w:p>
          <w:p w14:paraId="2F61C0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c．要求必要的防风、防雨、防晒措施，并设立明显废物识别标志，临时储存场所应具备一个月以上的贮存能力。</w:t>
            </w:r>
          </w:p>
          <w:p w14:paraId="7F32E7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d．不得将不相容的废物混合或合并存放。</w:t>
            </w:r>
          </w:p>
          <w:p w14:paraId="750470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e．应配备通讯设备、照明设施、安全防护服装及工具，并设有报警装置和应急防护设施。</w:t>
            </w:r>
          </w:p>
          <w:p w14:paraId="57705D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③危险废物的转移要求：</w:t>
            </w:r>
          </w:p>
          <w:p w14:paraId="2F4554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危险废物的运输由有资质的单位运输，转运环节执行“电子联单”制度，保证运输安全，防止非法转移和非法处置，保证危险废物的安全监控，防止危险废物污染事故发生。</w:t>
            </w:r>
          </w:p>
          <w:p w14:paraId="2D56F9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④危险废物的处置要求</w:t>
            </w:r>
          </w:p>
          <w:p w14:paraId="7F747E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建设单位现阶段</w:t>
            </w:r>
            <w:r>
              <w:rPr>
                <w:rFonts w:hint="default" w:ascii="Times New Roman" w:hAnsi="Times New Roman" w:cs="Times New Roman"/>
                <w:color w:val="auto"/>
                <w:sz w:val="24"/>
                <w:szCs w:val="24"/>
              </w:rPr>
              <w:t>暂未</w:t>
            </w:r>
            <w:r>
              <w:rPr>
                <w:rFonts w:hint="eastAsia" w:cs="Times New Roman"/>
                <w:color w:val="auto"/>
                <w:sz w:val="24"/>
                <w:szCs w:val="24"/>
                <w:lang w:val="en-US" w:eastAsia="zh-CN"/>
              </w:rPr>
              <w:t>与有资质单位</w:t>
            </w:r>
            <w:r>
              <w:rPr>
                <w:rFonts w:hint="default" w:ascii="Times New Roman" w:hAnsi="Times New Roman" w:cs="Times New Roman"/>
                <w:color w:val="auto"/>
                <w:sz w:val="24"/>
                <w:szCs w:val="24"/>
              </w:rPr>
              <w:t>签订危险废物处置协议，本评价对后续危险废物的意向处置单位提出处置能力、资质类别等要求。</w:t>
            </w:r>
          </w:p>
          <w:p w14:paraId="63B09B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eastAsia" w:cs="Times New Roman"/>
                <w:color w:val="auto"/>
                <w:sz w:val="24"/>
                <w:szCs w:val="24"/>
                <w:lang w:val="en-US" w:eastAsia="zh-CN"/>
              </w:rPr>
              <w:t>接受</w:t>
            </w:r>
            <w:r>
              <w:rPr>
                <w:rFonts w:hint="default" w:ascii="Times New Roman" w:hAnsi="Times New Roman" w:cs="Times New Roman"/>
                <w:color w:val="auto"/>
                <w:sz w:val="24"/>
                <w:szCs w:val="24"/>
              </w:rPr>
              <w:t>委托处置</w:t>
            </w:r>
            <w:r>
              <w:rPr>
                <w:rFonts w:hint="eastAsia" w:cs="Times New Roman"/>
                <w:color w:val="auto"/>
                <w:sz w:val="24"/>
                <w:szCs w:val="24"/>
                <w:lang w:val="en-US" w:eastAsia="zh-CN"/>
              </w:rPr>
              <w:t>本项目危险废物的</w:t>
            </w:r>
            <w:r>
              <w:rPr>
                <w:rFonts w:hint="default" w:ascii="Times New Roman" w:hAnsi="Times New Roman" w:cs="Times New Roman"/>
                <w:color w:val="auto"/>
                <w:sz w:val="24"/>
                <w:szCs w:val="24"/>
              </w:rPr>
              <w:t>单位应取得危险废物经营许可证，其经营方式应包括危险废物收集、贮存、处置综合经营许可证。</w:t>
            </w:r>
          </w:p>
          <w:p w14:paraId="7D3040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B、经营的危险废物类别应</w:t>
            </w:r>
            <w:r>
              <w:rPr>
                <w:rFonts w:hint="default" w:ascii="Times New Roman" w:hAnsi="Times New Roman" w:cs="Times New Roman"/>
                <w:color w:val="auto"/>
                <w:sz w:val="24"/>
                <w:szCs w:val="24"/>
                <w:highlight w:val="none"/>
              </w:rPr>
              <w:t>包括：</w:t>
            </w:r>
            <w:r>
              <w:rPr>
                <w:rFonts w:hint="eastAsia" w:hAnsi="宋体"/>
                <w:color w:val="auto"/>
                <w:sz w:val="24"/>
                <w:szCs w:val="24"/>
                <w:highlight w:val="none"/>
                <w:lang w:val="en-US" w:eastAsia="zh-CN"/>
              </w:rPr>
              <w:t>HW08、HW09、HW48</w:t>
            </w:r>
            <w:r>
              <w:rPr>
                <w:rFonts w:hint="default" w:ascii="Times New Roman" w:hAnsi="Times New Roman" w:cs="Times New Roman"/>
                <w:color w:val="auto"/>
                <w:sz w:val="24"/>
                <w:szCs w:val="24"/>
                <w:highlight w:val="none"/>
              </w:rPr>
              <w:t>、</w:t>
            </w:r>
            <w:r>
              <w:rPr>
                <w:rFonts w:hint="eastAsia" w:hAnsi="宋体"/>
                <w:color w:val="auto"/>
                <w:sz w:val="24"/>
                <w:szCs w:val="24"/>
                <w:highlight w:val="none"/>
                <w:lang w:val="en-US" w:eastAsia="zh-CN"/>
              </w:rPr>
              <w:t>HW49</w:t>
            </w:r>
            <w:r>
              <w:rPr>
                <w:rFonts w:hint="default" w:ascii="Times New Roman" w:hAnsi="Times New Roman" w:cs="Times New Roman"/>
                <w:color w:val="auto"/>
                <w:sz w:val="24"/>
                <w:szCs w:val="24"/>
                <w:highlight w:val="none"/>
              </w:rPr>
              <w:t>等</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rPr>
              <w:t>有与所经营的危险废物类别相适应的处置技术</w:t>
            </w:r>
            <w:r>
              <w:rPr>
                <w:rFonts w:hint="eastAsia" w:cs="Times New Roman"/>
                <w:color w:val="auto"/>
                <w:sz w:val="24"/>
                <w:szCs w:val="24"/>
                <w:lang w:eastAsia="zh-CN"/>
              </w:rPr>
              <w:t>、</w:t>
            </w:r>
            <w:r>
              <w:rPr>
                <w:rFonts w:hint="default" w:ascii="Times New Roman" w:hAnsi="Times New Roman" w:cs="Times New Roman"/>
                <w:color w:val="auto"/>
                <w:sz w:val="24"/>
                <w:szCs w:val="24"/>
              </w:rPr>
              <w:t>工艺</w:t>
            </w:r>
            <w:r>
              <w:rPr>
                <w:rFonts w:hint="eastAsia" w:cs="Times New Roman"/>
                <w:color w:val="auto"/>
                <w:sz w:val="24"/>
                <w:szCs w:val="24"/>
                <w:lang w:val="en-US" w:eastAsia="zh-CN"/>
              </w:rPr>
              <w:t>及相关配套设施</w:t>
            </w:r>
            <w:r>
              <w:rPr>
                <w:rFonts w:hint="default" w:ascii="Times New Roman" w:hAnsi="Times New Roman" w:cs="Times New Roman"/>
                <w:color w:val="auto"/>
                <w:sz w:val="24"/>
                <w:szCs w:val="24"/>
              </w:rPr>
              <w:t>。</w:t>
            </w:r>
          </w:p>
          <w:p w14:paraId="0226A6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C、经营规模有余量处置本项目产生的危险废物。</w:t>
            </w:r>
          </w:p>
          <w:p w14:paraId="36721F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D</w:t>
            </w:r>
            <w:r>
              <w:rPr>
                <w:rFonts w:hint="default" w:ascii="Times New Roman" w:hAnsi="Times New Roman" w:cs="Times New Roman"/>
                <w:color w:val="auto"/>
                <w:sz w:val="24"/>
                <w:szCs w:val="24"/>
              </w:rPr>
              <w:t>．建立危险废物管理台账，记录厂区内危险废物的产生、贮存、处置等情况，台账保存期限不少于5年。</w:t>
            </w:r>
          </w:p>
          <w:p w14:paraId="1FEAA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本次评价收集了现阶段三明市辖区有能力处置本项目危险废物的有资质单位，供建设单位参考。</w:t>
            </w:r>
          </w:p>
          <w:p w14:paraId="651B95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表4-42  三明市辖区有能力处置本项目危险废物的有资质单位（部分）</w:t>
            </w:r>
          </w:p>
          <w:tbl>
            <w:tblPr>
              <w:tblStyle w:val="30"/>
              <w:tblW w:w="837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14"/>
              <w:gridCol w:w="612"/>
              <w:gridCol w:w="575"/>
              <w:gridCol w:w="663"/>
              <w:gridCol w:w="3500"/>
              <w:gridCol w:w="1487"/>
              <w:gridCol w:w="928"/>
            </w:tblGrid>
            <w:tr w14:paraId="0CCA5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614" w:type="dxa"/>
                  <w:tcBorders>
                    <w:tl2br w:val="nil"/>
                    <w:tr2bl w:val="nil"/>
                  </w:tcBorders>
                  <w:shd w:val="clear" w:color="auto" w:fill="auto"/>
                  <w:vAlign w:val="center"/>
                </w:tcPr>
                <w:p w14:paraId="6995BA4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kern w:val="2"/>
                      <w:sz w:val="18"/>
                      <w:szCs w:val="18"/>
                      <w:vertAlign w:val="baseline"/>
                      <w:lang w:val="en-US" w:eastAsia="zh-CN" w:bidi="ar-SA"/>
                    </w:rPr>
                  </w:pPr>
                  <w:r>
                    <w:rPr>
                      <w:rFonts w:hint="eastAsia" w:cs="Times New Roman"/>
                      <w:b/>
                      <w:bCs/>
                      <w:color w:val="auto"/>
                      <w:sz w:val="18"/>
                      <w:szCs w:val="18"/>
                      <w:vertAlign w:val="baseline"/>
                      <w:lang w:val="en-US" w:eastAsia="zh-CN"/>
                    </w:rPr>
                    <w:t>企业名称</w:t>
                  </w:r>
                </w:p>
              </w:tc>
              <w:tc>
                <w:tcPr>
                  <w:tcW w:w="612" w:type="dxa"/>
                  <w:tcBorders>
                    <w:tl2br w:val="nil"/>
                    <w:tr2bl w:val="nil"/>
                  </w:tcBorders>
                  <w:shd w:val="clear" w:color="auto" w:fill="auto"/>
                  <w:vAlign w:val="center"/>
                </w:tcPr>
                <w:p w14:paraId="56883E6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kern w:val="2"/>
                      <w:sz w:val="18"/>
                      <w:szCs w:val="18"/>
                      <w:vertAlign w:val="baseline"/>
                      <w:lang w:val="en-US" w:eastAsia="zh-CN" w:bidi="ar-SA"/>
                    </w:rPr>
                  </w:pPr>
                  <w:r>
                    <w:rPr>
                      <w:rFonts w:hint="eastAsia" w:cs="Times New Roman"/>
                      <w:b/>
                      <w:bCs/>
                      <w:color w:val="auto"/>
                      <w:sz w:val="18"/>
                      <w:szCs w:val="18"/>
                      <w:vertAlign w:val="baseline"/>
                      <w:lang w:val="en-US" w:eastAsia="zh-CN"/>
                    </w:rPr>
                    <w:t>地址</w:t>
                  </w:r>
                </w:p>
              </w:tc>
              <w:tc>
                <w:tcPr>
                  <w:tcW w:w="575" w:type="dxa"/>
                  <w:tcBorders>
                    <w:tl2br w:val="nil"/>
                    <w:tr2bl w:val="nil"/>
                  </w:tcBorders>
                  <w:shd w:val="clear" w:color="auto" w:fill="auto"/>
                  <w:vAlign w:val="center"/>
                </w:tcPr>
                <w:p w14:paraId="6E7A2E5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kern w:val="2"/>
                      <w:sz w:val="18"/>
                      <w:szCs w:val="18"/>
                      <w:vertAlign w:val="baseline"/>
                      <w:lang w:val="en-US" w:eastAsia="zh-CN" w:bidi="ar-SA"/>
                    </w:rPr>
                  </w:pPr>
                  <w:r>
                    <w:rPr>
                      <w:rFonts w:hint="eastAsia" w:cs="Times New Roman"/>
                      <w:b/>
                      <w:bCs/>
                      <w:color w:val="auto"/>
                      <w:sz w:val="18"/>
                      <w:szCs w:val="18"/>
                      <w:vertAlign w:val="baseline"/>
                      <w:lang w:val="en-US" w:eastAsia="zh-CN"/>
                    </w:rPr>
                    <w:t>许可编号</w:t>
                  </w:r>
                </w:p>
              </w:tc>
              <w:tc>
                <w:tcPr>
                  <w:tcW w:w="663" w:type="dxa"/>
                  <w:tcBorders>
                    <w:tl2br w:val="nil"/>
                    <w:tr2bl w:val="nil"/>
                  </w:tcBorders>
                  <w:shd w:val="clear" w:color="auto" w:fill="auto"/>
                  <w:vAlign w:val="center"/>
                </w:tcPr>
                <w:p w14:paraId="6176DEE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kern w:val="2"/>
                      <w:sz w:val="18"/>
                      <w:szCs w:val="18"/>
                      <w:vertAlign w:val="baseline"/>
                      <w:lang w:val="en-US" w:eastAsia="zh-CN" w:bidi="ar-SA"/>
                    </w:rPr>
                  </w:pPr>
                  <w:r>
                    <w:rPr>
                      <w:rFonts w:hint="eastAsia" w:cs="Times New Roman"/>
                      <w:b/>
                      <w:bCs/>
                      <w:color w:val="auto"/>
                      <w:sz w:val="18"/>
                      <w:szCs w:val="18"/>
                      <w:vertAlign w:val="baseline"/>
                      <w:lang w:val="en-US" w:eastAsia="zh-CN"/>
                    </w:rPr>
                    <w:t>核准经营方式</w:t>
                  </w:r>
                </w:p>
              </w:tc>
              <w:tc>
                <w:tcPr>
                  <w:tcW w:w="3500" w:type="dxa"/>
                  <w:tcBorders>
                    <w:tl2br w:val="nil"/>
                    <w:tr2bl w:val="nil"/>
                  </w:tcBorders>
                  <w:shd w:val="clear" w:color="auto" w:fill="auto"/>
                  <w:vAlign w:val="center"/>
                </w:tcPr>
                <w:p w14:paraId="5E5AB08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kern w:val="2"/>
                      <w:sz w:val="18"/>
                      <w:szCs w:val="18"/>
                      <w:vertAlign w:val="baseline"/>
                      <w:lang w:val="en-US" w:eastAsia="zh-CN" w:bidi="ar-SA"/>
                    </w:rPr>
                  </w:pPr>
                  <w:r>
                    <w:rPr>
                      <w:rFonts w:hint="default" w:cs="Times New Roman"/>
                      <w:b/>
                      <w:bCs/>
                      <w:color w:val="auto"/>
                      <w:sz w:val="18"/>
                      <w:szCs w:val="18"/>
                      <w:vertAlign w:val="baseline"/>
                      <w:lang w:val="en-US" w:eastAsia="zh-CN"/>
                    </w:rPr>
                    <w:t>核准经营危险废物类别</w:t>
                  </w:r>
                </w:p>
              </w:tc>
              <w:tc>
                <w:tcPr>
                  <w:tcW w:w="1487" w:type="dxa"/>
                  <w:tcBorders>
                    <w:tl2br w:val="nil"/>
                    <w:tr2bl w:val="nil"/>
                  </w:tcBorders>
                  <w:shd w:val="clear" w:color="auto" w:fill="auto"/>
                  <w:vAlign w:val="center"/>
                </w:tcPr>
                <w:p w14:paraId="5A887F7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kern w:val="2"/>
                      <w:sz w:val="18"/>
                      <w:szCs w:val="18"/>
                      <w:vertAlign w:val="baseline"/>
                      <w:lang w:val="en-US" w:eastAsia="zh-CN" w:bidi="ar-SA"/>
                    </w:rPr>
                  </w:pPr>
                  <w:r>
                    <w:rPr>
                      <w:rFonts w:hint="default" w:cs="Times New Roman"/>
                      <w:b/>
                      <w:bCs/>
                      <w:color w:val="auto"/>
                      <w:sz w:val="18"/>
                      <w:szCs w:val="18"/>
                      <w:vertAlign w:val="baseline"/>
                      <w:lang w:val="en-US" w:eastAsia="zh-CN"/>
                    </w:rPr>
                    <w:t>核准年经营规模</w:t>
                  </w:r>
                </w:p>
              </w:tc>
              <w:tc>
                <w:tcPr>
                  <w:tcW w:w="928" w:type="dxa"/>
                  <w:tcBorders>
                    <w:tl2br w:val="nil"/>
                    <w:tr2bl w:val="nil"/>
                  </w:tcBorders>
                  <w:shd w:val="clear" w:color="auto" w:fill="auto"/>
                  <w:vAlign w:val="center"/>
                </w:tcPr>
                <w:p w14:paraId="64B7453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b/>
                      <w:bCs/>
                      <w:color w:val="auto"/>
                      <w:kern w:val="2"/>
                      <w:sz w:val="18"/>
                      <w:szCs w:val="18"/>
                      <w:vertAlign w:val="baseline"/>
                      <w:lang w:val="en-US" w:eastAsia="zh-CN" w:bidi="ar-SA"/>
                    </w:rPr>
                  </w:pPr>
                  <w:r>
                    <w:rPr>
                      <w:rFonts w:hint="eastAsia" w:cs="Times New Roman"/>
                      <w:b/>
                      <w:bCs/>
                      <w:color w:val="auto"/>
                      <w:kern w:val="2"/>
                      <w:sz w:val="18"/>
                      <w:szCs w:val="18"/>
                      <w:vertAlign w:val="baseline"/>
                      <w:lang w:val="en-US" w:eastAsia="zh-CN" w:bidi="ar-SA"/>
                    </w:rPr>
                    <w:t>本项目可委托处置的危废</w:t>
                  </w:r>
                </w:p>
              </w:tc>
            </w:tr>
            <w:tr w14:paraId="12787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614" w:type="dxa"/>
                  <w:tcBorders>
                    <w:tl2br w:val="nil"/>
                    <w:tr2bl w:val="nil"/>
                  </w:tcBorders>
                  <w:shd w:val="clear" w:color="auto" w:fill="auto"/>
                  <w:vAlign w:val="center"/>
                </w:tcPr>
                <w:p w14:paraId="344AE3C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olor w:val="auto"/>
                    </w:rPr>
                    <w:t>三明金牛环保科技有限公司</w:t>
                  </w:r>
                </w:p>
              </w:tc>
              <w:tc>
                <w:tcPr>
                  <w:tcW w:w="612" w:type="dxa"/>
                  <w:tcBorders>
                    <w:tl2br w:val="nil"/>
                    <w:tr2bl w:val="nil"/>
                  </w:tcBorders>
                  <w:shd w:val="clear" w:color="auto" w:fill="auto"/>
                  <w:vAlign w:val="center"/>
                </w:tcPr>
                <w:p w14:paraId="130F364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olor w:val="auto"/>
                    </w:rPr>
                    <w:t>三明市三元区岩前镇岩前村布溪</w:t>
                  </w:r>
                </w:p>
              </w:tc>
              <w:tc>
                <w:tcPr>
                  <w:tcW w:w="575" w:type="dxa"/>
                  <w:tcBorders>
                    <w:tl2br w:val="nil"/>
                    <w:tr2bl w:val="nil"/>
                  </w:tcBorders>
                  <w:shd w:val="clear" w:color="auto" w:fill="auto"/>
                  <w:vAlign w:val="center"/>
                </w:tcPr>
                <w:p w14:paraId="4EE8FBC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cs="Times New Roman"/>
                      <w:color w:val="auto"/>
                      <w:sz w:val="18"/>
                      <w:szCs w:val="18"/>
                      <w:vertAlign w:val="baseline"/>
                      <w:lang w:val="en-US" w:eastAsia="zh-CN"/>
                    </w:rPr>
                    <w:t>F04030054</w:t>
                  </w:r>
                </w:p>
              </w:tc>
              <w:tc>
                <w:tcPr>
                  <w:tcW w:w="663" w:type="dxa"/>
                  <w:tcBorders>
                    <w:tl2br w:val="nil"/>
                    <w:tr2bl w:val="nil"/>
                  </w:tcBorders>
                  <w:shd w:val="clear" w:color="auto" w:fill="auto"/>
                  <w:vAlign w:val="center"/>
                </w:tcPr>
                <w:p w14:paraId="0409FAF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sz w:val="18"/>
                      <w:szCs w:val="18"/>
                      <w:vertAlign w:val="baseline"/>
                      <w:lang w:val="en-US" w:eastAsia="zh-CN"/>
                    </w:rPr>
                    <w:t>水泥窑</w:t>
                  </w:r>
                </w:p>
              </w:tc>
              <w:tc>
                <w:tcPr>
                  <w:tcW w:w="3500" w:type="dxa"/>
                  <w:tcBorders>
                    <w:tl2br w:val="nil"/>
                    <w:tr2bl w:val="nil"/>
                  </w:tcBorders>
                  <w:shd w:val="clear" w:color="auto" w:fill="auto"/>
                  <w:vAlign w:val="center"/>
                </w:tcPr>
                <w:p w14:paraId="084A3CE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cs="Times New Roman"/>
                      <w:color w:val="auto"/>
                      <w:sz w:val="18"/>
                      <w:szCs w:val="18"/>
                      <w:vertAlign w:val="baseline"/>
                      <w:lang w:val="en-US" w:eastAsia="zh-CN"/>
                    </w:rPr>
                    <w:t>HW02医药废物（271-001-02、271-002-02、271-003-02、271-004-02、271-005-02、272-001-02、272-003-02、272-005-02、276-001-02、276-002-02、276-003-02、276-004-02、276-005-02），HW03废药物、药品（900-002-03），HW04农药废物（263-008-04、263-009-04、263-010-04、263-011-04、263-012-04、900-003-04），HW06废有机溶剂与含有机溶剂废物（900-409-06），HW08废矿物油与含矿物油废物（251-001-08、251-002-08、251-003-08、900-199-08、900-200-08、900-201-08、900-204-08、900-210-08、398-001-08、900-249-08）（仅限油泥和污泥），HW11精（蒸）馏残渣(252-001-11、252-007-11、252-009-11、252-010-11、261-007-11、261-008-11、309-001-11、772-001-11、900-013-11)（仅限残渣），HW12染料、涂料废物（264-010-12、264-011-12、264-012-12、264-013-12、900-252-12、900-255-12、900-256-12、900-299-12）（仅限污泥和残渣），HW13有机树脂类废物（265-101-13、265-102-13、265-103-13、265-104-13、900-014-13、900-015-13、900-451-13）（仅限污泥和残渣），HW17表面处理废物（336-052-17、336-053-17、336-054-17、336-055-17、336-058-17、336-062-17、336-063-17、336-064-17、336-066-17）（仅限污泥），HW18焚烧处置残渣（772-002-18、772-003-18、772-004-18、772-005-18），HW22含铜废物（304-001-22、398-004-22、398-005-22、398-051-22）（仅限污泥和残渣），HW23含锌废物（336-103-23、384-001-23、312-001-23）（仅限污泥），HW36石棉废物（302-001-36、308-001-36、373-002-36），HW39含酚废物（261-071-39），HW40含醚废物（261-072-40仅限污泥），HW48有色金属冶炼废物（321-002-48、321-003-48、321-014-48、321-019-48、321-022-48、321-023-48、321-024-48、321-025-48、321-026-48、321-027-48、321-028-48、321-029-48、321-031-48、321-034-48）（仅限污泥和残渣），HW49其他废物（900-039-49、900-040-49、900-041-49、900-042-49、900-046-49、900-047-49）（仅限废活性炭和污泥），HW50废催化剂（251-017-50），以上所有类别不含反应性、感染性废物</w:t>
                  </w:r>
                </w:p>
              </w:tc>
              <w:tc>
                <w:tcPr>
                  <w:tcW w:w="1487" w:type="dxa"/>
                  <w:tcBorders>
                    <w:tl2br w:val="nil"/>
                    <w:tr2bl w:val="nil"/>
                  </w:tcBorders>
                  <w:shd w:val="clear" w:color="auto" w:fill="auto"/>
                  <w:vAlign w:val="center"/>
                </w:tcPr>
                <w:p w14:paraId="38B5913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65000吨/年（其中①HW02医药废物，HW03废药物、药品，HW04农药废物，HW06废有机与含有机溶剂废物，HW08废矿物油与含矿物油废物，HW11精（蒸）馏残渣，HW12染料、涂料废物，HW13有机树脂类废物，1.55万吨/年；②HW18焚烧处置残渣1万吨/年；③HW17表面处理废物，HW22含铜废物，HW23含锌废物，HW36石棉废物，HW39含酚废物，HW40含醚废物，HW48有色金属冶炼废物，HW49其他废物，HW50废催化剂，3.95万吨/年）</w:t>
                  </w:r>
                </w:p>
              </w:tc>
              <w:tc>
                <w:tcPr>
                  <w:tcW w:w="928" w:type="dxa"/>
                  <w:tcBorders>
                    <w:tl2br w:val="nil"/>
                    <w:tr2bl w:val="nil"/>
                  </w:tcBorders>
                  <w:vAlign w:val="center"/>
                </w:tcPr>
                <w:p w14:paraId="6CF78DF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eastAsia" w:hAnsi="宋体"/>
                      <w:color w:val="auto"/>
                      <w:sz w:val="18"/>
                      <w:szCs w:val="18"/>
                      <w:lang w:val="en-US" w:eastAsia="zh-CN"/>
                    </w:rPr>
                    <w:t>废液压油（</w:t>
                  </w:r>
                  <w:r>
                    <w:rPr>
                      <w:rStyle w:val="36"/>
                      <w:rFonts w:hint="eastAsia"/>
                      <w:color w:val="auto"/>
                      <w:sz w:val="18"/>
                      <w:szCs w:val="18"/>
                    </w:rPr>
                    <w:t>900-218-08</w:t>
                  </w:r>
                  <w:r>
                    <w:rPr>
                      <w:rFonts w:hint="eastAsia" w:hAnsi="宋体"/>
                      <w:color w:val="auto"/>
                      <w:sz w:val="18"/>
                      <w:szCs w:val="18"/>
                      <w:lang w:val="en-US" w:eastAsia="zh-CN"/>
                    </w:rPr>
                    <w:t>）、铝灰渣（</w:t>
                  </w:r>
                  <w:r>
                    <w:rPr>
                      <w:rStyle w:val="36"/>
                      <w:rFonts w:hint="eastAsia"/>
                      <w:color w:val="auto"/>
                      <w:sz w:val="18"/>
                      <w:szCs w:val="18"/>
                    </w:rPr>
                    <w:t>321-026-48</w:t>
                  </w:r>
                  <w:r>
                    <w:rPr>
                      <w:rFonts w:hint="eastAsia" w:hAnsi="宋体"/>
                      <w:color w:val="auto"/>
                      <w:sz w:val="18"/>
                      <w:szCs w:val="18"/>
                      <w:lang w:val="en-US" w:eastAsia="zh-CN"/>
                    </w:rPr>
                    <w:t>）、</w:t>
                  </w:r>
                  <w:r>
                    <w:rPr>
                      <w:rFonts w:hint="eastAsia"/>
                      <w:color w:val="auto"/>
                      <w:sz w:val="18"/>
                      <w:szCs w:val="18"/>
                      <w:lang w:val="en-US" w:eastAsia="zh-CN"/>
                    </w:rPr>
                    <w:t>废活性炭（</w:t>
                  </w:r>
                  <w:r>
                    <w:rPr>
                      <w:color w:val="auto"/>
                      <w:sz w:val="18"/>
                      <w:szCs w:val="18"/>
                    </w:rPr>
                    <w:t>900-</w:t>
                  </w:r>
                  <w:r>
                    <w:rPr>
                      <w:rFonts w:hint="eastAsia"/>
                      <w:color w:val="auto"/>
                      <w:sz w:val="18"/>
                      <w:szCs w:val="18"/>
                      <w:lang w:val="en-US" w:eastAsia="zh-CN"/>
                    </w:rPr>
                    <w:t>039</w:t>
                  </w:r>
                  <w:r>
                    <w:rPr>
                      <w:color w:val="auto"/>
                      <w:sz w:val="18"/>
                      <w:szCs w:val="18"/>
                    </w:rPr>
                    <w:t>-</w:t>
                  </w:r>
                  <w:r>
                    <w:rPr>
                      <w:rFonts w:hint="eastAsia"/>
                      <w:color w:val="auto"/>
                      <w:sz w:val="18"/>
                      <w:szCs w:val="18"/>
                      <w:lang w:val="en-US" w:eastAsia="zh-CN"/>
                    </w:rPr>
                    <w:t>49）</w:t>
                  </w:r>
                </w:p>
              </w:tc>
            </w:tr>
            <w:tr w14:paraId="462CD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614" w:type="dxa"/>
                  <w:tcBorders>
                    <w:tl2br w:val="nil"/>
                    <w:tr2bl w:val="nil"/>
                  </w:tcBorders>
                  <w:vAlign w:val="center"/>
                </w:tcPr>
                <w:p w14:paraId="1B4BEBC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福建三明海中环保科技有限责任公司、福建三明南方水泥有限公司</w:t>
                  </w:r>
                </w:p>
              </w:tc>
              <w:tc>
                <w:tcPr>
                  <w:tcW w:w="612" w:type="dxa"/>
                  <w:tcBorders>
                    <w:tl2br w:val="nil"/>
                    <w:tr2bl w:val="nil"/>
                  </w:tcBorders>
                  <w:vAlign w:val="center"/>
                </w:tcPr>
                <w:p w14:paraId="02E7926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三明市清流县嵩溪镇农科村</w:t>
                  </w:r>
                </w:p>
              </w:tc>
              <w:tc>
                <w:tcPr>
                  <w:tcW w:w="575" w:type="dxa"/>
                  <w:tcBorders>
                    <w:tl2br w:val="nil"/>
                    <w:tr2bl w:val="nil"/>
                  </w:tcBorders>
                  <w:vAlign w:val="center"/>
                </w:tcPr>
                <w:p w14:paraId="7E26B75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F04230074</w:t>
                  </w:r>
                </w:p>
              </w:tc>
              <w:tc>
                <w:tcPr>
                  <w:tcW w:w="663" w:type="dxa"/>
                  <w:tcBorders>
                    <w:tl2br w:val="nil"/>
                    <w:tr2bl w:val="nil"/>
                  </w:tcBorders>
                  <w:vAlign w:val="center"/>
                </w:tcPr>
                <w:p w14:paraId="237D38C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水泥窑</w:t>
                  </w:r>
                </w:p>
              </w:tc>
              <w:tc>
                <w:tcPr>
                  <w:tcW w:w="3500" w:type="dxa"/>
                  <w:tcBorders>
                    <w:tl2br w:val="nil"/>
                    <w:tr2bl w:val="nil"/>
                  </w:tcBorders>
                  <w:vAlign w:val="center"/>
                </w:tcPr>
                <w:p w14:paraId="011E2C7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经营危险废物种类：HW02医药废物、HW03废药物、药品、HW04农药废物、HW06废有机溶剂与含有机溶剂废物（不含900-401-06、900-402-06）、HW07热处理含氰废物、HW08废矿物油与含矿物油废物（除071-001-08、071-002-08、072-001-08，其他仅限油泥和污泥）、HW09油或水、烃或水混合物或乳化液、HW11精（蒸）馏残渣（不含251-013-11、252-017-11）、HW12染料、涂料废物（除264-005-12、264-006-12、264-007-12、264-009-12外，不含铬类废物）、HW13有机树脂类废物、HW16感光材料废物（除873-001-16外）、HW17表面处理废物（除336-060-17、336-067-17、336-068-17、336-069-17、336-100-17、336-101-17外）、HW18焚烧处置残渣、HW33无机氰化物废物（仅限092-003-33）、HW37有机磷化合物废物（仅限900-033-37）、HW38有机氰化物废物（不含261-064-38、261-065-38）、HW39含酚废物（仅限261-070-39）、HW40含醚废物（261-072-40）、HW49其他废物（不含772-006-49、900-053-49，900-044-49、900-045-49）以上类别不含反应性、感染性的废物。</w:t>
                  </w:r>
                </w:p>
              </w:tc>
              <w:tc>
                <w:tcPr>
                  <w:tcW w:w="1487" w:type="dxa"/>
                  <w:tcBorders>
                    <w:tl2br w:val="nil"/>
                    <w:tr2bl w:val="nil"/>
                  </w:tcBorders>
                  <w:vAlign w:val="center"/>
                </w:tcPr>
                <w:p w14:paraId="0063DC0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default" w:cs="Times New Roman"/>
                      <w:color w:val="auto"/>
                      <w:sz w:val="18"/>
                      <w:szCs w:val="18"/>
                      <w:vertAlign w:val="baseline"/>
                      <w:lang w:val="en-US" w:eastAsia="zh-CN"/>
                    </w:rPr>
                    <w:t>40500吨（其中HW11类3000吨/年、HW17类17500吨/年，HW18类4000吨/年，HW48类4000吨/年，HW02等其余类别13000万吨/年。</w:t>
                  </w:r>
                </w:p>
              </w:tc>
              <w:tc>
                <w:tcPr>
                  <w:tcW w:w="928" w:type="dxa"/>
                  <w:tcBorders>
                    <w:tl2br w:val="nil"/>
                    <w:tr2bl w:val="nil"/>
                  </w:tcBorders>
                  <w:vAlign w:val="center"/>
                </w:tcPr>
                <w:p w14:paraId="27A0ADD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cs="Times New Roman"/>
                      <w:color w:val="auto"/>
                      <w:sz w:val="18"/>
                      <w:szCs w:val="18"/>
                      <w:vertAlign w:val="baseline"/>
                      <w:lang w:val="en-US" w:eastAsia="zh-CN"/>
                    </w:rPr>
                  </w:pPr>
                  <w:r>
                    <w:rPr>
                      <w:rFonts w:hint="eastAsia" w:hAnsi="宋体"/>
                      <w:color w:val="auto"/>
                      <w:sz w:val="18"/>
                      <w:szCs w:val="18"/>
                      <w:lang w:val="en-US" w:eastAsia="zh-CN"/>
                    </w:rPr>
                    <w:t>废切削液（</w:t>
                  </w:r>
                  <w:r>
                    <w:rPr>
                      <w:rStyle w:val="36"/>
                      <w:rFonts w:hint="eastAsia"/>
                      <w:color w:val="auto"/>
                      <w:sz w:val="18"/>
                      <w:szCs w:val="18"/>
                    </w:rPr>
                    <w:t>900-</w:t>
                  </w:r>
                  <w:r>
                    <w:rPr>
                      <w:rStyle w:val="36"/>
                      <w:rFonts w:hint="eastAsia"/>
                      <w:color w:val="auto"/>
                      <w:sz w:val="18"/>
                      <w:szCs w:val="18"/>
                      <w:lang w:val="en-US" w:eastAsia="zh-CN"/>
                    </w:rPr>
                    <w:t>006</w:t>
                  </w:r>
                  <w:r>
                    <w:rPr>
                      <w:rStyle w:val="36"/>
                      <w:rFonts w:hint="eastAsia"/>
                      <w:color w:val="auto"/>
                      <w:sz w:val="18"/>
                      <w:szCs w:val="18"/>
                    </w:rPr>
                    <w:t>-0</w:t>
                  </w:r>
                  <w:r>
                    <w:rPr>
                      <w:rStyle w:val="36"/>
                      <w:rFonts w:hint="eastAsia"/>
                      <w:color w:val="auto"/>
                      <w:sz w:val="18"/>
                      <w:szCs w:val="18"/>
                      <w:lang w:val="en-US" w:eastAsia="zh-CN"/>
                    </w:rPr>
                    <w:t>9</w:t>
                  </w:r>
                  <w:r>
                    <w:rPr>
                      <w:rFonts w:hint="eastAsia" w:hAnsi="宋体"/>
                      <w:color w:val="auto"/>
                      <w:sz w:val="18"/>
                      <w:szCs w:val="18"/>
                      <w:lang w:val="en-US" w:eastAsia="zh-CN"/>
                    </w:rPr>
                    <w:t>）、</w:t>
                  </w:r>
                  <w:r>
                    <w:rPr>
                      <w:rFonts w:hint="eastAsia"/>
                      <w:color w:val="auto"/>
                      <w:sz w:val="18"/>
                      <w:szCs w:val="18"/>
                      <w:lang w:val="en-US" w:eastAsia="zh-CN"/>
                    </w:rPr>
                    <w:t>废活性炭（</w:t>
                  </w:r>
                  <w:r>
                    <w:rPr>
                      <w:color w:val="auto"/>
                      <w:sz w:val="18"/>
                      <w:szCs w:val="18"/>
                    </w:rPr>
                    <w:t>900-</w:t>
                  </w:r>
                  <w:r>
                    <w:rPr>
                      <w:rFonts w:hint="eastAsia"/>
                      <w:color w:val="auto"/>
                      <w:sz w:val="18"/>
                      <w:szCs w:val="18"/>
                      <w:lang w:val="en-US" w:eastAsia="zh-CN"/>
                    </w:rPr>
                    <w:t>039</w:t>
                  </w:r>
                  <w:r>
                    <w:rPr>
                      <w:color w:val="auto"/>
                      <w:sz w:val="18"/>
                      <w:szCs w:val="18"/>
                    </w:rPr>
                    <w:t>-</w:t>
                  </w:r>
                  <w:r>
                    <w:rPr>
                      <w:rFonts w:hint="eastAsia"/>
                      <w:color w:val="auto"/>
                      <w:sz w:val="18"/>
                      <w:szCs w:val="18"/>
                      <w:lang w:val="en-US" w:eastAsia="zh-CN"/>
                    </w:rPr>
                    <w:t>49）</w:t>
                  </w:r>
                </w:p>
              </w:tc>
            </w:tr>
            <w:tr w14:paraId="529F7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8379" w:type="dxa"/>
                  <w:gridSpan w:val="7"/>
                  <w:tcBorders>
                    <w:tl2br w:val="nil"/>
                    <w:tr2bl w:val="nil"/>
                  </w:tcBorders>
                  <w:vAlign w:val="center"/>
                </w:tcPr>
                <w:p w14:paraId="19EC31AB">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hAnsi="宋体"/>
                      <w:color w:val="auto"/>
                      <w:sz w:val="18"/>
                      <w:szCs w:val="18"/>
                      <w:lang w:val="en-US" w:eastAsia="zh-CN"/>
                    </w:rPr>
                  </w:pPr>
                  <w:r>
                    <w:rPr>
                      <w:rFonts w:hint="eastAsia" w:hAnsi="宋体"/>
                      <w:color w:val="auto"/>
                      <w:sz w:val="18"/>
                      <w:szCs w:val="18"/>
                      <w:lang w:val="en-US" w:eastAsia="zh-CN"/>
                    </w:rPr>
                    <w:t>注：以上资料来源于福建省生态环境厅公布的《福建省危险废物经营许可证发放情况（2025年7月10日）》。</w:t>
                  </w:r>
                </w:p>
              </w:tc>
            </w:tr>
          </w:tbl>
          <w:p w14:paraId="50F355F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szCs w:val="24"/>
                <w:lang w:val="en-US"/>
              </w:rPr>
            </w:pPr>
            <w:r>
              <w:rPr>
                <w:rFonts w:hint="eastAsia" w:cs="Times New Roman"/>
                <w:color w:val="auto"/>
                <w:sz w:val="24"/>
                <w:szCs w:val="24"/>
                <w:vertAlign w:val="baseline"/>
                <w:lang w:val="en-US" w:eastAsia="zh-CN"/>
              </w:rPr>
              <w:t>（2）一般工业固体废物</w:t>
            </w:r>
          </w:p>
          <w:p w14:paraId="7F7C1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中华人民共和国固体废物污染环境防治法》和《一般工业固体废物管理台账制定指南(试行)》和《固体废物分类与代码目录》等文件的规定和要求建立一般工业固体废物管理台账，如实记录一般工业固体废物的种类、数量、流向、贮存、利用等信息。设专人负责台账的管理与归档，台账保存期限不少于5年。</w:t>
            </w:r>
          </w:p>
          <w:p w14:paraId="5C78069C">
            <w:pPr>
              <w:pStyle w:val="82"/>
              <w:keepNext w:val="0"/>
              <w:keepLines w:val="0"/>
              <w:pageBreakBefore w:val="0"/>
              <w:widowControl w:val="0"/>
              <w:numPr>
                <w:ilvl w:val="0"/>
                <w:numId w:val="12"/>
              </w:numPr>
              <w:kinsoku/>
              <w:wordWrap/>
              <w:overflowPunct/>
              <w:topLinePunct w:val="0"/>
              <w:autoSpaceDE/>
              <w:autoSpaceDN/>
              <w:bidi w:val="0"/>
              <w:adjustRightInd w:val="0"/>
              <w:snapToGrid w:val="0"/>
              <w:spacing w:before="157" w:beforeLines="50"/>
              <w:textAlignment w:val="auto"/>
              <w:rPr>
                <w:rFonts w:hint="eastAsia"/>
                <w:color w:val="auto"/>
                <w:sz w:val="24"/>
                <w:szCs w:val="24"/>
              </w:rPr>
            </w:pPr>
            <w:r>
              <w:rPr>
                <w:rFonts w:hint="eastAsia"/>
                <w:color w:val="auto"/>
                <w:sz w:val="24"/>
                <w:szCs w:val="24"/>
              </w:rPr>
              <w:t>土壤、地下水环境影响和保护措施</w:t>
            </w:r>
          </w:p>
          <w:p w14:paraId="03A27507">
            <w:pPr>
              <w:pStyle w:val="82"/>
              <w:rPr>
                <w:color w:val="auto"/>
                <w:sz w:val="24"/>
                <w:szCs w:val="24"/>
              </w:rPr>
            </w:pPr>
            <w:r>
              <w:rPr>
                <w:color w:val="auto"/>
                <w:sz w:val="24"/>
                <w:szCs w:val="24"/>
              </w:rPr>
              <w:t>5.1土壤</w:t>
            </w:r>
            <w:r>
              <w:rPr>
                <w:rFonts w:hint="eastAsia"/>
                <w:color w:val="auto"/>
                <w:sz w:val="24"/>
                <w:szCs w:val="24"/>
              </w:rPr>
              <w:t>、</w:t>
            </w:r>
            <w:r>
              <w:rPr>
                <w:color w:val="auto"/>
                <w:sz w:val="24"/>
                <w:szCs w:val="24"/>
              </w:rPr>
              <w:t>地下水污染源</w:t>
            </w:r>
            <w:r>
              <w:rPr>
                <w:rFonts w:hint="eastAsia"/>
                <w:color w:val="auto"/>
                <w:sz w:val="24"/>
                <w:szCs w:val="24"/>
              </w:rPr>
              <w:t>及污染途径</w:t>
            </w:r>
          </w:p>
          <w:p w14:paraId="0A7045AB">
            <w:pPr>
              <w:pStyle w:val="67"/>
              <w:ind w:firstLine="480"/>
              <w:rPr>
                <w:rFonts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rPr>
              <w:t>1）</w:t>
            </w:r>
            <w:r>
              <w:rPr>
                <w:color w:val="auto"/>
                <w:sz w:val="24"/>
                <w:szCs w:val="24"/>
              </w:rPr>
              <w:t>地下水</w:t>
            </w:r>
            <w:r>
              <w:rPr>
                <w:rFonts w:hint="eastAsia"/>
                <w:color w:val="auto"/>
                <w:sz w:val="24"/>
                <w:szCs w:val="24"/>
              </w:rPr>
              <w:t>、土壤</w:t>
            </w:r>
            <w:r>
              <w:rPr>
                <w:color w:val="auto"/>
                <w:sz w:val="24"/>
                <w:szCs w:val="24"/>
              </w:rPr>
              <w:t>污染源</w:t>
            </w:r>
          </w:p>
          <w:p w14:paraId="102D6679">
            <w:pPr>
              <w:pStyle w:val="69"/>
              <w:adjustRightInd w:val="0"/>
              <w:snapToGrid w:val="0"/>
              <w:spacing w:line="360" w:lineRule="auto"/>
              <w:rPr>
                <w:rFonts w:cs="Times New Roman"/>
                <w:color w:val="auto"/>
                <w:sz w:val="24"/>
                <w:szCs w:val="24"/>
              </w:rPr>
            </w:pPr>
            <w:r>
              <w:rPr>
                <w:rFonts w:hint="eastAsia" w:ascii="宋体" w:hAnsi="宋体"/>
                <w:color w:val="auto"/>
                <w:sz w:val="24"/>
                <w:szCs w:val="24"/>
              </w:rPr>
              <w:t>本项目属于污染型项目，针对项目特性，地下水、土壤污染源主要为车间、</w:t>
            </w:r>
            <w:r>
              <w:rPr>
                <w:rFonts w:hint="eastAsia" w:ascii="宋体" w:hAnsi="宋体"/>
                <w:color w:val="auto"/>
                <w:sz w:val="24"/>
                <w:szCs w:val="24"/>
                <w:lang w:val="en-US" w:eastAsia="zh-CN"/>
              </w:rPr>
              <w:t>危险废物贮存间</w:t>
            </w:r>
            <w:r>
              <w:rPr>
                <w:rFonts w:hint="eastAsia" w:ascii="宋体" w:hAnsi="宋体"/>
                <w:color w:val="auto"/>
                <w:sz w:val="24"/>
                <w:szCs w:val="24"/>
              </w:rPr>
              <w:t>等地面防渗层破裂，</w:t>
            </w:r>
            <w:r>
              <w:rPr>
                <w:rFonts w:hint="eastAsia" w:ascii="宋体" w:hAnsi="宋体"/>
                <w:color w:val="auto"/>
                <w:sz w:val="24"/>
                <w:szCs w:val="24"/>
                <w:lang w:val="en-US" w:eastAsia="zh-CN"/>
              </w:rPr>
              <w:t>危险废物</w:t>
            </w:r>
            <w:r>
              <w:rPr>
                <w:rFonts w:hint="eastAsia" w:ascii="宋体" w:hAnsi="宋体"/>
                <w:color w:val="auto"/>
                <w:sz w:val="24"/>
                <w:szCs w:val="24"/>
              </w:rPr>
              <w:t>等有害物泄漏并渗入地下导致地下水和土壤污染。各类固体废物处理不当，其中有害物质经雨水淋溶、流失，渗入地下导致地下水和土壤污染。</w:t>
            </w:r>
          </w:p>
          <w:p w14:paraId="38C0F006">
            <w:pPr>
              <w:pStyle w:val="69"/>
              <w:adjustRightInd w:val="0"/>
              <w:snapToGrid w:val="0"/>
              <w:spacing w:line="360" w:lineRule="auto"/>
              <w:rPr>
                <w:color w:val="auto"/>
                <w:sz w:val="24"/>
                <w:szCs w:val="24"/>
              </w:rPr>
            </w:pPr>
            <w:r>
              <w:rPr>
                <w:rFonts w:hint="eastAsia" w:cs="Times New Roman"/>
                <w:color w:val="auto"/>
                <w:sz w:val="24"/>
                <w:szCs w:val="24"/>
                <w:lang w:eastAsia="zh-CN"/>
              </w:rPr>
              <w:t>（</w:t>
            </w:r>
            <w:r>
              <w:rPr>
                <w:rFonts w:hint="eastAsia" w:cs="Times New Roman"/>
                <w:color w:val="auto"/>
                <w:sz w:val="24"/>
                <w:szCs w:val="24"/>
              </w:rPr>
              <w:t>2）</w:t>
            </w:r>
            <w:r>
              <w:rPr>
                <w:color w:val="auto"/>
                <w:sz w:val="24"/>
                <w:szCs w:val="24"/>
              </w:rPr>
              <w:t>地下水</w:t>
            </w:r>
            <w:r>
              <w:rPr>
                <w:rFonts w:hint="eastAsia"/>
                <w:color w:val="auto"/>
                <w:sz w:val="24"/>
                <w:szCs w:val="24"/>
              </w:rPr>
              <w:t>、土壤</w:t>
            </w:r>
            <w:r>
              <w:rPr>
                <w:color w:val="auto"/>
                <w:sz w:val="24"/>
                <w:szCs w:val="24"/>
              </w:rPr>
              <w:t>污染途径</w:t>
            </w:r>
          </w:p>
          <w:p w14:paraId="5CC4D545">
            <w:pPr>
              <w:pStyle w:val="69"/>
              <w:adjustRightInd w:val="0"/>
              <w:snapToGrid w:val="0"/>
              <w:spacing w:line="360" w:lineRule="auto"/>
              <w:rPr>
                <w:color w:val="auto"/>
                <w:sz w:val="24"/>
                <w:szCs w:val="24"/>
              </w:rPr>
            </w:pPr>
            <w:r>
              <w:rPr>
                <w:color w:val="auto"/>
                <w:sz w:val="24"/>
                <w:szCs w:val="24"/>
              </w:rPr>
              <w:t>本项目对地下水</w:t>
            </w:r>
            <w:r>
              <w:rPr>
                <w:rFonts w:hint="eastAsia"/>
                <w:color w:val="auto"/>
                <w:sz w:val="24"/>
                <w:szCs w:val="24"/>
              </w:rPr>
              <w:t>及土壤</w:t>
            </w:r>
            <w:r>
              <w:rPr>
                <w:color w:val="auto"/>
                <w:sz w:val="24"/>
                <w:szCs w:val="24"/>
              </w:rPr>
              <w:t>产生污染的途径主要是渗透污染。渗透污染是导致地下水污染的普遍和主要方式，主要产生可能性来自：</w:t>
            </w:r>
          </w:p>
          <w:p w14:paraId="06368FA9">
            <w:pPr>
              <w:spacing w:line="360" w:lineRule="auto"/>
              <w:ind w:firstLine="480" w:firstLineChars="200"/>
              <w:rPr>
                <w:color w:val="auto"/>
                <w:sz w:val="24"/>
                <w:szCs w:val="24"/>
              </w:rPr>
            </w:pPr>
            <w:r>
              <w:rPr>
                <w:rFonts w:hint="eastAsia"/>
                <w:color w:val="auto"/>
                <w:sz w:val="24"/>
                <w:szCs w:val="24"/>
              </w:rPr>
              <w:t>危险废物</w:t>
            </w:r>
            <w:r>
              <w:rPr>
                <w:color w:val="auto"/>
                <w:sz w:val="24"/>
                <w:szCs w:val="24"/>
              </w:rPr>
              <w:t>由于收集、贮放、运输、处置等环节的不严格或不妥善</w:t>
            </w:r>
            <w:r>
              <w:rPr>
                <w:rFonts w:hint="eastAsia"/>
                <w:color w:val="auto"/>
                <w:sz w:val="24"/>
                <w:szCs w:val="24"/>
              </w:rPr>
              <w:t>发生</w:t>
            </w:r>
            <w:r>
              <w:rPr>
                <w:color w:val="auto"/>
                <w:sz w:val="24"/>
                <w:szCs w:val="24"/>
              </w:rPr>
              <w:t>渗漏</w:t>
            </w:r>
            <w:r>
              <w:rPr>
                <w:rFonts w:hint="eastAsia"/>
                <w:color w:val="auto"/>
                <w:sz w:val="24"/>
                <w:szCs w:val="24"/>
              </w:rPr>
              <w:t>，从而</w:t>
            </w:r>
            <w:r>
              <w:rPr>
                <w:color w:val="auto"/>
                <w:sz w:val="24"/>
                <w:szCs w:val="24"/>
              </w:rPr>
              <w:t>造成土壤、地下水污染</w:t>
            </w:r>
            <w:r>
              <w:rPr>
                <w:rFonts w:hint="eastAsia"/>
                <w:color w:val="auto"/>
                <w:sz w:val="24"/>
                <w:szCs w:val="24"/>
              </w:rPr>
              <w:t>。</w:t>
            </w:r>
          </w:p>
          <w:p w14:paraId="763206D4">
            <w:pPr>
              <w:pStyle w:val="82"/>
              <w:rPr>
                <w:color w:val="auto"/>
                <w:sz w:val="24"/>
                <w:szCs w:val="24"/>
              </w:rPr>
            </w:pPr>
            <w:r>
              <w:rPr>
                <w:color w:val="auto"/>
                <w:sz w:val="24"/>
                <w:szCs w:val="24"/>
              </w:rPr>
              <w:t>5.</w:t>
            </w:r>
            <w:r>
              <w:rPr>
                <w:rFonts w:hint="eastAsia"/>
                <w:color w:val="auto"/>
                <w:sz w:val="24"/>
                <w:szCs w:val="24"/>
              </w:rPr>
              <w:t>2</w:t>
            </w:r>
            <w:r>
              <w:rPr>
                <w:color w:val="auto"/>
                <w:sz w:val="24"/>
                <w:szCs w:val="24"/>
              </w:rPr>
              <w:t>土壤</w:t>
            </w:r>
            <w:r>
              <w:rPr>
                <w:rFonts w:hint="eastAsia"/>
                <w:color w:val="auto"/>
                <w:sz w:val="24"/>
                <w:szCs w:val="24"/>
              </w:rPr>
              <w:t>、</w:t>
            </w:r>
            <w:r>
              <w:rPr>
                <w:color w:val="auto"/>
                <w:sz w:val="24"/>
                <w:szCs w:val="24"/>
              </w:rPr>
              <w:t>地下水影响分析</w:t>
            </w:r>
          </w:p>
          <w:p w14:paraId="783CFB4F">
            <w:pPr>
              <w:adjustRightInd w:val="0"/>
              <w:snapToGrid w:val="0"/>
              <w:spacing w:line="360" w:lineRule="auto"/>
              <w:ind w:firstLine="480" w:firstLineChars="200"/>
              <w:rPr>
                <w:color w:val="auto"/>
                <w:sz w:val="24"/>
                <w:szCs w:val="24"/>
              </w:rPr>
            </w:pPr>
            <w:r>
              <w:rPr>
                <w:bCs/>
                <w:color w:val="auto"/>
                <w:sz w:val="24"/>
                <w:szCs w:val="24"/>
              </w:rPr>
              <w:t>正常情况下</w:t>
            </w:r>
            <w:r>
              <w:rPr>
                <w:rFonts w:hint="eastAsia"/>
                <w:bCs/>
                <w:color w:val="auto"/>
                <w:sz w:val="24"/>
                <w:szCs w:val="24"/>
              </w:rPr>
              <w:t>，</w:t>
            </w:r>
            <w:r>
              <w:rPr>
                <w:bCs/>
                <w:color w:val="auto"/>
                <w:sz w:val="24"/>
                <w:szCs w:val="24"/>
              </w:rPr>
              <w:t>本项目</w:t>
            </w:r>
            <w:r>
              <w:rPr>
                <w:color w:val="auto"/>
                <w:sz w:val="24"/>
                <w:szCs w:val="24"/>
              </w:rPr>
              <w:t>对</w:t>
            </w:r>
            <w:r>
              <w:rPr>
                <w:rFonts w:hint="eastAsia"/>
                <w:color w:val="auto"/>
                <w:sz w:val="24"/>
                <w:szCs w:val="24"/>
                <w:lang w:val="en-US" w:eastAsia="zh-CN"/>
              </w:rPr>
              <w:t>危险废物</w:t>
            </w:r>
            <w:r>
              <w:rPr>
                <w:rFonts w:hint="eastAsia"/>
                <w:color w:val="auto"/>
                <w:sz w:val="24"/>
                <w:szCs w:val="24"/>
              </w:rPr>
              <w:t>贮存间、</w:t>
            </w:r>
            <w:r>
              <w:rPr>
                <w:rFonts w:hint="eastAsia"/>
                <w:color w:val="auto"/>
                <w:sz w:val="24"/>
                <w:szCs w:val="24"/>
                <w:lang w:val="en-US" w:eastAsia="zh-CN"/>
              </w:rPr>
              <w:t>生产车间</w:t>
            </w:r>
            <w:r>
              <w:rPr>
                <w:rFonts w:hint="eastAsia"/>
                <w:color w:val="auto"/>
                <w:sz w:val="24"/>
                <w:szCs w:val="24"/>
              </w:rPr>
              <w:t>等</w:t>
            </w:r>
            <w:r>
              <w:rPr>
                <w:rFonts w:hint="eastAsia"/>
                <w:color w:val="auto"/>
                <w:sz w:val="24"/>
                <w:szCs w:val="24"/>
                <w:lang w:val="en-US" w:eastAsia="zh-CN"/>
              </w:rPr>
              <w:t>区域</w:t>
            </w:r>
            <w:r>
              <w:rPr>
                <w:color w:val="auto"/>
                <w:sz w:val="24"/>
                <w:szCs w:val="24"/>
              </w:rPr>
              <w:t>进行严格的</w:t>
            </w:r>
            <w:r>
              <w:rPr>
                <w:rFonts w:hint="eastAsia"/>
                <w:color w:val="auto"/>
                <w:sz w:val="24"/>
                <w:szCs w:val="24"/>
              </w:rPr>
              <w:t>防腐</w:t>
            </w:r>
            <w:r>
              <w:rPr>
                <w:color w:val="auto"/>
                <w:sz w:val="24"/>
                <w:szCs w:val="24"/>
              </w:rPr>
              <w:t>防渗处理后，</w:t>
            </w:r>
            <w:r>
              <w:rPr>
                <w:bCs/>
                <w:color w:val="auto"/>
                <w:sz w:val="24"/>
                <w:szCs w:val="24"/>
              </w:rPr>
              <w:t>通过</w:t>
            </w:r>
            <w:r>
              <w:rPr>
                <w:color w:val="auto"/>
                <w:sz w:val="24"/>
                <w:szCs w:val="24"/>
              </w:rPr>
              <w:t>采取</w:t>
            </w:r>
            <w:r>
              <w:rPr>
                <w:rFonts w:hint="eastAsia"/>
                <w:color w:val="auto"/>
                <w:sz w:val="24"/>
                <w:szCs w:val="24"/>
              </w:rPr>
              <w:t>以上</w:t>
            </w:r>
            <w:r>
              <w:rPr>
                <w:color w:val="auto"/>
                <w:sz w:val="24"/>
                <w:szCs w:val="24"/>
              </w:rPr>
              <w:t>环保措施后，项目</w:t>
            </w:r>
            <w:r>
              <w:rPr>
                <w:rFonts w:hint="eastAsia"/>
                <w:color w:val="auto"/>
                <w:sz w:val="24"/>
                <w:szCs w:val="24"/>
                <w:lang w:val="en-US" w:eastAsia="zh-CN"/>
              </w:rPr>
              <w:t>产生的污染物等</w:t>
            </w:r>
            <w:r>
              <w:rPr>
                <w:color w:val="auto"/>
                <w:sz w:val="24"/>
                <w:szCs w:val="24"/>
              </w:rPr>
              <w:t>不会直接渗入土壤</w:t>
            </w:r>
            <w:r>
              <w:rPr>
                <w:rFonts w:hint="eastAsia"/>
                <w:color w:val="auto"/>
                <w:sz w:val="24"/>
                <w:szCs w:val="24"/>
              </w:rPr>
              <w:t>、地下水</w:t>
            </w:r>
            <w:r>
              <w:rPr>
                <w:color w:val="auto"/>
                <w:sz w:val="24"/>
                <w:szCs w:val="24"/>
              </w:rPr>
              <w:t>，</w:t>
            </w:r>
            <w:r>
              <w:rPr>
                <w:rFonts w:hint="eastAsia"/>
                <w:color w:val="auto"/>
                <w:sz w:val="24"/>
                <w:szCs w:val="24"/>
              </w:rPr>
              <w:t>基本</w:t>
            </w:r>
            <w:r>
              <w:rPr>
                <w:color w:val="auto"/>
                <w:sz w:val="24"/>
                <w:szCs w:val="24"/>
              </w:rPr>
              <w:t>不会对</w:t>
            </w:r>
            <w:r>
              <w:rPr>
                <w:rFonts w:hint="eastAsia"/>
                <w:color w:val="auto"/>
                <w:sz w:val="24"/>
                <w:szCs w:val="24"/>
              </w:rPr>
              <w:t>土壤、</w:t>
            </w:r>
            <w:r>
              <w:rPr>
                <w:color w:val="auto"/>
                <w:sz w:val="24"/>
                <w:szCs w:val="24"/>
              </w:rPr>
              <w:t>地下水造成影响。</w:t>
            </w:r>
          </w:p>
          <w:p w14:paraId="5681EF1F">
            <w:pPr>
              <w:pStyle w:val="82"/>
              <w:rPr>
                <w:color w:val="auto"/>
                <w:sz w:val="24"/>
                <w:szCs w:val="24"/>
              </w:rPr>
            </w:pPr>
            <w:r>
              <w:rPr>
                <w:color w:val="auto"/>
                <w:sz w:val="24"/>
                <w:szCs w:val="24"/>
              </w:rPr>
              <w:t>5.</w:t>
            </w:r>
            <w:r>
              <w:rPr>
                <w:rFonts w:hint="eastAsia"/>
                <w:color w:val="auto"/>
                <w:sz w:val="24"/>
                <w:szCs w:val="24"/>
                <w:lang w:val="en-US" w:eastAsia="zh-CN"/>
              </w:rPr>
              <w:t>3</w:t>
            </w:r>
            <w:r>
              <w:rPr>
                <w:rFonts w:hint="eastAsia"/>
                <w:color w:val="auto"/>
                <w:sz w:val="24"/>
                <w:szCs w:val="24"/>
              </w:rPr>
              <w:t>防范</w:t>
            </w:r>
            <w:r>
              <w:rPr>
                <w:color w:val="auto"/>
                <w:sz w:val="24"/>
                <w:szCs w:val="24"/>
              </w:rPr>
              <w:t>措施</w:t>
            </w:r>
          </w:p>
          <w:p w14:paraId="51BF67FB">
            <w:pPr>
              <w:pStyle w:val="69"/>
              <w:adjustRightInd w:val="0"/>
              <w:snapToGrid w:val="0"/>
              <w:spacing w:line="360" w:lineRule="auto"/>
              <w:rPr>
                <w:rFonts w:cs="Times New Roman"/>
                <w:color w:val="auto"/>
                <w:sz w:val="24"/>
                <w:szCs w:val="24"/>
              </w:rPr>
            </w:pPr>
            <w:r>
              <w:rPr>
                <w:rFonts w:hint="eastAsia"/>
                <w:color w:val="auto"/>
                <w:sz w:val="24"/>
                <w:szCs w:val="24"/>
              </w:rPr>
              <w:t>本项目对地下水和土壤可能造成污染主要集中在项目运行期。针对可能发生的地下水和土壤污染，本项目污染防治措施“源头控制、分区防渗、污染监控、应急响应”相结合的原则，从污染物的产生、入渗、扩散、应急响应全方位进行防控。</w:t>
            </w:r>
            <w:r>
              <w:rPr>
                <w:color w:val="auto"/>
                <w:sz w:val="24"/>
                <w:szCs w:val="24"/>
              </w:rPr>
              <w:t>鉴于本项目污染物产生和排放特点，针对土壤、地下水环境污染的可能途径，</w:t>
            </w:r>
            <w:r>
              <w:rPr>
                <w:rFonts w:cs="Times New Roman"/>
                <w:color w:val="auto"/>
                <w:sz w:val="24"/>
                <w:szCs w:val="24"/>
              </w:rPr>
              <w:t>为防止建设项目物料及废水下渗对地下水造成污染，</w:t>
            </w:r>
            <w:r>
              <w:rPr>
                <w:rFonts w:hint="eastAsia" w:cs="Times New Roman"/>
                <w:color w:val="auto"/>
                <w:sz w:val="24"/>
                <w:szCs w:val="24"/>
              </w:rPr>
              <w:t>本评价建议：</w:t>
            </w:r>
          </w:p>
          <w:p w14:paraId="3704DB5B">
            <w:pPr>
              <w:pStyle w:val="69"/>
              <w:adjustRightInd w:val="0"/>
              <w:snapToGrid w:val="0"/>
              <w:spacing w:line="360" w:lineRule="auto"/>
              <w:rPr>
                <w:color w:val="auto"/>
                <w:sz w:val="24"/>
                <w:szCs w:val="24"/>
              </w:rPr>
            </w:pPr>
            <w:bookmarkStart w:id="31" w:name="_Toc477939821"/>
            <w:bookmarkStart w:id="32" w:name="_Toc28270"/>
            <w:r>
              <w:rPr>
                <w:rFonts w:hint="eastAsia" w:cs="Times New Roman"/>
                <w:color w:val="auto"/>
                <w:sz w:val="24"/>
                <w:szCs w:val="24"/>
                <w:lang w:eastAsia="zh-CN"/>
              </w:rPr>
              <w:t>（</w:t>
            </w:r>
            <w:r>
              <w:rPr>
                <w:rFonts w:hint="eastAsia"/>
                <w:color w:val="auto"/>
                <w:sz w:val="24"/>
                <w:szCs w:val="24"/>
              </w:rPr>
              <w:t>1）源头控制</w:t>
            </w:r>
            <w:bookmarkEnd w:id="31"/>
            <w:bookmarkEnd w:id="32"/>
          </w:p>
          <w:p w14:paraId="505FFD5C">
            <w:pPr>
              <w:pStyle w:val="69"/>
              <w:adjustRightInd w:val="0"/>
              <w:snapToGrid w:val="0"/>
              <w:spacing w:line="360" w:lineRule="auto"/>
              <w:rPr>
                <w:color w:val="auto"/>
                <w:sz w:val="24"/>
                <w:szCs w:val="24"/>
              </w:rPr>
            </w:pPr>
            <w:r>
              <w:rPr>
                <w:rFonts w:hint="eastAsia"/>
                <w:color w:val="auto"/>
                <w:sz w:val="24"/>
                <w:szCs w:val="24"/>
              </w:rPr>
              <w:t>采用先进的技术、工艺、设备，实施清洁生产，防止跑冒滴漏，防止污染物泄漏；厂区</w:t>
            </w:r>
            <w:r>
              <w:rPr>
                <w:rFonts w:hint="eastAsia"/>
                <w:color w:val="auto"/>
                <w:sz w:val="24"/>
                <w:szCs w:val="24"/>
                <w:lang w:val="en-US" w:eastAsia="zh-CN"/>
              </w:rPr>
              <w:t>地面</w:t>
            </w:r>
            <w:r>
              <w:rPr>
                <w:rFonts w:hint="eastAsia"/>
                <w:color w:val="auto"/>
                <w:sz w:val="24"/>
                <w:szCs w:val="24"/>
              </w:rPr>
              <w:t>硬化，注意工作场所地面的防腐防渗要求，腐蚀性等级为中等腐蚀，防止污染物下渗，污染土壤和地下水环境。</w:t>
            </w:r>
          </w:p>
          <w:p w14:paraId="0D87A152">
            <w:pPr>
              <w:spacing w:line="360" w:lineRule="auto"/>
              <w:ind w:firstLine="480" w:firstLineChars="200"/>
              <w:rPr>
                <w:rFonts w:cs="宋体"/>
                <w:color w:val="auto"/>
                <w:sz w:val="24"/>
                <w:szCs w:val="24"/>
              </w:rPr>
            </w:pPr>
            <w:bookmarkStart w:id="33" w:name="_Toc20461"/>
            <w:bookmarkStart w:id="34" w:name="_Toc477939822"/>
            <w:r>
              <w:rPr>
                <w:rFonts w:hint="eastAsia" w:cs="Times New Roman"/>
                <w:color w:val="auto"/>
                <w:sz w:val="24"/>
                <w:szCs w:val="24"/>
                <w:lang w:eastAsia="zh-CN"/>
              </w:rPr>
              <w:t>（</w:t>
            </w:r>
            <w:r>
              <w:rPr>
                <w:rFonts w:hint="eastAsia"/>
                <w:color w:val="auto"/>
                <w:sz w:val="24"/>
                <w:szCs w:val="24"/>
              </w:rPr>
              <w:t>2）</w:t>
            </w:r>
            <w:r>
              <w:rPr>
                <w:color w:val="auto"/>
                <w:sz w:val="24"/>
                <w:szCs w:val="24"/>
              </w:rPr>
              <w:t>项目原料、一般固废和危险废物分类存放于相应的暂存库内，不设置露天堆场</w:t>
            </w:r>
            <w:r>
              <w:rPr>
                <w:rFonts w:hint="eastAsia"/>
                <w:color w:val="auto"/>
                <w:sz w:val="24"/>
                <w:szCs w:val="24"/>
              </w:rPr>
              <w:t>。</w:t>
            </w:r>
          </w:p>
          <w:p w14:paraId="274473AC">
            <w:pPr>
              <w:pStyle w:val="69"/>
              <w:adjustRightInd w:val="0"/>
              <w:snapToGrid w:val="0"/>
              <w:spacing w:line="360" w:lineRule="auto"/>
              <w:rPr>
                <w:color w:val="auto"/>
                <w:sz w:val="24"/>
                <w:szCs w:val="24"/>
              </w:rPr>
            </w:pPr>
            <w:r>
              <w:rPr>
                <w:rFonts w:hint="eastAsia" w:cs="Times New Roman"/>
                <w:color w:val="auto"/>
                <w:sz w:val="24"/>
                <w:szCs w:val="24"/>
                <w:lang w:eastAsia="zh-CN"/>
              </w:rPr>
              <w:t>（</w:t>
            </w:r>
            <w:r>
              <w:rPr>
                <w:rFonts w:hint="eastAsia"/>
                <w:color w:val="auto"/>
                <w:sz w:val="24"/>
                <w:szCs w:val="24"/>
              </w:rPr>
              <w:t>3）分区防控措施</w:t>
            </w:r>
            <w:bookmarkEnd w:id="33"/>
            <w:bookmarkEnd w:id="34"/>
          </w:p>
          <w:p w14:paraId="08165FC2">
            <w:pPr>
              <w:pStyle w:val="67"/>
              <w:ind w:firstLine="480"/>
              <w:rPr>
                <w:rFonts w:cs="Times New Roman"/>
                <w:color w:val="auto"/>
                <w:sz w:val="24"/>
                <w:szCs w:val="24"/>
              </w:rPr>
            </w:pPr>
            <w:r>
              <w:rPr>
                <w:rFonts w:hint="eastAsia"/>
                <w:color w:val="auto"/>
                <w:sz w:val="24"/>
                <w:szCs w:val="24"/>
              </w:rPr>
              <w:t>根据项目各功能单元是否可能对地下水造成污染及其风险程度，将项目所在区域划分为重点防渗区、一般防渗区和简单防渗区。</w:t>
            </w:r>
          </w:p>
          <w:p w14:paraId="15FA9CA8">
            <w:pPr>
              <w:pStyle w:val="67"/>
              <w:ind w:firstLine="480"/>
              <w:rPr>
                <w:rFonts w:hint="eastAsia"/>
                <w:color w:val="auto"/>
                <w:sz w:val="24"/>
                <w:szCs w:val="24"/>
              </w:rPr>
            </w:pPr>
            <w:r>
              <w:rPr>
                <w:rFonts w:hint="eastAsia"/>
                <w:color w:val="auto"/>
                <w:sz w:val="24"/>
                <w:szCs w:val="24"/>
              </w:rPr>
              <w:t>①重点防渗区</w:t>
            </w:r>
          </w:p>
          <w:p w14:paraId="0FD9A161">
            <w:pPr>
              <w:pStyle w:val="67"/>
              <w:ind w:firstLine="480"/>
              <w:rPr>
                <w:rFonts w:hint="eastAsia"/>
                <w:color w:val="auto"/>
                <w:sz w:val="24"/>
                <w:szCs w:val="24"/>
              </w:rPr>
            </w:pPr>
            <w:r>
              <w:rPr>
                <w:rFonts w:hint="eastAsia"/>
                <w:color w:val="auto"/>
                <w:sz w:val="24"/>
                <w:szCs w:val="24"/>
              </w:rPr>
              <w:t>指对地下水有污染的物料或者污染物泄</w:t>
            </w:r>
            <w:r>
              <w:rPr>
                <w:rFonts w:hint="eastAsia"/>
                <w:color w:val="auto"/>
                <w:sz w:val="24"/>
                <w:szCs w:val="24"/>
                <w:lang w:val="en-US" w:eastAsia="zh-CN"/>
              </w:rPr>
              <w:t>漏</w:t>
            </w:r>
            <w:r>
              <w:rPr>
                <w:rFonts w:hint="eastAsia"/>
                <w:color w:val="auto"/>
                <w:sz w:val="24"/>
                <w:szCs w:val="24"/>
              </w:rPr>
              <w:t>后，不能及时发现和处理的区域或者部位，主要为</w:t>
            </w:r>
            <w:r>
              <w:rPr>
                <w:rFonts w:hint="eastAsia"/>
                <w:color w:val="auto"/>
                <w:sz w:val="24"/>
                <w:szCs w:val="24"/>
                <w:lang w:val="en-US" w:eastAsia="zh-CN"/>
              </w:rPr>
              <w:t>危险废物贮存间</w:t>
            </w:r>
            <w:r>
              <w:rPr>
                <w:rFonts w:hint="eastAsia"/>
                <w:color w:val="auto"/>
                <w:sz w:val="24"/>
                <w:szCs w:val="24"/>
              </w:rPr>
              <w:t>。</w:t>
            </w:r>
          </w:p>
          <w:p w14:paraId="76F37661">
            <w:pPr>
              <w:pStyle w:val="67"/>
              <w:ind w:firstLine="480"/>
              <w:rPr>
                <w:rFonts w:hint="eastAsia"/>
                <w:color w:val="auto"/>
                <w:sz w:val="24"/>
                <w:szCs w:val="24"/>
              </w:rPr>
            </w:pPr>
            <w:r>
              <w:rPr>
                <w:rFonts w:hint="eastAsia"/>
                <w:color w:val="auto"/>
                <w:sz w:val="24"/>
                <w:szCs w:val="24"/>
              </w:rPr>
              <w:t>②一般防渗区</w:t>
            </w:r>
          </w:p>
          <w:p w14:paraId="1A53E228">
            <w:pPr>
              <w:pStyle w:val="67"/>
              <w:ind w:firstLine="480"/>
              <w:rPr>
                <w:rFonts w:hint="eastAsia"/>
                <w:color w:val="auto"/>
                <w:sz w:val="24"/>
                <w:szCs w:val="24"/>
              </w:rPr>
            </w:pPr>
            <w:r>
              <w:rPr>
                <w:rFonts w:hint="eastAsia"/>
                <w:color w:val="auto"/>
                <w:sz w:val="24"/>
                <w:szCs w:val="24"/>
              </w:rPr>
              <w:t>指对地下水环境有污染的物料或者污染物泄</w:t>
            </w:r>
            <w:r>
              <w:rPr>
                <w:rFonts w:hint="eastAsia"/>
                <w:color w:val="auto"/>
                <w:sz w:val="24"/>
                <w:szCs w:val="24"/>
                <w:lang w:val="en-US" w:eastAsia="zh-CN"/>
              </w:rPr>
              <w:t>漏</w:t>
            </w:r>
            <w:r>
              <w:rPr>
                <w:rFonts w:hint="eastAsia"/>
                <w:color w:val="auto"/>
                <w:sz w:val="24"/>
                <w:szCs w:val="24"/>
              </w:rPr>
              <w:t>后，可及时发现和处理的区域或部位，主要为</w:t>
            </w:r>
            <w:r>
              <w:rPr>
                <w:rFonts w:hint="eastAsia"/>
                <w:color w:val="auto"/>
                <w:sz w:val="24"/>
                <w:szCs w:val="24"/>
                <w:lang w:val="en-US" w:eastAsia="zh-CN"/>
              </w:rPr>
              <w:t>1#、</w:t>
            </w:r>
            <w:r>
              <w:rPr>
                <w:rFonts w:hint="eastAsia"/>
                <w:color w:val="auto"/>
                <w:sz w:val="24"/>
                <w:szCs w:val="24"/>
              </w:rPr>
              <w:t>2#</w:t>
            </w: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rPr>
              <w:t>厂房生产区域。</w:t>
            </w:r>
          </w:p>
          <w:p w14:paraId="2F6C974F">
            <w:pPr>
              <w:pStyle w:val="67"/>
              <w:ind w:firstLine="480"/>
              <w:rPr>
                <w:rFonts w:hint="eastAsia"/>
                <w:color w:val="auto"/>
                <w:sz w:val="24"/>
                <w:szCs w:val="24"/>
              </w:rPr>
            </w:pPr>
            <w:r>
              <w:rPr>
                <w:rFonts w:hint="eastAsia"/>
                <w:color w:val="auto"/>
                <w:sz w:val="24"/>
                <w:szCs w:val="24"/>
              </w:rPr>
              <w:t>③简单防渗区</w:t>
            </w:r>
          </w:p>
          <w:p w14:paraId="5B2C29CA">
            <w:pPr>
              <w:pStyle w:val="67"/>
              <w:ind w:firstLine="480"/>
              <w:rPr>
                <w:rFonts w:hint="eastAsia"/>
                <w:color w:val="auto"/>
                <w:sz w:val="24"/>
                <w:szCs w:val="24"/>
              </w:rPr>
            </w:pPr>
            <w:r>
              <w:rPr>
                <w:rFonts w:hint="eastAsia"/>
                <w:color w:val="auto"/>
                <w:sz w:val="24"/>
                <w:szCs w:val="24"/>
              </w:rPr>
              <w:t>指一般和重点污染防渗区以外的区域或部位，主要包括厂区道路、办公区等。</w:t>
            </w:r>
          </w:p>
          <w:p w14:paraId="7D30C277">
            <w:pPr>
              <w:pStyle w:val="67"/>
              <w:ind w:firstLine="480"/>
              <w:rPr>
                <w:rFonts w:hint="default" w:eastAsia="宋体"/>
                <w:color w:val="auto"/>
                <w:sz w:val="24"/>
                <w:szCs w:val="24"/>
                <w:lang w:val="en-US" w:eastAsia="zh-CN"/>
              </w:rPr>
            </w:pPr>
            <w:r>
              <w:rPr>
                <w:rFonts w:hint="eastAsia"/>
                <w:color w:val="auto"/>
                <w:sz w:val="24"/>
                <w:szCs w:val="24"/>
                <w:lang w:val="en-US" w:eastAsia="zh-CN"/>
              </w:rPr>
              <w:t>项目厂区分区防渗图见附图12。</w:t>
            </w:r>
          </w:p>
          <w:p w14:paraId="3143C6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rPr>
            </w:pPr>
            <w:r>
              <w:rPr>
                <w:rFonts w:hint="eastAsia"/>
                <w:b/>
                <w:color w:val="auto"/>
                <w:sz w:val="24"/>
                <w:szCs w:val="24"/>
              </w:rPr>
              <w:t>表4-</w:t>
            </w:r>
            <w:r>
              <w:rPr>
                <w:rFonts w:hint="eastAsia"/>
                <w:b/>
                <w:color w:val="auto"/>
                <w:sz w:val="24"/>
                <w:szCs w:val="24"/>
                <w:lang w:val="en-US" w:eastAsia="zh-CN"/>
              </w:rPr>
              <w:t>43</w:t>
            </w:r>
            <w:r>
              <w:rPr>
                <w:rFonts w:hint="eastAsia"/>
                <w:b/>
                <w:color w:val="auto"/>
                <w:sz w:val="24"/>
                <w:szCs w:val="24"/>
              </w:rPr>
              <w:t xml:space="preserve">  污染防渗分区措施</w:t>
            </w:r>
          </w:p>
          <w:tbl>
            <w:tblPr>
              <w:tblStyle w:val="29"/>
              <w:tblW w:w="84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489"/>
              <w:gridCol w:w="825"/>
              <w:gridCol w:w="983"/>
              <w:gridCol w:w="2600"/>
              <w:gridCol w:w="1924"/>
            </w:tblGrid>
            <w:tr w14:paraId="6EEE5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14:paraId="1015990B">
                  <w:pPr>
                    <w:snapToGrid w:val="0"/>
                    <w:jc w:val="center"/>
                    <w:rPr>
                      <w:b/>
                      <w:bCs/>
                      <w:color w:val="auto"/>
                      <w:sz w:val="18"/>
                      <w:szCs w:val="18"/>
                    </w:rPr>
                  </w:pPr>
                  <w:r>
                    <w:rPr>
                      <w:b/>
                      <w:bCs/>
                      <w:color w:val="auto"/>
                      <w:sz w:val="18"/>
                      <w:szCs w:val="18"/>
                    </w:rPr>
                    <w:t>序号</w:t>
                  </w:r>
                </w:p>
              </w:tc>
              <w:tc>
                <w:tcPr>
                  <w:tcW w:w="1367" w:type="pct"/>
                  <w:gridSpan w:val="2"/>
                  <w:tcBorders>
                    <w:tl2br w:val="nil"/>
                    <w:tr2bl w:val="nil"/>
                  </w:tcBorders>
                  <w:vAlign w:val="center"/>
                </w:tcPr>
                <w:p w14:paraId="279CF5EE">
                  <w:pPr>
                    <w:snapToGrid w:val="0"/>
                    <w:jc w:val="center"/>
                    <w:rPr>
                      <w:b/>
                      <w:bCs/>
                      <w:color w:val="auto"/>
                      <w:sz w:val="18"/>
                      <w:szCs w:val="18"/>
                    </w:rPr>
                  </w:pPr>
                  <w:r>
                    <w:rPr>
                      <w:b/>
                      <w:bCs/>
                      <w:color w:val="auto"/>
                      <w:sz w:val="18"/>
                      <w:szCs w:val="18"/>
                    </w:rPr>
                    <w:t>防渗区域或部位</w:t>
                  </w:r>
                </w:p>
              </w:tc>
              <w:tc>
                <w:tcPr>
                  <w:tcW w:w="580" w:type="pct"/>
                  <w:tcBorders>
                    <w:tl2br w:val="nil"/>
                    <w:tr2bl w:val="nil"/>
                  </w:tcBorders>
                  <w:vAlign w:val="center"/>
                </w:tcPr>
                <w:p w14:paraId="4B936CC3">
                  <w:pPr>
                    <w:snapToGrid w:val="0"/>
                    <w:jc w:val="center"/>
                    <w:rPr>
                      <w:b/>
                      <w:bCs/>
                      <w:color w:val="auto"/>
                      <w:sz w:val="18"/>
                      <w:szCs w:val="18"/>
                    </w:rPr>
                  </w:pPr>
                  <w:r>
                    <w:rPr>
                      <w:b/>
                      <w:bCs/>
                      <w:color w:val="auto"/>
                      <w:sz w:val="18"/>
                      <w:szCs w:val="18"/>
                    </w:rPr>
                    <w:t>防渗等级</w:t>
                  </w:r>
                </w:p>
              </w:tc>
              <w:tc>
                <w:tcPr>
                  <w:tcW w:w="1536" w:type="pct"/>
                  <w:tcBorders>
                    <w:tl2br w:val="nil"/>
                    <w:tr2bl w:val="nil"/>
                  </w:tcBorders>
                  <w:vAlign w:val="center"/>
                </w:tcPr>
                <w:p w14:paraId="71C046FF">
                  <w:pPr>
                    <w:snapToGrid w:val="0"/>
                    <w:jc w:val="center"/>
                    <w:rPr>
                      <w:b/>
                      <w:bCs/>
                      <w:color w:val="auto"/>
                      <w:sz w:val="18"/>
                      <w:szCs w:val="18"/>
                    </w:rPr>
                  </w:pPr>
                  <w:r>
                    <w:rPr>
                      <w:b/>
                      <w:bCs/>
                      <w:color w:val="auto"/>
                      <w:sz w:val="18"/>
                      <w:szCs w:val="18"/>
                    </w:rPr>
                    <w:t>防渗要求</w:t>
                  </w:r>
                </w:p>
              </w:tc>
              <w:tc>
                <w:tcPr>
                  <w:tcW w:w="1136" w:type="pct"/>
                  <w:tcBorders>
                    <w:tl2br w:val="nil"/>
                    <w:tr2bl w:val="nil"/>
                  </w:tcBorders>
                  <w:vAlign w:val="center"/>
                </w:tcPr>
                <w:p w14:paraId="1AE05722">
                  <w:pPr>
                    <w:snapToGrid w:val="0"/>
                    <w:jc w:val="center"/>
                    <w:rPr>
                      <w:rFonts w:hint="default" w:eastAsia="宋体"/>
                      <w:b/>
                      <w:bCs/>
                      <w:color w:val="auto"/>
                      <w:sz w:val="18"/>
                      <w:szCs w:val="18"/>
                      <w:lang w:val="en-US" w:eastAsia="zh-CN"/>
                    </w:rPr>
                  </w:pPr>
                  <w:r>
                    <w:rPr>
                      <w:rFonts w:hint="eastAsia"/>
                      <w:b/>
                      <w:bCs/>
                      <w:color w:val="auto"/>
                      <w:sz w:val="18"/>
                      <w:szCs w:val="18"/>
                      <w:lang w:val="en-US" w:eastAsia="zh-CN"/>
                    </w:rPr>
                    <w:t>防渗设计</w:t>
                  </w:r>
                </w:p>
              </w:tc>
            </w:tr>
            <w:tr w14:paraId="7B52E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14:paraId="128AD3C9">
                  <w:pPr>
                    <w:snapToGrid w:val="0"/>
                    <w:jc w:val="center"/>
                    <w:rPr>
                      <w:color w:val="auto"/>
                      <w:sz w:val="18"/>
                      <w:szCs w:val="18"/>
                    </w:rPr>
                  </w:pPr>
                  <w:r>
                    <w:rPr>
                      <w:color w:val="auto"/>
                      <w:sz w:val="18"/>
                      <w:szCs w:val="18"/>
                    </w:rPr>
                    <w:t>1</w:t>
                  </w:r>
                </w:p>
              </w:tc>
              <w:tc>
                <w:tcPr>
                  <w:tcW w:w="879" w:type="pct"/>
                  <w:tcBorders>
                    <w:tl2br w:val="nil"/>
                    <w:tr2bl w:val="nil"/>
                  </w:tcBorders>
                  <w:vAlign w:val="center"/>
                </w:tcPr>
                <w:p w14:paraId="72EB8CF9">
                  <w:pPr>
                    <w:snapToGrid w:val="0"/>
                    <w:jc w:val="center"/>
                    <w:rPr>
                      <w:color w:val="auto"/>
                      <w:sz w:val="18"/>
                      <w:szCs w:val="18"/>
                    </w:rPr>
                  </w:pPr>
                  <w:r>
                    <w:rPr>
                      <w:rFonts w:hint="eastAsia"/>
                      <w:color w:val="auto"/>
                      <w:sz w:val="18"/>
                      <w:szCs w:val="18"/>
                    </w:rPr>
                    <w:t>危险废物贮存间</w:t>
                  </w:r>
                </w:p>
              </w:tc>
              <w:tc>
                <w:tcPr>
                  <w:tcW w:w="487" w:type="pct"/>
                  <w:tcBorders>
                    <w:tl2br w:val="nil"/>
                    <w:tr2bl w:val="nil"/>
                  </w:tcBorders>
                  <w:vAlign w:val="center"/>
                </w:tcPr>
                <w:p w14:paraId="518C2D2F">
                  <w:pPr>
                    <w:snapToGrid w:val="0"/>
                    <w:jc w:val="center"/>
                    <w:rPr>
                      <w:color w:val="auto"/>
                      <w:sz w:val="18"/>
                      <w:szCs w:val="18"/>
                    </w:rPr>
                  </w:pPr>
                  <w:r>
                    <w:rPr>
                      <w:color w:val="auto"/>
                      <w:sz w:val="18"/>
                      <w:szCs w:val="18"/>
                    </w:rPr>
                    <w:t>地面</w:t>
                  </w:r>
                  <w:r>
                    <w:rPr>
                      <w:rFonts w:hint="eastAsia"/>
                      <w:color w:val="auto"/>
                      <w:sz w:val="18"/>
                      <w:szCs w:val="18"/>
                    </w:rPr>
                    <w:t>、裙角</w:t>
                  </w:r>
                </w:p>
              </w:tc>
              <w:tc>
                <w:tcPr>
                  <w:tcW w:w="580" w:type="pct"/>
                  <w:tcBorders>
                    <w:tl2br w:val="nil"/>
                    <w:tr2bl w:val="nil"/>
                  </w:tcBorders>
                  <w:vAlign w:val="center"/>
                </w:tcPr>
                <w:p w14:paraId="09AE4051">
                  <w:pPr>
                    <w:snapToGrid w:val="0"/>
                    <w:jc w:val="center"/>
                    <w:rPr>
                      <w:color w:val="auto"/>
                      <w:sz w:val="18"/>
                      <w:szCs w:val="18"/>
                    </w:rPr>
                  </w:pPr>
                  <w:r>
                    <w:rPr>
                      <w:color w:val="auto"/>
                      <w:sz w:val="18"/>
                      <w:szCs w:val="18"/>
                    </w:rPr>
                    <w:t>重点污染防治区</w:t>
                  </w:r>
                </w:p>
              </w:tc>
              <w:tc>
                <w:tcPr>
                  <w:tcW w:w="1536" w:type="pct"/>
                  <w:tcBorders>
                    <w:tl2br w:val="nil"/>
                    <w:tr2bl w:val="nil"/>
                  </w:tcBorders>
                  <w:vAlign w:val="center"/>
                </w:tcPr>
                <w:p w14:paraId="7CE6078A">
                  <w:pPr>
                    <w:snapToGrid w:val="0"/>
                    <w:rPr>
                      <w:color w:val="auto"/>
                      <w:sz w:val="18"/>
                      <w:szCs w:val="18"/>
                    </w:rPr>
                  </w:pPr>
                  <w:r>
                    <w:rPr>
                      <w:rFonts w:hint="eastAsia"/>
                      <w:color w:val="auto"/>
                      <w:sz w:val="18"/>
                      <w:szCs w:val="18"/>
                    </w:rPr>
                    <w:t>基础必须防渗，防渗层为至少1m厚粘土层（渗透系数≤10</w:t>
                  </w:r>
                  <w:r>
                    <w:rPr>
                      <w:rFonts w:hint="eastAsia"/>
                      <w:color w:val="auto"/>
                      <w:sz w:val="18"/>
                      <w:szCs w:val="18"/>
                      <w:vertAlign w:val="superscript"/>
                    </w:rPr>
                    <w:t>-7</w:t>
                  </w:r>
                  <w:r>
                    <w:rPr>
                      <w:rFonts w:hint="eastAsia"/>
                      <w:color w:val="auto"/>
                      <w:sz w:val="18"/>
                      <w:szCs w:val="18"/>
                    </w:rPr>
                    <w:t>cm/s）或2mm厚高密度聚乙烯，或至少2mm厚的其他人工材料，渗透系数≤10</w:t>
                  </w:r>
                  <w:r>
                    <w:rPr>
                      <w:rFonts w:hint="eastAsia"/>
                      <w:color w:val="auto"/>
                      <w:sz w:val="18"/>
                      <w:szCs w:val="18"/>
                      <w:vertAlign w:val="superscript"/>
                    </w:rPr>
                    <w:t>-10</w:t>
                  </w:r>
                  <w:r>
                    <w:rPr>
                      <w:rFonts w:hint="eastAsia"/>
                      <w:color w:val="auto"/>
                      <w:sz w:val="18"/>
                      <w:szCs w:val="18"/>
                    </w:rPr>
                    <w:t>cm/s</w:t>
                  </w:r>
                </w:p>
              </w:tc>
              <w:tc>
                <w:tcPr>
                  <w:tcW w:w="1136" w:type="pct"/>
                  <w:tcBorders>
                    <w:tl2br w:val="nil"/>
                    <w:tr2bl w:val="nil"/>
                  </w:tcBorders>
                  <w:vAlign w:val="center"/>
                </w:tcPr>
                <w:p w14:paraId="6DE3ACFA">
                  <w:pPr>
                    <w:snapToGrid w:val="0"/>
                    <w:jc w:val="center"/>
                    <w:rPr>
                      <w:rFonts w:hint="eastAsia" w:eastAsia="宋体"/>
                      <w:color w:val="auto"/>
                      <w:sz w:val="18"/>
                      <w:szCs w:val="18"/>
                      <w:lang w:val="en-US" w:eastAsia="zh-CN"/>
                    </w:rPr>
                  </w:pPr>
                  <w:r>
                    <w:rPr>
                      <w:color w:val="auto"/>
                      <w:sz w:val="18"/>
                      <w:szCs w:val="18"/>
                    </w:rPr>
                    <w:t>等效黏土防渗层Mb≧6.0m，渗透系数≤10</w:t>
                  </w:r>
                  <w:r>
                    <w:rPr>
                      <w:color w:val="auto"/>
                      <w:sz w:val="18"/>
                      <w:szCs w:val="18"/>
                      <w:vertAlign w:val="superscript"/>
                    </w:rPr>
                    <w:t>-7</w:t>
                  </w:r>
                  <w:r>
                    <w:rPr>
                      <w:color w:val="auto"/>
                      <w:sz w:val="18"/>
                      <w:szCs w:val="18"/>
                    </w:rPr>
                    <w:t>cm/s</w:t>
                  </w:r>
                </w:p>
              </w:tc>
            </w:tr>
            <w:tr w14:paraId="0E10E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14:paraId="0611CF4E">
                  <w:pPr>
                    <w:snapToGrid w:val="0"/>
                    <w:jc w:val="center"/>
                    <w:rPr>
                      <w:rFonts w:hint="eastAsia" w:eastAsia="宋体"/>
                      <w:color w:val="auto"/>
                      <w:sz w:val="18"/>
                      <w:szCs w:val="18"/>
                      <w:lang w:eastAsia="zh-CN"/>
                    </w:rPr>
                  </w:pPr>
                  <w:r>
                    <w:rPr>
                      <w:rFonts w:hint="eastAsia"/>
                      <w:color w:val="auto"/>
                      <w:sz w:val="18"/>
                      <w:szCs w:val="18"/>
                      <w:lang w:val="en-US" w:eastAsia="zh-CN"/>
                    </w:rPr>
                    <w:t>2</w:t>
                  </w:r>
                </w:p>
              </w:tc>
              <w:tc>
                <w:tcPr>
                  <w:tcW w:w="879" w:type="pct"/>
                  <w:tcBorders>
                    <w:tl2br w:val="nil"/>
                    <w:tr2bl w:val="nil"/>
                  </w:tcBorders>
                  <w:vAlign w:val="center"/>
                </w:tcPr>
                <w:p w14:paraId="744A9AEE">
                  <w:pPr>
                    <w:snapToGrid w:val="0"/>
                    <w:jc w:val="center"/>
                    <w:rPr>
                      <w:rFonts w:hint="default" w:eastAsia="宋体"/>
                      <w:color w:val="auto"/>
                      <w:sz w:val="18"/>
                      <w:szCs w:val="18"/>
                      <w:lang w:val="en-US" w:eastAsia="zh-CN"/>
                    </w:rPr>
                  </w:pPr>
                  <w:r>
                    <w:rPr>
                      <w:rFonts w:hint="default" w:eastAsia="宋体"/>
                      <w:color w:val="auto"/>
                      <w:sz w:val="18"/>
                      <w:szCs w:val="18"/>
                      <w:lang w:val="en-US" w:eastAsia="zh-CN"/>
                    </w:rPr>
                    <w:t>1#、2#、3#厂房</w:t>
                  </w:r>
                </w:p>
              </w:tc>
              <w:tc>
                <w:tcPr>
                  <w:tcW w:w="487" w:type="pct"/>
                  <w:tcBorders>
                    <w:tl2br w:val="nil"/>
                    <w:tr2bl w:val="nil"/>
                  </w:tcBorders>
                  <w:vAlign w:val="center"/>
                </w:tcPr>
                <w:p w14:paraId="6D26941E">
                  <w:pPr>
                    <w:snapToGrid w:val="0"/>
                    <w:jc w:val="center"/>
                    <w:rPr>
                      <w:color w:val="auto"/>
                      <w:kern w:val="18"/>
                      <w:sz w:val="18"/>
                      <w:szCs w:val="18"/>
                    </w:rPr>
                  </w:pPr>
                  <w:r>
                    <w:rPr>
                      <w:rFonts w:hint="eastAsia"/>
                      <w:color w:val="auto"/>
                      <w:sz w:val="18"/>
                      <w:szCs w:val="18"/>
                    </w:rPr>
                    <w:t>地面</w:t>
                  </w:r>
                </w:p>
              </w:tc>
              <w:tc>
                <w:tcPr>
                  <w:tcW w:w="580" w:type="pct"/>
                  <w:vMerge w:val="restart"/>
                  <w:tcBorders>
                    <w:tl2br w:val="nil"/>
                    <w:tr2bl w:val="nil"/>
                  </w:tcBorders>
                  <w:vAlign w:val="center"/>
                </w:tcPr>
                <w:p w14:paraId="7C0D463F">
                  <w:pPr>
                    <w:snapToGrid w:val="0"/>
                    <w:jc w:val="center"/>
                    <w:rPr>
                      <w:color w:val="auto"/>
                      <w:sz w:val="18"/>
                      <w:szCs w:val="18"/>
                    </w:rPr>
                  </w:pPr>
                  <w:r>
                    <w:rPr>
                      <w:color w:val="auto"/>
                      <w:sz w:val="18"/>
                      <w:szCs w:val="18"/>
                    </w:rPr>
                    <w:t>一般防渗区</w:t>
                  </w:r>
                </w:p>
              </w:tc>
              <w:tc>
                <w:tcPr>
                  <w:tcW w:w="1536" w:type="pct"/>
                  <w:vMerge w:val="restart"/>
                  <w:tcBorders>
                    <w:tl2br w:val="nil"/>
                    <w:tr2bl w:val="nil"/>
                  </w:tcBorders>
                  <w:vAlign w:val="center"/>
                </w:tcPr>
                <w:p w14:paraId="244CC8C3">
                  <w:pPr>
                    <w:snapToGrid w:val="0"/>
                    <w:jc w:val="center"/>
                    <w:rPr>
                      <w:color w:val="auto"/>
                      <w:sz w:val="18"/>
                      <w:szCs w:val="18"/>
                    </w:rPr>
                  </w:pPr>
                  <w:r>
                    <w:rPr>
                      <w:rFonts w:hint="eastAsia"/>
                      <w:color w:val="auto"/>
                      <w:sz w:val="18"/>
                      <w:szCs w:val="18"/>
                    </w:rPr>
                    <w:t>一般污染防治区防渗层的防渗性能应等效于1.5m厚、渗透系数为1.0×10</w:t>
                  </w:r>
                  <w:r>
                    <w:rPr>
                      <w:rFonts w:hint="eastAsia"/>
                      <w:color w:val="auto"/>
                      <w:sz w:val="18"/>
                      <w:szCs w:val="18"/>
                      <w:vertAlign w:val="superscript"/>
                    </w:rPr>
                    <w:t>-7</w:t>
                  </w:r>
                  <w:r>
                    <w:rPr>
                      <w:rFonts w:hint="eastAsia"/>
                      <w:color w:val="auto"/>
                      <w:sz w:val="18"/>
                      <w:szCs w:val="18"/>
                    </w:rPr>
                    <w:t>cm/s的黏土层的防渗性能。</w:t>
                  </w:r>
                </w:p>
              </w:tc>
              <w:tc>
                <w:tcPr>
                  <w:tcW w:w="1136" w:type="pct"/>
                  <w:vMerge w:val="restart"/>
                  <w:tcBorders>
                    <w:tl2br w:val="nil"/>
                    <w:tr2bl w:val="nil"/>
                  </w:tcBorders>
                  <w:vAlign w:val="center"/>
                </w:tcPr>
                <w:p w14:paraId="23EF2F52">
                  <w:pPr>
                    <w:snapToGrid w:val="0"/>
                    <w:jc w:val="center"/>
                    <w:rPr>
                      <w:color w:val="auto"/>
                      <w:sz w:val="18"/>
                      <w:szCs w:val="18"/>
                    </w:rPr>
                  </w:pPr>
                  <w:r>
                    <w:rPr>
                      <w:color w:val="auto"/>
                      <w:sz w:val="18"/>
                      <w:szCs w:val="18"/>
                    </w:rPr>
                    <w:t>等效黏土防渗层Mb</w:t>
                  </w:r>
                  <w:r>
                    <w:rPr>
                      <w:rFonts w:hint="eastAsia" w:cs="宋体"/>
                      <w:color w:val="auto"/>
                      <w:sz w:val="18"/>
                      <w:szCs w:val="18"/>
                    </w:rPr>
                    <w:t>≧</w:t>
                  </w:r>
                  <w:r>
                    <w:rPr>
                      <w:color w:val="auto"/>
                      <w:sz w:val="18"/>
                      <w:szCs w:val="18"/>
                    </w:rPr>
                    <w:t>1.5m，渗透系数≤10</w:t>
                  </w:r>
                  <w:r>
                    <w:rPr>
                      <w:color w:val="auto"/>
                      <w:sz w:val="18"/>
                      <w:szCs w:val="18"/>
                      <w:vertAlign w:val="superscript"/>
                    </w:rPr>
                    <w:t>-7</w:t>
                  </w:r>
                  <w:r>
                    <w:rPr>
                      <w:color w:val="auto"/>
                      <w:sz w:val="18"/>
                      <w:szCs w:val="18"/>
                    </w:rPr>
                    <w:t>cm/s</w:t>
                  </w:r>
                </w:p>
              </w:tc>
            </w:tr>
            <w:tr w14:paraId="3E7FD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14:paraId="1E184D63">
                  <w:pPr>
                    <w:snapToGrid w:val="0"/>
                    <w:jc w:val="center"/>
                    <w:rPr>
                      <w:rFonts w:hint="eastAsia" w:eastAsia="宋体"/>
                      <w:color w:val="auto"/>
                      <w:sz w:val="18"/>
                      <w:szCs w:val="18"/>
                      <w:lang w:eastAsia="zh-CN"/>
                    </w:rPr>
                  </w:pPr>
                  <w:r>
                    <w:rPr>
                      <w:rFonts w:hint="eastAsia"/>
                      <w:color w:val="auto"/>
                      <w:sz w:val="18"/>
                      <w:szCs w:val="18"/>
                      <w:lang w:val="en-US" w:eastAsia="zh-CN"/>
                    </w:rPr>
                    <w:t>3</w:t>
                  </w:r>
                </w:p>
              </w:tc>
              <w:tc>
                <w:tcPr>
                  <w:tcW w:w="879" w:type="pct"/>
                  <w:tcBorders>
                    <w:tl2br w:val="nil"/>
                    <w:tr2bl w:val="nil"/>
                  </w:tcBorders>
                  <w:vAlign w:val="center"/>
                </w:tcPr>
                <w:p w14:paraId="255D9C85">
                  <w:pPr>
                    <w:snapToGrid w:val="0"/>
                    <w:jc w:val="center"/>
                    <w:rPr>
                      <w:color w:val="auto"/>
                      <w:sz w:val="18"/>
                      <w:szCs w:val="18"/>
                    </w:rPr>
                  </w:pPr>
                  <w:r>
                    <w:rPr>
                      <w:rFonts w:hint="eastAsia"/>
                      <w:color w:val="auto"/>
                      <w:sz w:val="18"/>
                      <w:szCs w:val="18"/>
                    </w:rPr>
                    <w:t>一般固废暂存库</w:t>
                  </w:r>
                </w:p>
              </w:tc>
              <w:tc>
                <w:tcPr>
                  <w:tcW w:w="487" w:type="pct"/>
                  <w:tcBorders>
                    <w:tl2br w:val="nil"/>
                    <w:tr2bl w:val="nil"/>
                  </w:tcBorders>
                  <w:vAlign w:val="center"/>
                </w:tcPr>
                <w:p w14:paraId="134A4DB8">
                  <w:pPr>
                    <w:snapToGrid w:val="0"/>
                    <w:jc w:val="center"/>
                    <w:rPr>
                      <w:color w:val="auto"/>
                      <w:sz w:val="18"/>
                      <w:szCs w:val="18"/>
                    </w:rPr>
                  </w:pPr>
                  <w:r>
                    <w:rPr>
                      <w:color w:val="auto"/>
                      <w:sz w:val="18"/>
                      <w:szCs w:val="18"/>
                    </w:rPr>
                    <w:t>地面</w:t>
                  </w:r>
                </w:p>
              </w:tc>
              <w:tc>
                <w:tcPr>
                  <w:tcW w:w="580" w:type="pct"/>
                  <w:vMerge w:val="continue"/>
                  <w:tcBorders>
                    <w:tl2br w:val="nil"/>
                    <w:tr2bl w:val="nil"/>
                  </w:tcBorders>
                  <w:vAlign w:val="center"/>
                </w:tcPr>
                <w:p w14:paraId="2494568D">
                  <w:pPr>
                    <w:snapToGrid w:val="0"/>
                    <w:jc w:val="center"/>
                    <w:rPr>
                      <w:color w:val="auto"/>
                      <w:sz w:val="18"/>
                      <w:szCs w:val="18"/>
                    </w:rPr>
                  </w:pPr>
                </w:p>
              </w:tc>
              <w:tc>
                <w:tcPr>
                  <w:tcW w:w="1536" w:type="pct"/>
                  <w:vMerge w:val="continue"/>
                  <w:tcBorders>
                    <w:tl2br w:val="nil"/>
                    <w:tr2bl w:val="nil"/>
                  </w:tcBorders>
                  <w:vAlign w:val="center"/>
                </w:tcPr>
                <w:p w14:paraId="69C9165E">
                  <w:pPr>
                    <w:snapToGrid w:val="0"/>
                    <w:jc w:val="center"/>
                    <w:rPr>
                      <w:color w:val="auto"/>
                      <w:sz w:val="18"/>
                      <w:szCs w:val="18"/>
                    </w:rPr>
                  </w:pPr>
                </w:p>
              </w:tc>
              <w:tc>
                <w:tcPr>
                  <w:tcW w:w="1136" w:type="pct"/>
                  <w:vMerge w:val="continue"/>
                  <w:tcBorders>
                    <w:tl2br w:val="nil"/>
                    <w:tr2bl w:val="nil"/>
                  </w:tcBorders>
                  <w:vAlign w:val="center"/>
                </w:tcPr>
                <w:p w14:paraId="73F2E66E">
                  <w:pPr>
                    <w:snapToGrid w:val="0"/>
                    <w:jc w:val="center"/>
                    <w:rPr>
                      <w:color w:val="auto"/>
                      <w:sz w:val="18"/>
                      <w:szCs w:val="18"/>
                    </w:rPr>
                  </w:pPr>
                </w:p>
              </w:tc>
            </w:tr>
            <w:tr w14:paraId="468DA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14:paraId="6589A70F">
                  <w:pPr>
                    <w:snapToGrid w:val="0"/>
                    <w:jc w:val="center"/>
                    <w:rPr>
                      <w:rFonts w:hint="eastAsia" w:eastAsia="宋体"/>
                      <w:color w:val="auto"/>
                      <w:sz w:val="18"/>
                      <w:szCs w:val="18"/>
                      <w:lang w:eastAsia="zh-CN"/>
                    </w:rPr>
                  </w:pPr>
                  <w:r>
                    <w:rPr>
                      <w:rFonts w:hint="eastAsia"/>
                      <w:color w:val="auto"/>
                      <w:sz w:val="18"/>
                      <w:szCs w:val="18"/>
                      <w:lang w:val="en-US" w:eastAsia="zh-CN"/>
                    </w:rPr>
                    <w:t>4</w:t>
                  </w:r>
                </w:p>
              </w:tc>
              <w:tc>
                <w:tcPr>
                  <w:tcW w:w="879" w:type="pct"/>
                  <w:tcBorders>
                    <w:tl2br w:val="nil"/>
                    <w:tr2bl w:val="nil"/>
                  </w:tcBorders>
                  <w:vAlign w:val="center"/>
                </w:tcPr>
                <w:p w14:paraId="6CDACB08">
                  <w:pPr>
                    <w:snapToGrid w:val="0"/>
                    <w:jc w:val="center"/>
                    <w:rPr>
                      <w:color w:val="auto"/>
                      <w:sz w:val="18"/>
                      <w:szCs w:val="18"/>
                    </w:rPr>
                  </w:pPr>
                  <w:r>
                    <w:rPr>
                      <w:rFonts w:hint="eastAsia"/>
                      <w:color w:val="auto"/>
                      <w:sz w:val="18"/>
                      <w:szCs w:val="18"/>
                    </w:rPr>
                    <w:t>其他区域</w:t>
                  </w:r>
                </w:p>
              </w:tc>
              <w:tc>
                <w:tcPr>
                  <w:tcW w:w="487" w:type="pct"/>
                  <w:tcBorders>
                    <w:tl2br w:val="nil"/>
                    <w:tr2bl w:val="nil"/>
                  </w:tcBorders>
                  <w:vAlign w:val="center"/>
                </w:tcPr>
                <w:p w14:paraId="20ABD0EB">
                  <w:pPr>
                    <w:snapToGrid w:val="0"/>
                    <w:jc w:val="center"/>
                    <w:rPr>
                      <w:color w:val="auto"/>
                      <w:sz w:val="18"/>
                      <w:szCs w:val="18"/>
                    </w:rPr>
                  </w:pPr>
                  <w:r>
                    <w:rPr>
                      <w:rFonts w:hint="eastAsia"/>
                      <w:color w:val="auto"/>
                      <w:sz w:val="18"/>
                      <w:szCs w:val="18"/>
                    </w:rPr>
                    <w:t>地面</w:t>
                  </w:r>
                </w:p>
              </w:tc>
              <w:tc>
                <w:tcPr>
                  <w:tcW w:w="580" w:type="pct"/>
                  <w:tcBorders>
                    <w:tl2br w:val="nil"/>
                    <w:tr2bl w:val="nil"/>
                  </w:tcBorders>
                  <w:vAlign w:val="center"/>
                </w:tcPr>
                <w:p w14:paraId="7A7A8722">
                  <w:pPr>
                    <w:snapToGrid w:val="0"/>
                    <w:jc w:val="center"/>
                    <w:rPr>
                      <w:color w:val="auto"/>
                      <w:sz w:val="18"/>
                      <w:szCs w:val="18"/>
                    </w:rPr>
                  </w:pPr>
                  <w:r>
                    <w:rPr>
                      <w:color w:val="auto"/>
                      <w:sz w:val="18"/>
                      <w:szCs w:val="18"/>
                    </w:rPr>
                    <w:t>简单防渗区</w:t>
                  </w:r>
                </w:p>
              </w:tc>
              <w:tc>
                <w:tcPr>
                  <w:tcW w:w="1536" w:type="pct"/>
                  <w:tcBorders>
                    <w:tl2br w:val="nil"/>
                    <w:tr2bl w:val="nil"/>
                  </w:tcBorders>
                  <w:vAlign w:val="center"/>
                </w:tcPr>
                <w:p w14:paraId="499F134B">
                  <w:pPr>
                    <w:snapToGrid w:val="0"/>
                    <w:jc w:val="center"/>
                    <w:rPr>
                      <w:color w:val="auto"/>
                      <w:sz w:val="18"/>
                      <w:szCs w:val="18"/>
                    </w:rPr>
                  </w:pPr>
                  <w:r>
                    <w:rPr>
                      <w:rFonts w:hint="eastAsia"/>
                      <w:color w:val="auto"/>
                      <w:sz w:val="18"/>
                      <w:szCs w:val="18"/>
                    </w:rPr>
                    <w:t>简单污染防治区，防渗性能应不大于1.0×10</w:t>
                  </w:r>
                  <w:r>
                    <w:rPr>
                      <w:rFonts w:hint="eastAsia"/>
                      <w:color w:val="auto"/>
                      <w:sz w:val="18"/>
                      <w:szCs w:val="18"/>
                      <w:vertAlign w:val="superscript"/>
                    </w:rPr>
                    <w:t>-6</w:t>
                  </w:r>
                  <w:r>
                    <w:rPr>
                      <w:rFonts w:hint="eastAsia"/>
                      <w:color w:val="auto"/>
                      <w:sz w:val="18"/>
                      <w:szCs w:val="18"/>
                    </w:rPr>
                    <w:t>cm/s。</w:t>
                  </w:r>
                </w:p>
              </w:tc>
              <w:tc>
                <w:tcPr>
                  <w:tcW w:w="1136" w:type="pct"/>
                  <w:tcBorders>
                    <w:tl2br w:val="nil"/>
                    <w:tr2bl w:val="nil"/>
                  </w:tcBorders>
                  <w:shd w:val="clear" w:color="auto" w:fill="auto"/>
                  <w:vAlign w:val="center"/>
                </w:tcPr>
                <w:p w14:paraId="5493717E">
                  <w:pPr>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地面硬化处理</w:t>
                  </w:r>
                </w:p>
              </w:tc>
            </w:tr>
          </w:tbl>
          <w:p w14:paraId="34655D3F">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lang w:val="en-US" w:eastAsia="zh-CN"/>
              </w:rPr>
              <w:t>5.4跟踪监测要求</w:t>
            </w:r>
          </w:p>
          <w:p w14:paraId="1E449529">
            <w:pPr>
              <w:adjustRightInd w:val="0"/>
              <w:snapToGrid w:val="0"/>
              <w:spacing w:after="120" w:afterLines="50" w:line="360" w:lineRule="auto"/>
              <w:ind w:firstLine="480" w:firstLineChars="200"/>
              <w:rPr>
                <w:color w:val="auto"/>
                <w:sz w:val="24"/>
                <w:szCs w:val="24"/>
              </w:rPr>
            </w:pPr>
            <w:r>
              <w:rPr>
                <w:rFonts w:hint="eastAsia"/>
                <w:color w:val="auto"/>
                <w:sz w:val="24"/>
                <w:szCs w:val="24"/>
              </w:rPr>
              <w:t>项目拟将采取有效措施对可能产生地下水、土壤环境影响的各项途径均进行有效预防，在确保各项防渗措施得以落实，并加强维护和环境管理的前提下，可有效控制项目内的污染物下渗现象，避免污染地下水、土壤，因此项目不会对区域地下水、土壤环境产生明显影响，无需进行地下水、土壤环境跟踪监测要求。</w:t>
            </w:r>
          </w:p>
          <w:p w14:paraId="2772D329">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6、生态影响和保护措施</w:t>
            </w:r>
          </w:p>
          <w:p w14:paraId="7B1B8FB4">
            <w:pPr>
              <w:adjustRightInd w:val="0"/>
              <w:snapToGrid w:val="0"/>
              <w:spacing w:line="360" w:lineRule="auto"/>
              <w:ind w:firstLine="480" w:firstLineChars="200"/>
              <w:rPr>
                <w:color w:val="auto"/>
                <w:sz w:val="24"/>
                <w:szCs w:val="24"/>
              </w:rPr>
            </w:pPr>
            <w:r>
              <w:rPr>
                <w:rFonts w:hint="eastAsia"/>
                <w:color w:val="auto"/>
                <w:sz w:val="24"/>
                <w:szCs w:val="24"/>
              </w:rPr>
              <w:t>本</w:t>
            </w:r>
            <w:r>
              <w:rPr>
                <w:color w:val="auto"/>
                <w:sz w:val="24"/>
                <w:szCs w:val="24"/>
              </w:rPr>
              <w:t>项目地址</w:t>
            </w:r>
            <w:r>
              <w:rPr>
                <w:rFonts w:hint="eastAsia"/>
                <w:color w:val="auto"/>
                <w:sz w:val="24"/>
                <w:szCs w:val="24"/>
              </w:rPr>
              <w:t>位于工业园区</w:t>
            </w:r>
            <w:r>
              <w:rPr>
                <w:color w:val="auto"/>
                <w:sz w:val="24"/>
                <w:szCs w:val="24"/>
              </w:rPr>
              <w:t>，用地范围内无生态环境保护目标。</w:t>
            </w:r>
          </w:p>
          <w:p w14:paraId="6B64D4FD">
            <w:pPr>
              <w:pStyle w:val="82"/>
              <w:rPr>
                <w:rFonts w:hint="eastAsia"/>
                <w:color w:val="auto"/>
                <w:sz w:val="24"/>
                <w:szCs w:val="24"/>
              </w:rPr>
            </w:pPr>
            <w:r>
              <w:rPr>
                <w:rFonts w:hint="eastAsia"/>
                <w:color w:val="auto"/>
                <w:sz w:val="24"/>
                <w:szCs w:val="24"/>
              </w:rPr>
              <w:t>7、环境风险及防范措施</w:t>
            </w:r>
          </w:p>
          <w:p w14:paraId="25CF8D14">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根据《建设项目环境影响报告表编制技术指南(污染影响类)(试行)》(环办环评〔2020〕33号)关于环境风险评价要求：“明确有毒有害和易燃易爆等危险物质和风险源分布情况及可能影响途径，并提出相应环境风险防范措施”。</w:t>
            </w:r>
          </w:p>
          <w:p w14:paraId="164BDDA2">
            <w:pPr>
              <w:pStyle w:val="82"/>
              <w:rPr>
                <w:color w:val="auto"/>
                <w:sz w:val="24"/>
                <w:szCs w:val="24"/>
              </w:rPr>
            </w:pPr>
            <w:r>
              <w:rPr>
                <w:color w:val="auto"/>
                <w:sz w:val="24"/>
                <w:szCs w:val="24"/>
              </w:rPr>
              <w:t>7.1</w:t>
            </w:r>
            <w:r>
              <w:rPr>
                <w:rFonts w:hint="eastAsia"/>
                <w:color w:val="auto"/>
                <w:sz w:val="24"/>
                <w:szCs w:val="24"/>
              </w:rPr>
              <w:t>环境</w:t>
            </w:r>
            <w:r>
              <w:rPr>
                <w:color w:val="auto"/>
                <w:sz w:val="24"/>
                <w:szCs w:val="24"/>
              </w:rPr>
              <w:t>风险</w:t>
            </w:r>
            <w:r>
              <w:rPr>
                <w:rFonts w:hint="eastAsia"/>
                <w:color w:val="auto"/>
                <w:sz w:val="24"/>
                <w:szCs w:val="24"/>
              </w:rPr>
              <w:t>识别</w:t>
            </w:r>
          </w:p>
          <w:p w14:paraId="3B59F4A0">
            <w:pPr>
              <w:spacing w:line="360" w:lineRule="auto"/>
              <w:ind w:firstLine="480" w:firstLineChars="200"/>
              <w:rPr>
                <w:rFonts w:hint="eastAsia"/>
                <w:color w:val="auto"/>
                <w:sz w:val="24"/>
                <w:szCs w:val="24"/>
              </w:rPr>
            </w:pPr>
            <w:bookmarkStart w:id="35" w:name="_Toc482176360"/>
            <w:r>
              <w:rPr>
                <w:rFonts w:hint="eastAsia"/>
                <w:color w:val="auto"/>
                <w:sz w:val="24"/>
                <w:szCs w:val="24"/>
              </w:rPr>
              <w:t>对照《建设项目环境风险评价技术导则》（HJ 169-2018）附录B及《企业突发环境事件风险分级方法》HJ941-2018附录A可知，项目涉及环境风险物</w:t>
            </w:r>
            <w:r>
              <w:rPr>
                <w:rFonts w:hint="eastAsia"/>
                <w:color w:val="auto"/>
                <w:sz w:val="24"/>
                <w:szCs w:val="24"/>
                <w:lang w:val="en-US" w:eastAsia="zh-CN"/>
              </w:rPr>
              <w:t>质</w:t>
            </w:r>
            <w:r>
              <w:rPr>
                <w:rFonts w:hint="eastAsia"/>
                <w:color w:val="auto"/>
                <w:sz w:val="24"/>
                <w:szCs w:val="24"/>
              </w:rPr>
              <w:t>如下：</w:t>
            </w:r>
          </w:p>
          <w:p w14:paraId="73A6DB3C">
            <w:pPr>
              <w:spacing w:line="360" w:lineRule="auto"/>
              <w:ind w:firstLine="480" w:firstLineChars="200"/>
              <w:rPr>
                <w:rFonts w:hint="eastAsia"/>
                <w:color w:val="auto"/>
                <w:sz w:val="24"/>
                <w:szCs w:val="24"/>
              </w:rPr>
            </w:pPr>
          </w:p>
          <w:p w14:paraId="4097CFC9">
            <w:pPr>
              <w:spacing w:line="360" w:lineRule="auto"/>
              <w:ind w:firstLine="480" w:firstLineChars="200"/>
              <w:rPr>
                <w:rFonts w:hint="eastAsia"/>
                <w:color w:val="auto"/>
                <w:sz w:val="24"/>
                <w:szCs w:val="24"/>
              </w:rPr>
            </w:pPr>
          </w:p>
          <w:p w14:paraId="19DB5D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color w:val="auto"/>
                <w:sz w:val="24"/>
                <w:szCs w:val="24"/>
              </w:rPr>
            </w:pPr>
            <w:r>
              <w:rPr>
                <w:rFonts w:eastAsia="黑体"/>
                <w:color w:val="auto"/>
                <w:sz w:val="24"/>
                <w:szCs w:val="24"/>
              </w:rPr>
              <w:t>表</w:t>
            </w:r>
            <w:r>
              <w:rPr>
                <w:rFonts w:hint="eastAsia" w:eastAsia="黑体"/>
                <w:color w:val="auto"/>
                <w:sz w:val="24"/>
                <w:szCs w:val="24"/>
                <w:lang w:val="en-US" w:eastAsia="zh-CN"/>
              </w:rPr>
              <w:t xml:space="preserve">4-44 </w:t>
            </w:r>
            <w:r>
              <w:rPr>
                <w:rFonts w:eastAsia="黑体"/>
                <w:color w:val="auto"/>
                <w:sz w:val="24"/>
                <w:szCs w:val="24"/>
              </w:rPr>
              <w:t xml:space="preserve"> </w:t>
            </w:r>
            <w:r>
              <w:rPr>
                <w:rFonts w:hint="eastAsia" w:eastAsia="黑体"/>
                <w:color w:val="auto"/>
                <w:sz w:val="24"/>
                <w:szCs w:val="24"/>
              </w:rPr>
              <w:t>厂区</w:t>
            </w:r>
            <w:r>
              <w:rPr>
                <w:rFonts w:eastAsia="黑体"/>
                <w:color w:val="auto"/>
                <w:sz w:val="24"/>
                <w:szCs w:val="24"/>
              </w:rPr>
              <w:t>主要风险物质数量、有害因素分布表</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2"/>
              <w:gridCol w:w="948"/>
              <w:gridCol w:w="670"/>
              <w:gridCol w:w="1013"/>
              <w:gridCol w:w="956"/>
              <w:gridCol w:w="864"/>
              <w:gridCol w:w="889"/>
              <w:gridCol w:w="805"/>
              <w:gridCol w:w="1031"/>
              <w:gridCol w:w="783"/>
            </w:tblGrid>
            <w:tr w14:paraId="6EEC6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12" w:type="pct"/>
                  <w:gridSpan w:val="2"/>
                  <w:shd w:val="clear" w:color="auto" w:fill="auto"/>
                  <w:noWrap w:val="0"/>
                  <w:vAlign w:val="center"/>
                </w:tcPr>
                <w:p w14:paraId="5C984249">
                  <w:pPr>
                    <w:pStyle w:val="163"/>
                    <w:spacing w:after="0" w:line="240" w:lineRule="auto"/>
                    <w:ind w:left="0" w:leftChars="0" w:firstLine="0"/>
                    <w:jc w:val="center"/>
                    <w:rPr>
                      <w:rFonts w:eastAsia="宋体"/>
                      <w:b/>
                      <w:bCs w:val="0"/>
                      <w:color w:val="auto"/>
                      <w:sz w:val="18"/>
                      <w:szCs w:val="18"/>
                      <w:lang w:val="en-US" w:eastAsia="zh-CN"/>
                    </w:rPr>
                  </w:pPr>
                  <w:r>
                    <w:rPr>
                      <w:rFonts w:eastAsia="宋体"/>
                      <w:b/>
                      <w:bCs w:val="0"/>
                      <w:color w:val="auto"/>
                      <w:sz w:val="18"/>
                      <w:szCs w:val="18"/>
                      <w:lang w:val="en-US" w:eastAsia="zh-CN"/>
                    </w:rPr>
                    <w:t>物质名称</w:t>
                  </w:r>
                </w:p>
              </w:tc>
              <w:tc>
                <w:tcPr>
                  <w:tcW w:w="400" w:type="pct"/>
                  <w:shd w:val="clear" w:color="auto" w:fill="auto"/>
                  <w:noWrap w:val="0"/>
                  <w:vAlign w:val="center"/>
                </w:tcPr>
                <w:p w14:paraId="303C114A">
                  <w:pPr>
                    <w:pStyle w:val="163"/>
                    <w:spacing w:after="0" w:line="240" w:lineRule="auto"/>
                    <w:ind w:left="0" w:leftChars="0" w:firstLine="0"/>
                    <w:jc w:val="center"/>
                    <w:rPr>
                      <w:rFonts w:eastAsia="宋体"/>
                      <w:b/>
                      <w:bCs w:val="0"/>
                      <w:color w:val="auto"/>
                      <w:sz w:val="18"/>
                      <w:szCs w:val="18"/>
                      <w:lang w:val="en-US" w:eastAsia="zh-CN"/>
                    </w:rPr>
                  </w:pPr>
                  <w:r>
                    <w:rPr>
                      <w:rFonts w:eastAsia="宋体"/>
                      <w:b/>
                      <w:bCs w:val="0"/>
                      <w:color w:val="auto"/>
                      <w:sz w:val="18"/>
                      <w:szCs w:val="18"/>
                      <w:lang w:val="en-US" w:eastAsia="zh-CN"/>
                    </w:rPr>
                    <w:t>形态</w:t>
                  </w:r>
                </w:p>
              </w:tc>
              <w:tc>
                <w:tcPr>
                  <w:tcW w:w="605" w:type="pct"/>
                  <w:shd w:val="clear" w:color="auto" w:fill="auto"/>
                  <w:noWrap w:val="0"/>
                  <w:vAlign w:val="center"/>
                </w:tcPr>
                <w:p w14:paraId="61020690">
                  <w:pPr>
                    <w:pStyle w:val="163"/>
                    <w:spacing w:after="0" w:line="240" w:lineRule="auto"/>
                    <w:ind w:left="0" w:leftChars="0" w:firstLine="0"/>
                    <w:jc w:val="center"/>
                    <w:rPr>
                      <w:rFonts w:eastAsia="宋体"/>
                      <w:b/>
                      <w:bCs w:val="0"/>
                      <w:color w:val="auto"/>
                      <w:sz w:val="18"/>
                      <w:szCs w:val="18"/>
                      <w:lang w:val="en-US" w:eastAsia="zh-CN"/>
                    </w:rPr>
                  </w:pPr>
                  <w:r>
                    <w:rPr>
                      <w:rFonts w:hint="eastAsia" w:eastAsia="宋体"/>
                      <w:b/>
                      <w:bCs w:val="0"/>
                      <w:color w:val="auto"/>
                      <w:sz w:val="18"/>
                      <w:szCs w:val="18"/>
                      <w:lang w:val="en-US" w:eastAsia="zh-CN"/>
                    </w:rPr>
                    <w:t>一次最大</w:t>
                  </w:r>
                  <w:r>
                    <w:rPr>
                      <w:rFonts w:eastAsia="宋体"/>
                      <w:b/>
                      <w:bCs w:val="0"/>
                      <w:color w:val="auto"/>
                      <w:sz w:val="18"/>
                      <w:szCs w:val="18"/>
                      <w:lang w:val="en-US" w:eastAsia="zh-CN"/>
                    </w:rPr>
                    <w:t>储量(t)</w:t>
                  </w:r>
                </w:p>
              </w:tc>
              <w:tc>
                <w:tcPr>
                  <w:tcW w:w="571" w:type="pct"/>
                  <w:shd w:val="clear" w:color="auto" w:fill="auto"/>
                  <w:noWrap w:val="0"/>
                  <w:vAlign w:val="center"/>
                </w:tcPr>
                <w:p w14:paraId="1BCA7083">
                  <w:pPr>
                    <w:pStyle w:val="163"/>
                    <w:spacing w:after="0" w:line="240" w:lineRule="auto"/>
                    <w:ind w:left="0" w:leftChars="0" w:firstLine="0"/>
                    <w:jc w:val="center"/>
                    <w:rPr>
                      <w:rFonts w:eastAsia="宋体"/>
                      <w:b/>
                      <w:bCs w:val="0"/>
                      <w:color w:val="auto"/>
                      <w:sz w:val="18"/>
                      <w:szCs w:val="18"/>
                      <w:lang w:val="en-US" w:eastAsia="zh-CN"/>
                    </w:rPr>
                  </w:pPr>
                  <w:r>
                    <w:rPr>
                      <w:rFonts w:eastAsia="宋体"/>
                      <w:b/>
                      <w:bCs w:val="0"/>
                      <w:color w:val="auto"/>
                      <w:sz w:val="18"/>
                      <w:szCs w:val="18"/>
                      <w:lang w:val="en-US" w:eastAsia="zh-CN"/>
                    </w:rPr>
                    <w:t>危险物质成分</w:t>
                  </w:r>
                </w:p>
              </w:tc>
              <w:tc>
                <w:tcPr>
                  <w:tcW w:w="516" w:type="pct"/>
                  <w:shd w:val="clear" w:color="auto" w:fill="auto"/>
                  <w:noWrap w:val="0"/>
                  <w:vAlign w:val="center"/>
                </w:tcPr>
                <w:p w14:paraId="6C7961FB">
                  <w:pPr>
                    <w:pStyle w:val="163"/>
                    <w:spacing w:after="0" w:line="240" w:lineRule="auto"/>
                    <w:ind w:left="0" w:leftChars="0" w:firstLine="0"/>
                    <w:jc w:val="center"/>
                    <w:rPr>
                      <w:rFonts w:eastAsia="宋体"/>
                      <w:b/>
                      <w:bCs w:val="0"/>
                      <w:color w:val="auto"/>
                      <w:sz w:val="18"/>
                      <w:szCs w:val="18"/>
                      <w:lang w:val="en-US" w:eastAsia="zh-CN"/>
                    </w:rPr>
                  </w:pPr>
                  <w:r>
                    <w:rPr>
                      <w:rFonts w:eastAsia="宋体"/>
                      <w:b/>
                      <w:bCs w:val="0"/>
                      <w:color w:val="auto"/>
                      <w:sz w:val="18"/>
                      <w:szCs w:val="18"/>
                      <w:lang w:val="en-US" w:eastAsia="zh-CN"/>
                    </w:rPr>
                    <w:t>危险物质含量</w:t>
                  </w:r>
                </w:p>
              </w:tc>
              <w:tc>
                <w:tcPr>
                  <w:tcW w:w="530" w:type="pct"/>
                  <w:shd w:val="clear" w:color="auto" w:fill="auto"/>
                  <w:noWrap w:val="0"/>
                  <w:vAlign w:val="center"/>
                </w:tcPr>
                <w:p w14:paraId="0DBE6D70">
                  <w:pPr>
                    <w:pStyle w:val="163"/>
                    <w:spacing w:after="0" w:line="240" w:lineRule="auto"/>
                    <w:ind w:left="0" w:leftChars="0" w:firstLine="0"/>
                    <w:jc w:val="center"/>
                    <w:rPr>
                      <w:rFonts w:eastAsia="宋体"/>
                      <w:b/>
                      <w:bCs w:val="0"/>
                      <w:color w:val="auto"/>
                      <w:sz w:val="18"/>
                      <w:szCs w:val="18"/>
                      <w:lang w:val="en-US" w:eastAsia="zh-CN"/>
                    </w:rPr>
                  </w:pPr>
                  <w:r>
                    <w:rPr>
                      <w:rFonts w:eastAsia="宋体"/>
                      <w:b/>
                      <w:bCs w:val="0"/>
                      <w:color w:val="auto"/>
                      <w:sz w:val="18"/>
                      <w:szCs w:val="18"/>
                      <w:lang w:val="en-US" w:eastAsia="zh-CN"/>
                    </w:rPr>
                    <w:t>危险物</w:t>
                  </w:r>
                </w:p>
                <w:p w14:paraId="2CC73505">
                  <w:pPr>
                    <w:pStyle w:val="163"/>
                    <w:spacing w:after="0" w:line="240" w:lineRule="auto"/>
                    <w:ind w:left="0" w:leftChars="0" w:firstLine="0"/>
                    <w:jc w:val="center"/>
                    <w:rPr>
                      <w:rFonts w:eastAsia="宋体"/>
                      <w:b/>
                      <w:bCs w:val="0"/>
                      <w:color w:val="auto"/>
                      <w:sz w:val="18"/>
                      <w:szCs w:val="18"/>
                      <w:lang w:val="en-US" w:eastAsia="zh-CN"/>
                    </w:rPr>
                  </w:pPr>
                  <w:r>
                    <w:rPr>
                      <w:rFonts w:eastAsia="宋体"/>
                      <w:b/>
                      <w:bCs w:val="0"/>
                      <w:color w:val="auto"/>
                      <w:sz w:val="18"/>
                      <w:szCs w:val="18"/>
                      <w:lang w:val="en-US" w:eastAsia="zh-CN"/>
                    </w:rPr>
                    <w:t>质储量</w:t>
                  </w:r>
                  <w:r>
                    <w:rPr>
                      <w:rFonts w:hint="eastAsia" w:eastAsia="宋体"/>
                      <w:b/>
                      <w:bCs w:val="0"/>
                      <w:color w:val="auto"/>
                      <w:sz w:val="18"/>
                      <w:szCs w:val="18"/>
                      <w:lang w:val="en-US" w:eastAsia="zh-CN"/>
                    </w:rPr>
                    <w:t>（</w:t>
                  </w:r>
                  <w:r>
                    <w:rPr>
                      <w:rFonts w:eastAsia="宋体"/>
                      <w:b/>
                      <w:bCs w:val="0"/>
                      <w:color w:val="auto"/>
                      <w:sz w:val="18"/>
                      <w:szCs w:val="18"/>
                      <w:lang w:val="en-US" w:eastAsia="zh-CN"/>
                    </w:rPr>
                    <w:t>t)</w:t>
                  </w:r>
                </w:p>
              </w:tc>
              <w:tc>
                <w:tcPr>
                  <w:tcW w:w="480" w:type="pct"/>
                  <w:shd w:val="clear" w:color="auto" w:fill="auto"/>
                  <w:noWrap w:val="0"/>
                  <w:vAlign w:val="center"/>
                </w:tcPr>
                <w:p w14:paraId="158BA240">
                  <w:pPr>
                    <w:pStyle w:val="163"/>
                    <w:spacing w:after="0" w:line="240" w:lineRule="auto"/>
                    <w:ind w:left="0" w:leftChars="0" w:firstLine="0"/>
                    <w:jc w:val="center"/>
                    <w:rPr>
                      <w:rFonts w:eastAsia="宋体"/>
                      <w:b/>
                      <w:bCs w:val="0"/>
                      <w:color w:val="auto"/>
                      <w:sz w:val="18"/>
                      <w:szCs w:val="18"/>
                      <w:lang w:val="en-US" w:eastAsia="zh-CN"/>
                    </w:rPr>
                  </w:pPr>
                  <w:r>
                    <w:rPr>
                      <w:rFonts w:hint="eastAsia" w:eastAsia="宋体"/>
                      <w:b/>
                      <w:bCs w:val="0"/>
                      <w:color w:val="auto"/>
                      <w:sz w:val="18"/>
                      <w:szCs w:val="18"/>
                      <w:lang w:val="en-US" w:eastAsia="zh-CN"/>
                    </w:rPr>
                    <w:t>临界量（</w:t>
                  </w:r>
                  <w:r>
                    <w:rPr>
                      <w:rFonts w:eastAsia="宋体"/>
                      <w:b/>
                      <w:bCs w:val="0"/>
                      <w:color w:val="auto"/>
                      <w:sz w:val="18"/>
                      <w:szCs w:val="18"/>
                      <w:lang w:val="en-US" w:eastAsia="zh-CN"/>
                    </w:rPr>
                    <w:t>t)</w:t>
                  </w:r>
                </w:p>
              </w:tc>
              <w:tc>
                <w:tcPr>
                  <w:tcW w:w="615" w:type="pct"/>
                  <w:shd w:val="clear" w:color="auto" w:fill="auto"/>
                  <w:noWrap w:val="0"/>
                  <w:vAlign w:val="center"/>
                </w:tcPr>
                <w:p w14:paraId="0EBA4662">
                  <w:pPr>
                    <w:autoSpaceDE w:val="0"/>
                    <w:autoSpaceDN w:val="0"/>
                    <w:adjustRightInd w:val="0"/>
                    <w:snapToGrid w:val="0"/>
                    <w:jc w:val="center"/>
                    <w:textAlignment w:val="baseline"/>
                    <w:rPr>
                      <w:b/>
                      <w:bCs w:val="0"/>
                      <w:color w:val="auto"/>
                      <w:sz w:val="18"/>
                      <w:szCs w:val="18"/>
                    </w:rPr>
                  </w:pPr>
                  <w:r>
                    <w:rPr>
                      <w:rFonts w:hint="eastAsia"/>
                      <w:b/>
                      <w:bCs w:val="0"/>
                      <w:color w:val="auto"/>
                      <w:sz w:val="18"/>
                      <w:szCs w:val="18"/>
                    </w:rPr>
                    <w:t>Q值</w:t>
                  </w:r>
                </w:p>
              </w:tc>
              <w:tc>
                <w:tcPr>
                  <w:tcW w:w="467" w:type="pct"/>
                  <w:shd w:val="clear" w:color="auto" w:fill="auto"/>
                  <w:noWrap w:val="0"/>
                  <w:vAlign w:val="center"/>
                </w:tcPr>
                <w:p w14:paraId="1238EF01">
                  <w:pPr>
                    <w:pStyle w:val="163"/>
                    <w:spacing w:after="0" w:line="240" w:lineRule="auto"/>
                    <w:ind w:left="0" w:leftChars="0" w:firstLine="0"/>
                    <w:jc w:val="center"/>
                    <w:rPr>
                      <w:rFonts w:eastAsia="宋体"/>
                      <w:b/>
                      <w:bCs w:val="0"/>
                      <w:color w:val="auto"/>
                      <w:sz w:val="18"/>
                      <w:szCs w:val="18"/>
                      <w:lang w:val="en-US" w:eastAsia="zh-CN"/>
                    </w:rPr>
                  </w:pPr>
                  <w:r>
                    <w:rPr>
                      <w:rFonts w:hint="eastAsia" w:eastAsia="宋体"/>
                      <w:b/>
                      <w:bCs w:val="0"/>
                      <w:color w:val="auto"/>
                      <w:sz w:val="18"/>
                      <w:szCs w:val="18"/>
                      <w:lang w:val="en-US" w:eastAsia="zh-CN"/>
                    </w:rPr>
                    <w:t>位置</w:t>
                  </w:r>
                </w:p>
              </w:tc>
            </w:tr>
            <w:tr w14:paraId="4D8A2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46" w:type="pct"/>
                  <w:vMerge w:val="restart"/>
                  <w:shd w:val="clear" w:color="auto" w:fill="auto"/>
                  <w:noWrap w:val="0"/>
                  <w:vAlign w:val="center"/>
                </w:tcPr>
                <w:p w14:paraId="546CBD52">
                  <w:pPr>
                    <w:pStyle w:val="163"/>
                    <w:spacing w:after="0" w:line="240" w:lineRule="auto"/>
                    <w:ind w:left="0" w:leftChars="0" w:firstLine="0"/>
                    <w:jc w:val="center"/>
                    <w:rPr>
                      <w:rFonts w:eastAsia="宋体"/>
                      <w:color w:val="auto"/>
                      <w:sz w:val="18"/>
                      <w:szCs w:val="18"/>
                      <w:lang w:val="en-US" w:eastAsia="zh-CN"/>
                    </w:rPr>
                  </w:pPr>
                  <w:r>
                    <w:rPr>
                      <w:rFonts w:hint="eastAsia" w:eastAsia="宋体"/>
                      <w:color w:val="auto"/>
                      <w:sz w:val="18"/>
                      <w:szCs w:val="18"/>
                      <w:lang w:val="en-US" w:eastAsia="zh-CN"/>
                    </w:rPr>
                    <w:t>原辅材料</w:t>
                  </w:r>
                </w:p>
              </w:tc>
              <w:tc>
                <w:tcPr>
                  <w:tcW w:w="566" w:type="pct"/>
                  <w:shd w:val="clear" w:color="auto" w:fill="auto"/>
                  <w:noWrap w:val="0"/>
                  <w:vAlign w:val="center"/>
                </w:tcPr>
                <w:p w14:paraId="13201738">
                  <w:pPr>
                    <w:pStyle w:val="163"/>
                    <w:spacing w:after="0" w:line="240" w:lineRule="auto"/>
                    <w:ind w:left="0" w:leftChars="0" w:firstLine="0"/>
                    <w:jc w:val="center"/>
                    <w:rPr>
                      <w:rFonts w:eastAsia="宋体"/>
                      <w:color w:val="auto"/>
                      <w:sz w:val="18"/>
                      <w:szCs w:val="18"/>
                      <w:lang w:val="en-US" w:eastAsia="zh-CN"/>
                    </w:rPr>
                  </w:pPr>
                  <w:r>
                    <w:rPr>
                      <w:rFonts w:hint="eastAsia" w:eastAsia="宋体"/>
                      <w:color w:val="auto"/>
                      <w:sz w:val="18"/>
                      <w:szCs w:val="18"/>
                      <w:lang w:val="en-US" w:eastAsia="zh-CN"/>
                    </w:rPr>
                    <w:t>天然气</w:t>
                  </w:r>
                </w:p>
              </w:tc>
              <w:tc>
                <w:tcPr>
                  <w:tcW w:w="400" w:type="pct"/>
                  <w:shd w:val="clear" w:color="auto" w:fill="auto"/>
                  <w:noWrap w:val="0"/>
                  <w:vAlign w:val="center"/>
                </w:tcPr>
                <w:p w14:paraId="63FD9835">
                  <w:pPr>
                    <w:pStyle w:val="163"/>
                    <w:spacing w:after="0" w:line="240" w:lineRule="auto"/>
                    <w:ind w:left="0" w:leftChars="0" w:firstLine="0"/>
                    <w:jc w:val="center"/>
                    <w:rPr>
                      <w:rFonts w:eastAsia="宋体"/>
                      <w:color w:val="auto"/>
                      <w:sz w:val="18"/>
                      <w:szCs w:val="18"/>
                      <w:lang w:val="en-US" w:eastAsia="zh-CN"/>
                    </w:rPr>
                  </w:pPr>
                  <w:r>
                    <w:rPr>
                      <w:rFonts w:hint="eastAsia" w:eastAsia="宋体"/>
                      <w:color w:val="auto"/>
                      <w:sz w:val="18"/>
                      <w:szCs w:val="18"/>
                      <w:lang w:val="en-US" w:eastAsia="zh-CN"/>
                    </w:rPr>
                    <w:t>气态</w:t>
                  </w:r>
                </w:p>
              </w:tc>
              <w:tc>
                <w:tcPr>
                  <w:tcW w:w="605" w:type="pct"/>
                  <w:shd w:val="clear" w:color="auto" w:fill="auto"/>
                  <w:noWrap w:val="0"/>
                  <w:vAlign w:val="center"/>
                </w:tcPr>
                <w:p w14:paraId="6F1B61C9">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20m³（0.014t）</w:t>
                  </w:r>
                </w:p>
              </w:tc>
              <w:tc>
                <w:tcPr>
                  <w:tcW w:w="571" w:type="pct"/>
                  <w:shd w:val="clear" w:color="auto" w:fill="auto"/>
                  <w:noWrap w:val="0"/>
                  <w:vAlign w:val="center"/>
                </w:tcPr>
                <w:p w14:paraId="0DC78A90">
                  <w:pPr>
                    <w:pStyle w:val="163"/>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甲烷</w:t>
                  </w:r>
                </w:p>
              </w:tc>
              <w:tc>
                <w:tcPr>
                  <w:tcW w:w="516" w:type="pct"/>
                  <w:shd w:val="clear" w:color="auto" w:fill="auto"/>
                  <w:noWrap w:val="0"/>
                  <w:vAlign w:val="center"/>
                </w:tcPr>
                <w:p w14:paraId="68F7650A">
                  <w:pPr>
                    <w:pStyle w:val="163"/>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100%</w:t>
                  </w:r>
                </w:p>
              </w:tc>
              <w:tc>
                <w:tcPr>
                  <w:tcW w:w="530" w:type="pct"/>
                  <w:shd w:val="clear" w:color="auto" w:fill="auto"/>
                  <w:noWrap w:val="0"/>
                  <w:vAlign w:val="center"/>
                </w:tcPr>
                <w:p w14:paraId="126123C9">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0.014</w:t>
                  </w:r>
                </w:p>
              </w:tc>
              <w:tc>
                <w:tcPr>
                  <w:tcW w:w="480" w:type="pct"/>
                  <w:shd w:val="clear" w:color="auto" w:fill="auto"/>
                  <w:noWrap w:val="0"/>
                  <w:vAlign w:val="center"/>
                </w:tcPr>
                <w:p w14:paraId="077DF1CE">
                  <w:pPr>
                    <w:pStyle w:val="163"/>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10</w:t>
                  </w:r>
                </w:p>
              </w:tc>
              <w:tc>
                <w:tcPr>
                  <w:tcW w:w="615" w:type="pct"/>
                  <w:shd w:val="clear" w:color="auto" w:fill="auto"/>
                  <w:noWrap w:val="0"/>
                  <w:vAlign w:val="center"/>
                </w:tcPr>
                <w:p w14:paraId="4F638C45">
                  <w:pPr>
                    <w:pStyle w:val="163"/>
                    <w:spacing w:after="0" w:line="240" w:lineRule="auto"/>
                    <w:ind w:left="0" w:leftChars="0" w:firstLine="0" w:firstLineChars="0"/>
                    <w:jc w:val="center"/>
                    <w:rPr>
                      <w:rFonts w:hint="eastAsia" w:eastAsia="宋体"/>
                      <w:bCs/>
                      <w:color w:val="auto"/>
                      <w:sz w:val="18"/>
                      <w:szCs w:val="18"/>
                      <w:lang w:val="en-US" w:eastAsia="zh-CN"/>
                    </w:rPr>
                  </w:pPr>
                  <w:r>
                    <w:rPr>
                      <w:rFonts w:hint="eastAsia" w:eastAsia="宋体"/>
                      <w:bCs/>
                      <w:color w:val="auto"/>
                      <w:sz w:val="18"/>
                      <w:szCs w:val="18"/>
                      <w:lang w:val="en-US" w:eastAsia="zh-CN"/>
                    </w:rPr>
                    <w:t>0.0014</w:t>
                  </w:r>
                </w:p>
              </w:tc>
              <w:tc>
                <w:tcPr>
                  <w:tcW w:w="467" w:type="pct"/>
                  <w:shd w:val="clear" w:color="auto" w:fill="auto"/>
                  <w:noWrap w:val="0"/>
                  <w:vAlign w:val="center"/>
                </w:tcPr>
                <w:p w14:paraId="496A7D2C">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管道</w:t>
                  </w:r>
                </w:p>
              </w:tc>
            </w:tr>
            <w:tr w14:paraId="4B9D7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46" w:type="pct"/>
                  <w:vMerge w:val="continue"/>
                  <w:shd w:val="clear" w:color="auto" w:fill="auto"/>
                  <w:noWrap w:val="0"/>
                  <w:vAlign w:val="center"/>
                </w:tcPr>
                <w:p w14:paraId="1E3A9F57">
                  <w:pPr>
                    <w:pStyle w:val="163"/>
                    <w:spacing w:after="0" w:line="240" w:lineRule="auto"/>
                    <w:ind w:left="0" w:leftChars="0" w:firstLine="0"/>
                    <w:jc w:val="center"/>
                    <w:rPr>
                      <w:rFonts w:hint="eastAsia" w:eastAsia="宋体"/>
                      <w:color w:val="auto"/>
                      <w:sz w:val="18"/>
                      <w:szCs w:val="18"/>
                      <w:lang w:val="en-US" w:eastAsia="zh-CN"/>
                    </w:rPr>
                  </w:pPr>
                </w:p>
              </w:tc>
              <w:tc>
                <w:tcPr>
                  <w:tcW w:w="566" w:type="pct"/>
                  <w:shd w:val="clear" w:color="auto" w:fill="auto"/>
                  <w:noWrap w:val="0"/>
                  <w:vAlign w:val="center"/>
                </w:tcPr>
                <w:p w14:paraId="32A1EDB1">
                  <w:pPr>
                    <w:pStyle w:val="163"/>
                    <w:spacing w:after="0" w:line="240" w:lineRule="auto"/>
                    <w:ind w:left="0" w:leftChars="0" w:firstLine="0"/>
                    <w:jc w:val="center"/>
                    <w:rPr>
                      <w:rFonts w:hint="default" w:eastAsia="宋体"/>
                      <w:color w:val="auto"/>
                      <w:sz w:val="18"/>
                      <w:szCs w:val="18"/>
                      <w:lang w:val="en-US" w:eastAsia="zh-CN"/>
                    </w:rPr>
                  </w:pPr>
                  <w:r>
                    <w:rPr>
                      <w:rFonts w:hint="eastAsia" w:eastAsia="宋体"/>
                      <w:color w:val="auto"/>
                      <w:sz w:val="18"/>
                      <w:szCs w:val="18"/>
                      <w:lang w:val="en-US" w:eastAsia="zh-CN"/>
                    </w:rPr>
                    <w:t>液压油</w:t>
                  </w:r>
                </w:p>
              </w:tc>
              <w:tc>
                <w:tcPr>
                  <w:tcW w:w="400" w:type="pct"/>
                  <w:shd w:val="clear" w:color="auto" w:fill="auto"/>
                  <w:noWrap w:val="0"/>
                  <w:vAlign w:val="center"/>
                </w:tcPr>
                <w:p w14:paraId="78E1291E">
                  <w:pPr>
                    <w:pStyle w:val="163"/>
                    <w:spacing w:after="0" w:line="240" w:lineRule="auto"/>
                    <w:ind w:left="0" w:leftChars="0" w:firstLine="0"/>
                    <w:jc w:val="center"/>
                    <w:rPr>
                      <w:rFonts w:hint="default" w:eastAsia="宋体"/>
                      <w:color w:val="auto"/>
                      <w:sz w:val="18"/>
                      <w:szCs w:val="18"/>
                      <w:lang w:val="en-US" w:eastAsia="zh-CN"/>
                    </w:rPr>
                  </w:pPr>
                  <w:r>
                    <w:rPr>
                      <w:rFonts w:hint="eastAsia" w:eastAsia="宋体"/>
                      <w:color w:val="auto"/>
                      <w:sz w:val="18"/>
                      <w:szCs w:val="18"/>
                      <w:lang w:val="en-US" w:eastAsia="zh-CN"/>
                    </w:rPr>
                    <w:t>液态</w:t>
                  </w:r>
                </w:p>
              </w:tc>
              <w:tc>
                <w:tcPr>
                  <w:tcW w:w="605" w:type="pct"/>
                  <w:shd w:val="clear" w:color="auto" w:fill="auto"/>
                  <w:noWrap w:val="0"/>
                  <w:vAlign w:val="center"/>
                </w:tcPr>
                <w:p w14:paraId="18CB5B43">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0.4</w:t>
                  </w:r>
                </w:p>
              </w:tc>
              <w:tc>
                <w:tcPr>
                  <w:tcW w:w="571" w:type="pct"/>
                  <w:shd w:val="clear" w:color="auto" w:fill="auto"/>
                  <w:noWrap w:val="0"/>
                  <w:vAlign w:val="center"/>
                </w:tcPr>
                <w:p w14:paraId="5B40E709">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矿物油</w:t>
                  </w:r>
                </w:p>
              </w:tc>
              <w:tc>
                <w:tcPr>
                  <w:tcW w:w="516" w:type="pct"/>
                  <w:shd w:val="clear" w:color="auto" w:fill="auto"/>
                  <w:noWrap w:val="0"/>
                  <w:vAlign w:val="center"/>
                </w:tcPr>
                <w:p w14:paraId="7F7756EB">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100%</w:t>
                  </w:r>
                </w:p>
              </w:tc>
              <w:tc>
                <w:tcPr>
                  <w:tcW w:w="530" w:type="pct"/>
                  <w:shd w:val="clear" w:color="auto" w:fill="auto"/>
                  <w:noWrap w:val="0"/>
                  <w:vAlign w:val="center"/>
                </w:tcPr>
                <w:p w14:paraId="11852B2C">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0.4</w:t>
                  </w:r>
                </w:p>
              </w:tc>
              <w:tc>
                <w:tcPr>
                  <w:tcW w:w="480" w:type="pct"/>
                  <w:shd w:val="clear" w:color="auto" w:fill="auto"/>
                  <w:noWrap w:val="0"/>
                  <w:vAlign w:val="center"/>
                </w:tcPr>
                <w:p w14:paraId="35D3A77A">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2500</w:t>
                  </w:r>
                </w:p>
              </w:tc>
              <w:tc>
                <w:tcPr>
                  <w:tcW w:w="615" w:type="pct"/>
                  <w:shd w:val="clear" w:color="auto" w:fill="auto"/>
                  <w:noWrap w:val="0"/>
                  <w:vAlign w:val="center"/>
                </w:tcPr>
                <w:p w14:paraId="339478EA">
                  <w:pPr>
                    <w:pStyle w:val="163"/>
                    <w:spacing w:after="0" w:line="240" w:lineRule="auto"/>
                    <w:ind w:left="0" w:leftChars="0" w:firstLine="0" w:firstLineChars="0"/>
                    <w:jc w:val="center"/>
                    <w:rPr>
                      <w:rFonts w:hint="eastAsia" w:eastAsia="宋体"/>
                      <w:bCs/>
                      <w:color w:val="auto"/>
                      <w:sz w:val="18"/>
                      <w:szCs w:val="18"/>
                      <w:lang w:val="en-US" w:eastAsia="zh-CN"/>
                    </w:rPr>
                  </w:pPr>
                  <w:r>
                    <w:rPr>
                      <w:rFonts w:hint="eastAsia" w:eastAsia="宋体"/>
                      <w:bCs/>
                      <w:color w:val="auto"/>
                      <w:sz w:val="18"/>
                      <w:szCs w:val="18"/>
                      <w:lang w:val="en-US" w:eastAsia="zh-CN"/>
                    </w:rPr>
                    <w:t>0.00016</w:t>
                  </w:r>
                </w:p>
              </w:tc>
              <w:tc>
                <w:tcPr>
                  <w:tcW w:w="467" w:type="pct"/>
                  <w:vMerge w:val="restart"/>
                  <w:shd w:val="clear" w:color="auto" w:fill="auto"/>
                  <w:noWrap w:val="0"/>
                  <w:vAlign w:val="center"/>
                </w:tcPr>
                <w:p w14:paraId="43660D99">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原料仓库</w:t>
                  </w:r>
                </w:p>
              </w:tc>
            </w:tr>
            <w:tr w14:paraId="45316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46" w:type="pct"/>
                  <w:vMerge w:val="continue"/>
                  <w:shd w:val="clear" w:color="auto" w:fill="auto"/>
                  <w:noWrap w:val="0"/>
                  <w:vAlign w:val="center"/>
                </w:tcPr>
                <w:p w14:paraId="05483F35">
                  <w:pPr>
                    <w:pStyle w:val="163"/>
                    <w:spacing w:after="0" w:line="240" w:lineRule="auto"/>
                    <w:ind w:left="0" w:leftChars="0" w:firstLine="0"/>
                    <w:jc w:val="center"/>
                    <w:rPr>
                      <w:rFonts w:hint="eastAsia" w:eastAsia="宋体"/>
                      <w:color w:val="auto"/>
                      <w:sz w:val="18"/>
                      <w:szCs w:val="18"/>
                      <w:lang w:val="en-US" w:eastAsia="zh-CN"/>
                    </w:rPr>
                  </w:pPr>
                </w:p>
              </w:tc>
              <w:tc>
                <w:tcPr>
                  <w:tcW w:w="566" w:type="pct"/>
                  <w:shd w:val="clear" w:color="auto" w:fill="auto"/>
                  <w:noWrap w:val="0"/>
                  <w:vAlign w:val="center"/>
                </w:tcPr>
                <w:p w14:paraId="53652789">
                  <w:pPr>
                    <w:pStyle w:val="163"/>
                    <w:spacing w:after="0" w:line="240" w:lineRule="auto"/>
                    <w:ind w:left="0" w:leftChars="0" w:firstLine="0"/>
                    <w:jc w:val="center"/>
                    <w:rPr>
                      <w:rFonts w:hint="default" w:eastAsia="宋体"/>
                      <w:color w:val="auto"/>
                      <w:sz w:val="18"/>
                      <w:szCs w:val="18"/>
                      <w:lang w:val="en-US" w:eastAsia="zh-CN"/>
                    </w:rPr>
                  </w:pPr>
                  <w:r>
                    <w:rPr>
                      <w:rFonts w:hint="eastAsia" w:eastAsia="宋体"/>
                      <w:color w:val="auto"/>
                      <w:sz w:val="18"/>
                      <w:szCs w:val="18"/>
                      <w:lang w:val="en-US" w:eastAsia="zh-CN"/>
                    </w:rPr>
                    <w:t>DOP增塑剂</w:t>
                  </w:r>
                </w:p>
              </w:tc>
              <w:tc>
                <w:tcPr>
                  <w:tcW w:w="400" w:type="pct"/>
                  <w:shd w:val="clear" w:color="auto" w:fill="auto"/>
                  <w:noWrap w:val="0"/>
                  <w:vAlign w:val="center"/>
                </w:tcPr>
                <w:p w14:paraId="395D3573">
                  <w:pPr>
                    <w:pStyle w:val="163"/>
                    <w:spacing w:after="0" w:line="240" w:lineRule="auto"/>
                    <w:ind w:left="0" w:leftChars="0" w:firstLine="0"/>
                    <w:jc w:val="center"/>
                    <w:rPr>
                      <w:rFonts w:hint="default" w:eastAsia="宋体"/>
                      <w:color w:val="auto"/>
                      <w:sz w:val="18"/>
                      <w:szCs w:val="18"/>
                      <w:lang w:val="en-US" w:eastAsia="zh-CN"/>
                    </w:rPr>
                  </w:pPr>
                  <w:r>
                    <w:rPr>
                      <w:rFonts w:hint="eastAsia" w:eastAsia="宋体"/>
                      <w:color w:val="auto"/>
                      <w:sz w:val="18"/>
                      <w:szCs w:val="18"/>
                      <w:lang w:val="en-US" w:eastAsia="zh-CN"/>
                    </w:rPr>
                    <w:t>固态</w:t>
                  </w:r>
                </w:p>
              </w:tc>
              <w:tc>
                <w:tcPr>
                  <w:tcW w:w="605" w:type="pct"/>
                  <w:shd w:val="clear" w:color="auto" w:fill="auto"/>
                  <w:noWrap w:val="0"/>
                  <w:vAlign w:val="center"/>
                </w:tcPr>
                <w:p w14:paraId="7C4F8785">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5</w:t>
                  </w:r>
                </w:p>
              </w:tc>
              <w:tc>
                <w:tcPr>
                  <w:tcW w:w="571" w:type="pct"/>
                  <w:shd w:val="clear" w:color="auto" w:fill="auto"/>
                  <w:noWrap w:val="0"/>
                  <w:vAlign w:val="center"/>
                </w:tcPr>
                <w:p w14:paraId="54EC5AF3">
                  <w:pPr>
                    <w:pStyle w:val="163"/>
                    <w:spacing w:after="0" w:line="240" w:lineRule="auto"/>
                    <w:ind w:left="0" w:leftChars="0" w:firstLine="0"/>
                    <w:jc w:val="center"/>
                    <w:rPr>
                      <w:rFonts w:hint="eastAsia" w:eastAsia="宋体"/>
                      <w:bCs/>
                      <w:color w:val="auto"/>
                      <w:sz w:val="18"/>
                      <w:szCs w:val="18"/>
                      <w:lang w:val="en-US" w:eastAsia="zh-CN"/>
                    </w:rPr>
                  </w:pPr>
                  <w:r>
                    <w:rPr>
                      <w:rFonts w:hint="eastAsia" w:eastAsia="宋体"/>
                      <w:bCs/>
                      <w:color w:val="auto"/>
                      <w:sz w:val="18"/>
                      <w:szCs w:val="18"/>
                      <w:lang w:val="en-US" w:eastAsia="zh-CN"/>
                    </w:rPr>
                    <w:t>邻苯二甲酸二辛脂</w:t>
                  </w:r>
                </w:p>
              </w:tc>
              <w:tc>
                <w:tcPr>
                  <w:tcW w:w="516" w:type="pct"/>
                  <w:shd w:val="clear" w:color="auto" w:fill="auto"/>
                  <w:noWrap w:val="0"/>
                  <w:vAlign w:val="center"/>
                </w:tcPr>
                <w:p w14:paraId="319B3B11">
                  <w:pPr>
                    <w:pStyle w:val="163"/>
                    <w:spacing w:after="0" w:line="240" w:lineRule="auto"/>
                    <w:ind w:left="0" w:leftChars="0" w:firstLine="0"/>
                    <w:jc w:val="center"/>
                    <w:rPr>
                      <w:rFonts w:hint="eastAsia" w:eastAsia="宋体"/>
                      <w:bCs/>
                      <w:color w:val="auto"/>
                      <w:sz w:val="18"/>
                      <w:szCs w:val="18"/>
                      <w:lang w:val="en-US" w:eastAsia="zh-CN"/>
                    </w:rPr>
                  </w:pPr>
                  <w:r>
                    <w:rPr>
                      <w:rFonts w:hint="eastAsia" w:eastAsia="宋体"/>
                      <w:bCs/>
                      <w:color w:val="auto"/>
                      <w:sz w:val="18"/>
                      <w:szCs w:val="18"/>
                      <w:lang w:val="en-US" w:eastAsia="zh-CN"/>
                    </w:rPr>
                    <w:t>100%</w:t>
                  </w:r>
                </w:p>
              </w:tc>
              <w:tc>
                <w:tcPr>
                  <w:tcW w:w="530" w:type="pct"/>
                  <w:shd w:val="clear" w:color="auto" w:fill="auto"/>
                  <w:noWrap w:val="0"/>
                  <w:vAlign w:val="center"/>
                </w:tcPr>
                <w:p w14:paraId="41D61AB3">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5.0</w:t>
                  </w:r>
                </w:p>
              </w:tc>
              <w:tc>
                <w:tcPr>
                  <w:tcW w:w="480" w:type="pct"/>
                  <w:shd w:val="clear" w:color="auto" w:fill="auto"/>
                  <w:noWrap w:val="0"/>
                  <w:vAlign w:val="center"/>
                </w:tcPr>
                <w:p w14:paraId="3200D2E1">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10</w:t>
                  </w:r>
                </w:p>
              </w:tc>
              <w:tc>
                <w:tcPr>
                  <w:tcW w:w="615" w:type="pct"/>
                  <w:shd w:val="clear" w:color="auto" w:fill="auto"/>
                  <w:noWrap w:val="0"/>
                  <w:vAlign w:val="center"/>
                </w:tcPr>
                <w:p w14:paraId="25F99640">
                  <w:pPr>
                    <w:pStyle w:val="163"/>
                    <w:spacing w:after="0" w:line="240" w:lineRule="auto"/>
                    <w:ind w:left="0" w:leftChars="0" w:firstLine="0" w:firstLineChars="0"/>
                    <w:jc w:val="center"/>
                    <w:rPr>
                      <w:rFonts w:hint="eastAsia" w:eastAsia="宋体"/>
                      <w:bCs/>
                      <w:color w:val="auto"/>
                      <w:sz w:val="18"/>
                      <w:szCs w:val="18"/>
                      <w:lang w:val="en-US" w:eastAsia="zh-CN"/>
                    </w:rPr>
                  </w:pPr>
                  <w:r>
                    <w:rPr>
                      <w:rFonts w:hint="eastAsia" w:eastAsia="宋体"/>
                      <w:bCs/>
                      <w:color w:val="auto"/>
                      <w:sz w:val="18"/>
                      <w:szCs w:val="18"/>
                      <w:lang w:val="en-US" w:eastAsia="zh-CN"/>
                    </w:rPr>
                    <w:t>0.5</w:t>
                  </w:r>
                </w:p>
              </w:tc>
              <w:tc>
                <w:tcPr>
                  <w:tcW w:w="467" w:type="pct"/>
                  <w:vMerge w:val="continue"/>
                  <w:shd w:val="clear" w:color="auto" w:fill="auto"/>
                  <w:noWrap w:val="0"/>
                  <w:vAlign w:val="center"/>
                </w:tcPr>
                <w:p w14:paraId="00210AFD">
                  <w:pPr>
                    <w:pStyle w:val="163"/>
                    <w:spacing w:after="0" w:line="240" w:lineRule="auto"/>
                    <w:ind w:left="0" w:leftChars="0" w:firstLine="0"/>
                    <w:jc w:val="center"/>
                    <w:rPr>
                      <w:rFonts w:eastAsia="宋体"/>
                      <w:bCs/>
                      <w:color w:val="auto"/>
                      <w:sz w:val="18"/>
                      <w:szCs w:val="18"/>
                      <w:lang w:val="en-US" w:eastAsia="zh-CN"/>
                    </w:rPr>
                  </w:pPr>
                </w:p>
              </w:tc>
            </w:tr>
            <w:tr w14:paraId="23D86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46" w:type="pct"/>
                  <w:vMerge w:val="continue"/>
                  <w:shd w:val="clear" w:color="auto" w:fill="auto"/>
                  <w:noWrap w:val="0"/>
                  <w:vAlign w:val="center"/>
                </w:tcPr>
                <w:p w14:paraId="017A6B97">
                  <w:pPr>
                    <w:pStyle w:val="163"/>
                    <w:spacing w:after="0" w:line="240" w:lineRule="auto"/>
                    <w:ind w:left="0" w:leftChars="0" w:firstLine="0"/>
                    <w:jc w:val="center"/>
                    <w:rPr>
                      <w:rFonts w:hint="eastAsia" w:eastAsia="宋体"/>
                      <w:color w:val="auto"/>
                      <w:sz w:val="18"/>
                      <w:szCs w:val="18"/>
                      <w:lang w:val="en-US" w:eastAsia="zh-CN"/>
                    </w:rPr>
                  </w:pPr>
                </w:p>
              </w:tc>
              <w:tc>
                <w:tcPr>
                  <w:tcW w:w="566" w:type="pct"/>
                  <w:shd w:val="clear" w:color="auto" w:fill="auto"/>
                  <w:noWrap w:val="0"/>
                  <w:vAlign w:val="center"/>
                </w:tcPr>
                <w:p w14:paraId="3F2F21FE">
                  <w:pPr>
                    <w:pStyle w:val="163"/>
                    <w:spacing w:after="0" w:line="240" w:lineRule="auto"/>
                    <w:ind w:left="0" w:leftChars="0" w:firstLine="0"/>
                    <w:jc w:val="center"/>
                    <w:rPr>
                      <w:rFonts w:hint="default" w:eastAsia="宋体"/>
                      <w:color w:val="auto"/>
                      <w:sz w:val="18"/>
                      <w:szCs w:val="18"/>
                      <w:lang w:val="en-US" w:eastAsia="zh-CN"/>
                    </w:rPr>
                  </w:pPr>
                  <w:r>
                    <w:rPr>
                      <w:rFonts w:hint="eastAsia" w:eastAsia="宋体"/>
                      <w:color w:val="auto"/>
                      <w:sz w:val="18"/>
                      <w:szCs w:val="18"/>
                      <w:lang w:val="en-US" w:eastAsia="zh-CN"/>
                    </w:rPr>
                    <w:t>三乙胺</w:t>
                  </w:r>
                </w:p>
              </w:tc>
              <w:tc>
                <w:tcPr>
                  <w:tcW w:w="400" w:type="pct"/>
                  <w:shd w:val="clear" w:color="auto" w:fill="auto"/>
                  <w:noWrap w:val="0"/>
                  <w:vAlign w:val="center"/>
                </w:tcPr>
                <w:p w14:paraId="2B676073">
                  <w:pPr>
                    <w:pStyle w:val="163"/>
                    <w:spacing w:after="0" w:line="240" w:lineRule="auto"/>
                    <w:ind w:left="0" w:leftChars="0" w:firstLine="0"/>
                    <w:jc w:val="center"/>
                    <w:rPr>
                      <w:rFonts w:hint="eastAsia" w:eastAsia="宋体"/>
                      <w:color w:val="auto"/>
                      <w:sz w:val="18"/>
                      <w:szCs w:val="18"/>
                      <w:lang w:val="en-US" w:eastAsia="zh-CN"/>
                    </w:rPr>
                  </w:pPr>
                  <w:r>
                    <w:rPr>
                      <w:rFonts w:hint="eastAsia" w:eastAsia="宋体"/>
                      <w:color w:val="auto"/>
                      <w:sz w:val="18"/>
                      <w:szCs w:val="18"/>
                      <w:lang w:val="en-US" w:eastAsia="zh-CN"/>
                    </w:rPr>
                    <w:t>液态</w:t>
                  </w:r>
                </w:p>
              </w:tc>
              <w:tc>
                <w:tcPr>
                  <w:tcW w:w="605" w:type="pct"/>
                  <w:shd w:val="clear" w:color="auto" w:fill="auto"/>
                  <w:noWrap w:val="0"/>
                  <w:vAlign w:val="center"/>
                </w:tcPr>
                <w:p w14:paraId="4F5EB680">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0.2</w:t>
                  </w:r>
                </w:p>
              </w:tc>
              <w:tc>
                <w:tcPr>
                  <w:tcW w:w="571" w:type="pct"/>
                  <w:shd w:val="clear" w:color="auto" w:fill="auto"/>
                  <w:noWrap w:val="0"/>
                  <w:vAlign w:val="center"/>
                </w:tcPr>
                <w:p w14:paraId="77BD8D5D">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三乙胺</w:t>
                  </w:r>
                </w:p>
              </w:tc>
              <w:tc>
                <w:tcPr>
                  <w:tcW w:w="516" w:type="pct"/>
                  <w:shd w:val="clear" w:color="auto" w:fill="auto"/>
                  <w:noWrap w:val="0"/>
                  <w:vAlign w:val="center"/>
                </w:tcPr>
                <w:p w14:paraId="61F3D372">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100%</w:t>
                  </w:r>
                </w:p>
              </w:tc>
              <w:tc>
                <w:tcPr>
                  <w:tcW w:w="530" w:type="pct"/>
                  <w:shd w:val="clear" w:color="auto" w:fill="auto"/>
                  <w:noWrap w:val="0"/>
                  <w:vAlign w:val="center"/>
                </w:tcPr>
                <w:p w14:paraId="4A7B0B8E">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0.2</w:t>
                  </w:r>
                </w:p>
              </w:tc>
              <w:tc>
                <w:tcPr>
                  <w:tcW w:w="480" w:type="pct"/>
                  <w:shd w:val="clear" w:color="auto" w:fill="auto"/>
                  <w:noWrap w:val="0"/>
                  <w:vAlign w:val="center"/>
                </w:tcPr>
                <w:p w14:paraId="6F76CF9C">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50</w:t>
                  </w:r>
                </w:p>
              </w:tc>
              <w:tc>
                <w:tcPr>
                  <w:tcW w:w="615" w:type="pct"/>
                  <w:shd w:val="clear" w:color="auto" w:fill="auto"/>
                  <w:noWrap w:val="0"/>
                  <w:vAlign w:val="center"/>
                </w:tcPr>
                <w:p w14:paraId="38E794A5">
                  <w:pPr>
                    <w:pStyle w:val="163"/>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0.004</w:t>
                  </w:r>
                </w:p>
              </w:tc>
              <w:tc>
                <w:tcPr>
                  <w:tcW w:w="467" w:type="pct"/>
                  <w:vMerge w:val="continue"/>
                  <w:shd w:val="clear" w:color="auto" w:fill="auto"/>
                  <w:noWrap w:val="0"/>
                  <w:vAlign w:val="center"/>
                </w:tcPr>
                <w:p w14:paraId="1B4809C0">
                  <w:pPr>
                    <w:pStyle w:val="163"/>
                    <w:spacing w:after="0" w:line="240" w:lineRule="auto"/>
                    <w:ind w:left="0" w:leftChars="0" w:firstLine="0"/>
                    <w:jc w:val="center"/>
                    <w:rPr>
                      <w:rFonts w:eastAsia="宋体"/>
                      <w:bCs/>
                      <w:color w:val="auto"/>
                      <w:sz w:val="18"/>
                      <w:szCs w:val="18"/>
                      <w:lang w:val="en-US" w:eastAsia="zh-CN"/>
                    </w:rPr>
                  </w:pPr>
                </w:p>
              </w:tc>
            </w:tr>
            <w:tr w14:paraId="42FDA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46" w:type="pct"/>
                  <w:shd w:val="clear" w:color="auto" w:fill="auto"/>
                  <w:noWrap w:val="0"/>
                  <w:vAlign w:val="center"/>
                </w:tcPr>
                <w:p w14:paraId="5BE4E1D4">
                  <w:pPr>
                    <w:pStyle w:val="163"/>
                    <w:spacing w:after="0" w:line="240" w:lineRule="auto"/>
                    <w:ind w:left="0" w:leftChars="0" w:firstLine="0"/>
                    <w:jc w:val="center"/>
                    <w:rPr>
                      <w:rFonts w:eastAsia="宋体"/>
                      <w:color w:val="auto"/>
                      <w:sz w:val="18"/>
                      <w:szCs w:val="18"/>
                      <w:lang w:val="en-US" w:eastAsia="zh-CN"/>
                    </w:rPr>
                  </w:pPr>
                  <w:r>
                    <w:rPr>
                      <w:rFonts w:hint="eastAsia" w:eastAsia="宋体"/>
                      <w:color w:val="auto"/>
                      <w:sz w:val="18"/>
                      <w:szCs w:val="18"/>
                      <w:lang w:val="en-US" w:eastAsia="zh-CN"/>
                    </w:rPr>
                    <w:t>危险废物</w:t>
                  </w:r>
                </w:p>
              </w:tc>
              <w:tc>
                <w:tcPr>
                  <w:tcW w:w="566" w:type="pct"/>
                  <w:shd w:val="clear" w:color="auto" w:fill="auto"/>
                  <w:noWrap w:val="0"/>
                  <w:vAlign w:val="center"/>
                </w:tcPr>
                <w:p w14:paraId="339445E6">
                  <w:pPr>
                    <w:pStyle w:val="163"/>
                    <w:spacing w:after="0" w:line="240" w:lineRule="auto"/>
                    <w:ind w:left="0" w:leftChars="0" w:firstLine="0" w:firstLineChars="0"/>
                    <w:jc w:val="center"/>
                    <w:rPr>
                      <w:rFonts w:ascii="Times New Roman" w:hAnsi="Times New Roman" w:eastAsia="宋体" w:cs="Times New Roman"/>
                      <w:color w:val="auto"/>
                      <w:kern w:val="0"/>
                      <w:sz w:val="18"/>
                      <w:szCs w:val="18"/>
                      <w:lang w:val="en-US" w:eastAsia="zh-CN" w:bidi="ar-SA"/>
                    </w:rPr>
                  </w:pPr>
                  <w:r>
                    <w:rPr>
                      <w:rFonts w:hint="eastAsia" w:eastAsia="宋体"/>
                      <w:color w:val="auto"/>
                      <w:sz w:val="18"/>
                      <w:szCs w:val="18"/>
                      <w:lang w:val="en-US" w:eastAsia="zh-CN"/>
                    </w:rPr>
                    <w:t>废液压油</w:t>
                  </w:r>
                </w:p>
              </w:tc>
              <w:tc>
                <w:tcPr>
                  <w:tcW w:w="400" w:type="pct"/>
                  <w:shd w:val="clear" w:color="auto" w:fill="auto"/>
                  <w:noWrap w:val="0"/>
                  <w:vAlign w:val="center"/>
                </w:tcPr>
                <w:p w14:paraId="2FFD2A4D">
                  <w:pPr>
                    <w:pStyle w:val="163"/>
                    <w:spacing w:after="0" w:line="240" w:lineRule="auto"/>
                    <w:ind w:left="0" w:leftChars="0" w:firstLine="0" w:firstLineChars="0"/>
                    <w:jc w:val="center"/>
                    <w:rPr>
                      <w:rFonts w:ascii="Times New Roman" w:hAnsi="Times New Roman" w:eastAsia="宋体" w:cs="Times New Roman"/>
                      <w:color w:val="auto"/>
                      <w:kern w:val="0"/>
                      <w:sz w:val="18"/>
                      <w:szCs w:val="18"/>
                      <w:lang w:val="en-US" w:eastAsia="zh-CN" w:bidi="ar-SA"/>
                    </w:rPr>
                  </w:pPr>
                  <w:r>
                    <w:rPr>
                      <w:rFonts w:hint="eastAsia" w:eastAsia="宋体"/>
                      <w:color w:val="auto"/>
                      <w:sz w:val="18"/>
                      <w:szCs w:val="18"/>
                      <w:lang w:val="en-US" w:eastAsia="zh-CN"/>
                    </w:rPr>
                    <w:t>液态</w:t>
                  </w:r>
                </w:p>
              </w:tc>
              <w:tc>
                <w:tcPr>
                  <w:tcW w:w="605" w:type="pct"/>
                  <w:shd w:val="clear" w:color="auto" w:fill="auto"/>
                  <w:noWrap w:val="0"/>
                  <w:vAlign w:val="center"/>
                </w:tcPr>
                <w:p w14:paraId="65808B2A">
                  <w:pPr>
                    <w:pStyle w:val="163"/>
                    <w:spacing w:after="0" w:line="240" w:lineRule="auto"/>
                    <w:ind w:left="0" w:leftChars="0"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eastAsia="宋体"/>
                      <w:bCs/>
                      <w:color w:val="auto"/>
                      <w:sz w:val="18"/>
                      <w:szCs w:val="18"/>
                      <w:lang w:val="en-US" w:eastAsia="zh-CN"/>
                    </w:rPr>
                    <w:t>0.6</w:t>
                  </w:r>
                </w:p>
              </w:tc>
              <w:tc>
                <w:tcPr>
                  <w:tcW w:w="571" w:type="pct"/>
                  <w:shd w:val="clear" w:color="auto" w:fill="auto"/>
                  <w:noWrap w:val="0"/>
                  <w:vAlign w:val="center"/>
                </w:tcPr>
                <w:p w14:paraId="5E793302">
                  <w:pPr>
                    <w:autoSpaceDE w:val="0"/>
                    <w:autoSpaceDN w:val="0"/>
                    <w:adjustRightInd w:val="0"/>
                    <w:snapToGrid w:val="0"/>
                    <w:jc w:val="center"/>
                    <w:textAlignment w:val="baseline"/>
                    <w:rPr>
                      <w:rFonts w:ascii="Times New Roman" w:hAnsi="Times New Roman" w:eastAsia="宋体" w:cs="Times New Roman"/>
                      <w:bCs/>
                      <w:color w:val="auto"/>
                      <w:kern w:val="2"/>
                      <w:sz w:val="18"/>
                      <w:szCs w:val="18"/>
                      <w:lang w:val="en-US" w:eastAsia="zh-CN" w:bidi="ar-SA"/>
                    </w:rPr>
                  </w:pPr>
                  <w:r>
                    <w:rPr>
                      <w:rFonts w:hint="eastAsia"/>
                      <w:bCs/>
                      <w:color w:val="auto"/>
                      <w:sz w:val="18"/>
                      <w:szCs w:val="18"/>
                    </w:rPr>
                    <w:t>废矿物油</w:t>
                  </w:r>
                </w:p>
              </w:tc>
              <w:tc>
                <w:tcPr>
                  <w:tcW w:w="516" w:type="pct"/>
                  <w:shd w:val="clear" w:color="auto" w:fill="auto"/>
                  <w:noWrap w:val="0"/>
                  <w:vAlign w:val="center"/>
                </w:tcPr>
                <w:p w14:paraId="2CF78D0A">
                  <w:pPr>
                    <w:pStyle w:val="163"/>
                    <w:spacing w:after="0" w:line="240" w:lineRule="auto"/>
                    <w:ind w:left="0" w:leftChars="0" w:firstLine="0" w:firstLineChars="0"/>
                    <w:jc w:val="center"/>
                    <w:rPr>
                      <w:rFonts w:ascii="Times New Roman" w:hAnsi="Times New Roman" w:eastAsia="宋体" w:cs="Times New Roman"/>
                      <w:bCs/>
                      <w:color w:val="auto"/>
                      <w:kern w:val="0"/>
                      <w:sz w:val="18"/>
                      <w:szCs w:val="18"/>
                      <w:lang w:val="en-US" w:eastAsia="zh-CN" w:bidi="ar-SA"/>
                    </w:rPr>
                  </w:pPr>
                  <w:r>
                    <w:rPr>
                      <w:rFonts w:hint="eastAsia" w:eastAsia="宋体"/>
                      <w:bCs/>
                      <w:color w:val="auto"/>
                      <w:sz w:val="18"/>
                      <w:szCs w:val="18"/>
                      <w:lang w:val="en-US" w:eastAsia="zh-CN"/>
                    </w:rPr>
                    <w:t>100%</w:t>
                  </w:r>
                </w:p>
              </w:tc>
              <w:tc>
                <w:tcPr>
                  <w:tcW w:w="530" w:type="pct"/>
                  <w:shd w:val="clear" w:color="auto" w:fill="auto"/>
                  <w:noWrap w:val="0"/>
                  <w:vAlign w:val="center"/>
                </w:tcPr>
                <w:p w14:paraId="0470D2A9">
                  <w:pPr>
                    <w:pStyle w:val="163"/>
                    <w:spacing w:after="0" w:line="240" w:lineRule="auto"/>
                    <w:ind w:left="0" w:leftChars="0"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eastAsia="宋体"/>
                      <w:bCs/>
                      <w:color w:val="auto"/>
                      <w:sz w:val="18"/>
                      <w:szCs w:val="18"/>
                      <w:lang w:val="en-US" w:eastAsia="zh-CN"/>
                    </w:rPr>
                    <w:t>6.54</w:t>
                  </w:r>
                </w:p>
              </w:tc>
              <w:tc>
                <w:tcPr>
                  <w:tcW w:w="480" w:type="pct"/>
                  <w:shd w:val="clear" w:color="auto" w:fill="auto"/>
                  <w:noWrap w:val="0"/>
                  <w:vAlign w:val="center"/>
                </w:tcPr>
                <w:p w14:paraId="07E2B9CA">
                  <w:pPr>
                    <w:pStyle w:val="163"/>
                    <w:spacing w:after="0" w:line="240" w:lineRule="auto"/>
                    <w:ind w:left="0" w:leftChars="0" w:firstLine="0" w:firstLineChars="0"/>
                    <w:jc w:val="center"/>
                    <w:rPr>
                      <w:rFonts w:hint="eastAsia" w:ascii="Times New Roman" w:hAnsi="Times New Roman" w:eastAsia="宋体" w:cs="Times New Roman"/>
                      <w:bCs/>
                      <w:color w:val="auto"/>
                      <w:kern w:val="0"/>
                      <w:sz w:val="18"/>
                      <w:szCs w:val="18"/>
                      <w:lang w:val="en-US" w:eastAsia="zh-CN" w:bidi="ar-SA"/>
                    </w:rPr>
                  </w:pPr>
                  <w:r>
                    <w:rPr>
                      <w:rFonts w:hint="eastAsia" w:eastAsia="宋体"/>
                      <w:bCs/>
                      <w:color w:val="auto"/>
                      <w:sz w:val="18"/>
                      <w:szCs w:val="18"/>
                      <w:lang w:val="en-US" w:eastAsia="zh-CN"/>
                    </w:rPr>
                    <w:t>2500</w:t>
                  </w:r>
                </w:p>
              </w:tc>
              <w:tc>
                <w:tcPr>
                  <w:tcW w:w="615" w:type="pct"/>
                  <w:shd w:val="clear" w:color="auto" w:fill="auto"/>
                  <w:noWrap w:val="0"/>
                  <w:vAlign w:val="center"/>
                </w:tcPr>
                <w:p w14:paraId="4C3BA137">
                  <w:pPr>
                    <w:pStyle w:val="163"/>
                    <w:spacing w:after="0" w:line="240" w:lineRule="auto"/>
                    <w:ind w:left="0" w:leftChars="0" w:firstLine="0" w:firstLineChars="0"/>
                    <w:jc w:val="center"/>
                    <w:rPr>
                      <w:rFonts w:hint="eastAsia" w:eastAsia="宋体"/>
                      <w:bCs/>
                      <w:color w:val="auto"/>
                      <w:sz w:val="18"/>
                      <w:szCs w:val="18"/>
                      <w:lang w:val="en-US" w:eastAsia="zh-CN"/>
                    </w:rPr>
                  </w:pPr>
                  <w:r>
                    <w:rPr>
                      <w:rFonts w:hint="eastAsia" w:eastAsia="宋体"/>
                      <w:bCs/>
                      <w:color w:val="auto"/>
                      <w:sz w:val="18"/>
                      <w:szCs w:val="18"/>
                      <w:lang w:val="en-US" w:eastAsia="zh-CN"/>
                    </w:rPr>
                    <w:t>0.002616</w:t>
                  </w:r>
                </w:p>
              </w:tc>
              <w:tc>
                <w:tcPr>
                  <w:tcW w:w="467" w:type="pct"/>
                  <w:shd w:val="clear" w:color="auto" w:fill="auto"/>
                  <w:noWrap w:val="0"/>
                  <w:vAlign w:val="center"/>
                </w:tcPr>
                <w:p w14:paraId="41D302FF">
                  <w:pPr>
                    <w:pStyle w:val="163"/>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危险废物贮存间</w:t>
                  </w:r>
                </w:p>
              </w:tc>
            </w:tr>
            <w:tr w14:paraId="64F4C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916" w:type="pct"/>
                  <w:gridSpan w:val="8"/>
                  <w:shd w:val="clear" w:color="auto" w:fill="auto"/>
                  <w:noWrap w:val="0"/>
                  <w:vAlign w:val="center"/>
                </w:tcPr>
                <w:p w14:paraId="5B6ECA47">
                  <w:pPr>
                    <w:pStyle w:val="163"/>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合计</w:t>
                  </w:r>
                </w:p>
              </w:tc>
              <w:tc>
                <w:tcPr>
                  <w:tcW w:w="615" w:type="pct"/>
                  <w:shd w:val="clear" w:color="auto" w:fill="auto"/>
                  <w:noWrap w:val="0"/>
                  <w:vAlign w:val="center"/>
                </w:tcPr>
                <w:p w14:paraId="798FDDEE">
                  <w:pPr>
                    <w:pStyle w:val="163"/>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0.508176</w:t>
                  </w:r>
                </w:p>
              </w:tc>
              <w:tc>
                <w:tcPr>
                  <w:tcW w:w="467" w:type="pct"/>
                  <w:shd w:val="clear" w:color="auto" w:fill="auto"/>
                  <w:noWrap w:val="0"/>
                  <w:vAlign w:val="center"/>
                </w:tcPr>
                <w:p w14:paraId="270C27A8">
                  <w:pPr>
                    <w:pStyle w:val="163"/>
                    <w:spacing w:after="0" w:line="240" w:lineRule="auto"/>
                    <w:ind w:left="0" w:leftChars="0" w:firstLine="0"/>
                    <w:jc w:val="center"/>
                    <w:rPr>
                      <w:rFonts w:hint="eastAsia" w:eastAsia="宋体"/>
                      <w:bCs/>
                      <w:color w:val="auto"/>
                      <w:sz w:val="18"/>
                      <w:szCs w:val="18"/>
                      <w:lang w:val="en-US" w:eastAsia="zh-CN"/>
                    </w:rPr>
                  </w:pPr>
                </w:p>
              </w:tc>
            </w:tr>
            <w:tr w14:paraId="4B294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00" w:type="pct"/>
                  <w:gridSpan w:val="10"/>
                  <w:shd w:val="clear" w:color="auto" w:fill="auto"/>
                  <w:noWrap w:val="0"/>
                  <w:vAlign w:val="center"/>
                </w:tcPr>
                <w:p w14:paraId="47AA2A8A">
                  <w:pPr>
                    <w:pStyle w:val="163"/>
                    <w:spacing w:after="0" w:line="240" w:lineRule="auto"/>
                    <w:ind w:left="0" w:leftChars="0" w:firstLine="0"/>
                    <w:jc w:val="both"/>
                    <w:rPr>
                      <w:rFonts w:hint="default" w:eastAsia="宋体"/>
                      <w:bCs/>
                      <w:color w:val="auto"/>
                      <w:sz w:val="18"/>
                      <w:szCs w:val="18"/>
                      <w:lang w:val="en-US" w:eastAsia="zh-CN"/>
                    </w:rPr>
                  </w:pPr>
                  <w:r>
                    <w:rPr>
                      <w:rFonts w:hint="eastAsia" w:eastAsia="宋体"/>
                      <w:bCs/>
                      <w:color w:val="auto"/>
                      <w:sz w:val="18"/>
                      <w:szCs w:val="18"/>
                      <w:lang w:val="en-US" w:eastAsia="zh-CN"/>
                    </w:rPr>
                    <w:t>注：三乙胺LD</w:t>
                  </w:r>
                  <w:r>
                    <w:rPr>
                      <w:rFonts w:hint="eastAsia" w:eastAsia="宋体"/>
                      <w:bCs/>
                      <w:color w:val="auto"/>
                      <w:sz w:val="18"/>
                      <w:szCs w:val="18"/>
                      <w:vertAlign w:val="subscript"/>
                      <w:lang w:val="en-US" w:eastAsia="zh-CN"/>
                    </w:rPr>
                    <w:t>50</w:t>
                  </w:r>
                  <w:r>
                    <w:rPr>
                      <w:rFonts w:hint="eastAsia" w:eastAsia="宋体"/>
                      <w:bCs/>
                      <w:color w:val="auto"/>
                      <w:sz w:val="18"/>
                      <w:szCs w:val="18"/>
                      <w:lang w:val="en-US" w:eastAsia="zh-CN"/>
                    </w:rPr>
                    <w:t>：570mg/kg(兔经皮)，对照GB 30000.18《化学品分类和标签规范第18部分：急性毒性》表1，属类别3。</w:t>
                  </w:r>
                </w:p>
              </w:tc>
            </w:tr>
          </w:tbl>
          <w:p w14:paraId="685FA09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olor w:val="auto"/>
                <w:sz w:val="24"/>
                <w:szCs w:val="24"/>
                <w:lang w:val="zh-CN"/>
              </w:rPr>
            </w:pPr>
            <w:r>
              <w:rPr>
                <w:color w:val="auto"/>
                <w:sz w:val="24"/>
                <w:szCs w:val="24"/>
                <w:lang w:val="zh-CN"/>
              </w:rPr>
              <w:t>由表可知，</w:t>
            </w:r>
            <w:r>
              <w:rPr>
                <w:rFonts w:hint="eastAsia"/>
                <w:color w:val="auto"/>
                <w:sz w:val="24"/>
                <w:szCs w:val="24"/>
              </w:rPr>
              <w:t>项目</w:t>
            </w:r>
            <w:r>
              <w:rPr>
                <w:color w:val="auto"/>
                <w:sz w:val="24"/>
                <w:szCs w:val="24"/>
              </w:rPr>
              <w:t>环境风险物质数量与临界量比值</w:t>
            </w:r>
            <w:r>
              <w:rPr>
                <w:color w:val="auto"/>
                <w:sz w:val="24"/>
                <w:szCs w:val="24"/>
                <w:lang w:val="zh-CN"/>
              </w:rPr>
              <w:t>Q=</w:t>
            </w:r>
            <w:r>
              <w:rPr>
                <w:rFonts w:hint="eastAsia"/>
                <w:color w:val="auto"/>
                <w:sz w:val="24"/>
                <w:szCs w:val="24"/>
              </w:rPr>
              <w:t>0.</w:t>
            </w:r>
            <w:r>
              <w:rPr>
                <w:rFonts w:hint="eastAsia"/>
                <w:color w:val="auto"/>
                <w:sz w:val="24"/>
                <w:szCs w:val="24"/>
                <w:lang w:val="en-US" w:eastAsia="zh-CN"/>
              </w:rPr>
              <w:t>508176</w:t>
            </w:r>
            <w:r>
              <w:rPr>
                <w:color w:val="auto"/>
                <w:sz w:val="24"/>
                <w:szCs w:val="24"/>
                <w:lang w:val="zh-CN"/>
              </w:rPr>
              <w:t>&lt;1，则</w:t>
            </w:r>
            <w:r>
              <w:rPr>
                <w:rFonts w:hint="eastAsia"/>
                <w:color w:val="auto"/>
                <w:sz w:val="24"/>
                <w:szCs w:val="24"/>
              </w:rPr>
              <w:t>项目</w:t>
            </w:r>
            <w:r>
              <w:rPr>
                <w:color w:val="auto"/>
                <w:sz w:val="24"/>
                <w:szCs w:val="24"/>
                <w:lang w:val="zh-CN"/>
              </w:rPr>
              <w:t>环境风险潜势为I。</w:t>
            </w:r>
            <w:r>
              <w:rPr>
                <w:rFonts w:hint="eastAsia"/>
                <w:color w:val="auto"/>
                <w:sz w:val="24"/>
                <w:szCs w:val="24"/>
                <w:lang w:val="zh-CN"/>
              </w:rPr>
              <w:t>根据《建设项目环境风险评价技术导则》(HJ169-2018)附录C可知，当Q＜1时，该项目环境风险潜势为Ⅰ，环境风险潜势为Ⅰ时，评价工作级别简单分析，因此，本评价主要在描述环境影响途径、环境危害后果、风险防范措施等方面给出定性说明。</w:t>
            </w:r>
          </w:p>
          <w:p w14:paraId="4A396A1E">
            <w:pPr>
              <w:pStyle w:val="82"/>
              <w:rPr>
                <w:rFonts w:hint="eastAsia" w:eastAsia="黑体"/>
                <w:color w:val="auto"/>
                <w:sz w:val="24"/>
                <w:szCs w:val="24"/>
                <w:lang w:eastAsia="zh-CN"/>
              </w:rPr>
            </w:pPr>
            <w:r>
              <w:rPr>
                <w:rFonts w:hint="eastAsia"/>
                <w:color w:val="auto"/>
                <w:sz w:val="24"/>
                <w:szCs w:val="24"/>
              </w:rPr>
              <w:t>7</w:t>
            </w:r>
            <w:r>
              <w:rPr>
                <w:color w:val="auto"/>
                <w:sz w:val="24"/>
                <w:szCs w:val="24"/>
              </w:rPr>
              <w:t>.</w:t>
            </w:r>
            <w:r>
              <w:rPr>
                <w:rFonts w:hint="eastAsia"/>
                <w:color w:val="auto"/>
                <w:sz w:val="24"/>
                <w:szCs w:val="24"/>
              </w:rPr>
              <w:t>2环境风险</w:t>
            </w:r>
            <w:r>
              <w:rPr>
                <w:rFonts w:hint="eastAsia"/>
                <w:color w:val="auto"/>
                <w:sz w:val="24"/>
                <w:szCs w:val="24"/>
                <w:lang w:val="en-US" w:eastAsia="zh-CN"/>
              </w:rPr>
              <w:t>分析</w:t>
            </w:r>
          </w:p>
          <w:p w14:paraId="51FE9E27">
            <w:pPr>
              <w:widowControl/>
              <w:snapToGrid w:val="0"/>
              <w:spacing w:line="384" w:lineRule="auto"/>
              <w:ind w:firstLine="482"/>
              <w:jc w:val="left"/>
              <w:rPr>
                <w:rFonts w:hint="eastAsia"/>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1</w:t>
            </w:r>
            <w:r>
              <w:rPr>
                <w:rFonts w:hint="eastAsia"/>
                <w:color w:val="auto"/>
                <w:kern w:val="0"/>
                <w:sz w:val="24"/>
                <w:szCs w:val="24"/>
                <w:lang w:eastAsia="zh-CN"/>
              </w:rPr>
              <w:t>）</w:t>
            </w:r>
            <w:r>
              <w:rPr>
                <w:rFonts w:hint="eastAsia"/>
                <w:color w:val="auto"/>
                <w:kern w:val="0"/>
                <w:sz w:val="24"/>
                <w:szCs w:val="24"/>
              </w:rPr>
              <w:t>火灾爆炸引起的次生/伴生污染物</w:t>
            </w:r>
          </w:p>
          <w:p w14:paraId="528F44BD">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本项目使用的原辅材料存在</w:t>
            </w:r>
            <w:r>
              <w:rPr>
                <w:rFonts w:hint="eastAsia"/>
                <w:color w:val="auto"/>
                <w:kern w:val="0"/>
                <w:sz w:val="24"/>
                <w:szCs w:val="24"/>
                <w:lang w:val="en-US" w:eastAsia="zh-CN"/>
              </w:rPr>
              <w:t>易燃物</w:t>
            </w:r>
            <w:r>
              <w:rPr>
                <w:rFonts w:hint="eastAsia"/>
                <w:color w:val="auto"/>
                <w:kern w:val="0"/>
                <w:sz w:val="24"/>
                <w:szCs w:val="24"/>
              </w:rPr>
              <w:t>，故存在的风险为火灾对周边环境的影响。火灾风险对周围环境的主要危害包括以下方面：</w:t>
            </w:r>
          </w:p>
          <w:p w14:paraId="6598D973">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①热辐射：易燃物品由于燃烧速度过快、燃烧面积大，而且放出大量的辐射热，危及火灾区周围人员的生命及毗邻建筑物和设备的安全；</w:t>
            </w:r>
          </w:p>
          <w:p w14:paraId="33E2BDEB">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②浓烟及有毒废气：易燃物品火灾时在放出大量辐射热的同时，还散发出大量的浓烟，它是由燃烧物质释放出的高温蒸汽和毒气（其中燃烧产生SO</w:t>
            </w:r>
            <w:r>
              <w:rPr>
                <w:rFonts w:hint="eastAsia"/>
                <w:color w:val="auto"/>
                <w:kern w:val="0"/>
                <w:sz w:val="24"/>
                <w:szCs w:val="24"/>
                <w:vertAlign w:val="subscript"/>
              </w:rPr>
              <w:t>2</w:t>
            </w:r>
            <w:r>
              <w:rPr>
                <w:rFonts w:hint="eastAsia"/>
                <w:color w:val="auto"/>
                <w:kern w:val="0"/>
                <w:sz w:val="24"/>
                <w:szCs w:val="24"/>
              </w:rPr>
              <w:t>、CO等），同时被分解的未燃物质和被火加热而带入上升气流中的空气和污染物质的混合物。不但含有大量的热量，而且还含有蒸汽、有毒气体和弥散的固体颗粒，对火场周围的人员生命安全造成危害，对周围的大气环境质量造成污染。</w:t>
            </w:r>
          </w:p>
          <w:p w14:paraId="6EEAFAA9">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③同时在处理火灾过程中会产生大量的消防废水，如果不经收集直接排放，可能进入雨水管后排入附近水体，从而污染地表水环境。</w:t>
            </w:r>
          </w:p>
          <w:p w14:paraId="4300FD62">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（2）废气事故性排放</w:t>
            </w:r>
          </w:p>
          <w:p w14:paraId="06A1A3DA">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项目废气处理设施主要处理颗粒物和VOCs，若该废气处理设备故障，导致颗粒物、VOCs排放浓度超标排放，则对周围大气环境产生一定影响。</w:t>
            </w:r>
          </w:p>
          <w:p w14:paraId="6758C731">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（3）废水事故排放</w:t>
            </w:r>
          </w:p>
          <w:p w14:paraId="4DAEB850">
            <w:pPr>
              <w:widowControl/>
              <w:snapToGrid w:val="0"/>
              <w:spacing w:line="384" w:lineRule="auto"/>
              <w:ind w:firstLine="482"/>
              <w:jc w:val="left"/>
              <w:rPr>
                <w:color w:val="auto"/>
                <w:kern w:val="0"/>
                <w:sz w:val="24"/>
                <w:szCs w:val="24"/>
              </w:rPr>
            </w:pPr>
            <w:r>
              <w:rPr>
                <w:rFonts w:hint="eastAsia"/>
                <w:color w:val="auto"/>
                <w:kern w:val="0"/>
                <w:sz w:val="24"/>
                <w:szCs w:val="24"/>
              </w:rPr>
              <w:t>本项目生产废水</w:t>
            </w:r>
            <w:r>
              <w:rPr>
                <w:rFonts w:hint="eastAsia"/>
                <w:color w:val="auto"/>
                <w:kern w:val="0"/>
                <w:sz w:val="24"/>
                <w:szCs w:val="24"/>
                <w:lang w:val="en-US" w:eastAsia="zh-CN"/>
              </w:rPr>
              <w:t>不外排</w:t>
            </w:r>
            <w:r>
              <w:rPr>
                <w:rFonts w:hint="eastAsia"/>
                <w:color w:val="auto"/>
                <w:kern w:val="0"/>
                <w:sz w:val="24"/>
                <w:szCs w:val="24"/>
              </w:rPr>
              <w:t>，外排废水仅为生活污水。生活污水水质较简单，浓度不高，若化粪池或污水管不慎破裂，污水外溢，并通过雨水管或地表径流汇入附近水体，将影响周边的地表径流及地下水环境。</w:t>
            </w:r>
          </w:p>
          <w:p w14:paraId="4F653CE1">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（4）风险物质</w:t>
            </w:r>
            <w:r>
              <w:rPr>
                <w:rFonts w:hint="eastAsia"/>
                <w:color w:val="auto"/>
                <w:kern w:val="0"/>
                <w:sz w:val="24"/>
                <w:szCs w:val="24"/>
                <w:lang w:eastAsia="zh-CN"/>
              </w:rPr>
              <w:t>（</w:t>
            </w:r>
            <w:r>
              <w:rPr>
                <w:rFonts w:hint="eastAsia"/>
                <w:color w:val="auto"/>
                <w:kern w:val="0"/>
                <w:sz w:val="24"/>
                <w:szCs w:val="24"/>
                <w:lang w:val="en-US" w:eastAsia="zh-CN"/>
              </w:rPr>
              <w:t>含原辅料、危险废物</w:t>
            </w:r>
            <w:r>
              <w:rPr>
                <w:rFonts w:hint="eastAsia"/>
                <w:color w:val="auto"/>
                <w:kern w:val="0"/>
                <w:sz w:val="24"/>
                <w:szCs w:val="24"/>
                <w:lang w:eastAsia="zh-CN"/>
              </w:rPr>
              <w:t>）</w:t>
            </w:r>
            <w:r>
              <w:rPr>
                <w:rFonts w:hint="eastAsia"/>
                <w:color w:val="auto"/>
                <w:kern w:val="0"/>
                <w:sz w:val="24"/>
                <w:szCs w:val="24"/>
              </w:rPr>
              <w:t>泄漏</w:t>
            </w:r>
          </w:p>
          <w:p w14:paraId="3BDB6197">
            <w:pPr>
              <w:widowControl/>
              <w:snapToGrid w:val="0"/>
              <w:spacing w:line="384" w:lineRule="auto"/>
              <w:ind w:firstLine="482"/>
              <w:jc w:val="left"/>
              <w:rPr>
                <w:rFonts w:hint="eastAsia"/>
                <w:color w:val="auto"/>
                <w:kern w:val="0"/>
                <w:sz w:val="24"/>
                <w:szCs w:val="24"/>
              </w:rPr>
            </w:pPr>
            <w:r>
              <w:rPr>
                <w:rFonts w:hint="eastAsia"/>
                <w:color w:val="auto"/>
                <w:kern w:val="0"/>
                <w:sz w:val="24"/>
                <w:szCs w:val="24"/>
              </w:rPr>
              <w:t>本项目</w:t>
            </w:r>
            <w:r>
              <w:rPr>
                <w:rFonts w:hint="eastAsia"/>
                <w:color w:val="auto"/>
                <w:kern w:val="0"/>
                <w:sz w:val="24"/>
                <w:szCs w:val="24"/>
                <w:lang w:val="en-US" w:eastAsia="zh-CN"/>
              </w:rPr>
              <w:t>原辅材料</w:t>
            </w:r>
            <w:r>
              <w:rPr>
                <w:rFonts w:hint="eastAsia"/>
                <w:color w:val="auto"/>
                <w:kern w:val="0"/>
                <w:sz w:val="24"/>
                <w:szCs w:val="24"/>
              </w:rPr>
              <w:t>以桶装或袋装的形式储存在原料仓库中，生产时转移到投料处。在转移过程中，由于人为不小心碰坏或其他原因可能导致原辅料</w:t>
            </w:r>
            <w:r>
              <w:rPr>
                <w:rFonts w:hint="eastAsia"/>
                <w:color w:val="auto"/>
                <w:kern w:val="0"/>
                <w:sz w:val="24"/>
                <w:szCs w:val="24"/>
                <w:lang w:val="en-US" w:eastAsia="zh-CN"/>
              </w:rPr>
              <w:t>泄漏</w:t>
            </w:r>
            <w:r>
              <w:rPr>
                <w:rFonts w:hint="eastAsia"/>
                <w:color w:val="auto"/>
                <w:kern w:val="0"/>
                <w:sz w:val="24"/>
                <w:szCs w:val="24"/>
              </w:rPr>
              <w:t>，如地面未做好相关防渗防漏措施，可能下渗污染地下水。</w:t>
            </w:r>
          </w:p>
          <w:p w14:paraId="00D77DA0">
            <w:pPr>
              <w:widowControl/>
              <w:snapToGrid w:val="0"/>
              <w:spacing w:line="384" w:lineRule="auto"/>
              <w:ind w:firstLine="482"/>
              <w:jc w:val="left"/>
              <w:rPr>
                <w:color w:val="auto"/>
                <w:kern w:val="0"/>
                <w:sz w:val="24"/>
                <w:szCs w:val="24"/>
              </w:rPr>
            </w:pPr>
            <w:r>
              <w:rPr>
                <w:rFonts w:hint="eastAsia"/>
                <w:color w:val="auto"/>
                <w:kern w:val="0"/>
                <w:sz w:val="24"/>
                <w:szCs w:val="24"/>
              </w:rPr>
              <w:t>本项目将危废贮存库划为重点防渗区</w:t>
            </w:r>
            <w:r>
              <w:rPr>
                <w:rFonts w:hint="eastAsia"/>
                <w:color w:val="auto"/>
                <w:kern w:val="0"/>
                <w:sz w:val="24"/>
                <w:szCs w:val="24"/>
                <w:lang w:eastAsia="zh-CN"/>
              </w:rPr>
              <w:t>，</w:t>
            </w:r>
            <w:r>
              <w:rPr>
                <w:rFonts w:hint="eastAsia"/>
                <w:color w:val="auto"/>
                <w:kern w:val="0"/>
                <w:sz w:val="24"/>
                <w:szCs w:val="24"/>
                <w:lang w:val="en-US" w:eastAsia="zh-CN"/>
              </w:rPr>
              <w:t>危险废物</w:t>
            </w:r>
            <w:r>
              <w:rPr>
                <w:rFonts w:hint="eastAsia"/>
                <w:color w:val="auto"/>
                <w:kern w:val="0"/>
                <w:sz w:val="24"/>
                <w:szCs w:val="24"/>
              </w:rPr>
              <w:t>以桶装或袋装的形式</w:t>
            </w:r>
            <w:r>
              <w:rPr>
                <w:rFonts w:hint="eastAsia"/>
                <w:color w:val="auto"/>
                <w:kern w:val="0"/>
                <w:sz w:val="24"/>
                <w:szCs w:val="24"/>
                <w:lang w:val="en-US" w:eastAsia="zh-CN"/>
              </w:rPr>
              <w:t>临时存放在危险废物暂存间内</w:t>
            </w:r>
            <w:r>
              <w:rPr>
                <w:rFonts w:hint="eastAsia"/>
                <w:color w:val="auto"/>
                <w:kern w:val="0"/>
                <w:sz w:val="24"/>
                <w:szCs w:val="24"/>
              </w:rPr>
              <w:t>，</w:t>
            </w:r>
            <w:r>
              <w:rPr>
                <w:rFonts w:hint="eastAsia"/>
                <w:color w:val="auto"/>
                <w:kern w:val="0"/>
                <w:sz w:val="24"/>
                <w:szCs w:val="24"/>
                <w:lang w:val="en-US" w:eastAsia="zh-CN"/>
              </w:rPr>
              <w:t>暂存间内设围堰、导流沟和集液池</w:t>
            </w:r>
            <w:r>
              <w:rPr>
                <w:rFonts w:hint="eastAsia"/>
                <w:color w:val="auto"/>
                <w:kern w:val="0"/>
                <w:sz w:val="24"/>
                <w:szCs w:val="24"/>
              </w:rPr>
              <w:t>，</w:t>
            </w:r>
            <w:r>
              <w:rPr>
                <w:rFonts w:hint="eastAsia"/>
                <w:color w:val="auto"/>
                <w:kern w:val="0"/>
                <w:sz w:val="24"/>
                <w:szCs w:val="24"/>
                <w:lang w:val="en-US" w:eastAsia="zh-CN"/>
              </w:rPr>
              <w:t>危险废物泄漏时基本不会扩散至外环境。</w:t>
            </w:r>
          </w:p>
          <w:bookmarkEnd w:id="35"/>
          <w:p w14:paraId="4DAE61D8">
            <w:pPr>
              <w:pStyle w:val="82"/>
              <w:rPr>
                <w:color w:val="auto"/>
                <w:sz w:val="24"/>
                <w:szCs w:val="24"/>
              </w:rPr>
            </w:pPr>
            <w:r>
              <w:rPr>
                <w:rFonts w:hint="eastAsia"/>
                <w:color w:val="auto"/>
                <w:sz w:val="24"/>
                <w:szCs w:val="24"/>
              </w:rPr>
              <w:t>7</w:t>
            </w:r>
            <w:r>
              <w:rPr>
                <w:color w:val="auto"/>
                <w:sz w:val="24"/>
                <w:szCs w:val="24"/>
              </w:rPr>
              <w:t>.</w:t>
            </w:r>
            <w:r>
              <w:rPr>
                <w:rFonts w:hint="eastAsia"/>
                <w:color w:val="auto"/>
                <w:sz w:val="24"/>
                <w:szCs w:val="24"/>
                <w:lang w:val="en-US" w:eastAsia="zh-CN"/>
              </w:rPr>
              <w:t>3</w:t>
            </w:r>
            <w:r>
              <w:rPr>
                <w:rFonts w:hint="eastAsia"/>
                <w:color w:val="auto"/>
                <w:sz w:val="24"/>
                <w:szCs w:val="24"/>
              </w:rPr>
              <w:t>环境风险防范措施</w:t>
            </w:r>
          </w:p>
          <w:p w14:paraId="2F8E30E9">
            <w:pPr>
              <w:pStyle w:val="69"/>
              <w:adjustRightInd w:val="0"/>
              <w:snapToGrid w:val="0"/>
              <w:spacing w:line="360" w:lineRule="auto"/>
              <w:rPr>
                <w:rFonts w:hint="eastAsia"/>
                <w:color w:val="auto"/>
                <w:sz w:val="24"/>
                <w:szCs w:val="24"/>
              </w:rPr>
            </w:pPr>
            <w:r>
              <w:rPr>
                <w:rFonts w:hint="eastAsia"/>
                <w:color w:val="auto"/>
                <w:sz w:val="24"/>
                <w:szCs w:val="24"/>
              </w:rPr>
              <w:t>针对本项目可能产生的风险类别，建设单位应考虑采取一系列防范措施，为进一步减少风险事故可能产生的环境影响，建议在采取预防措施基础上加强以下风险防范措施及管理要求。</w:t>
            </w:r>
          </w:p>
          <w:p w14:paraId="0CACE985">
            <w:pPr>
              <w:pStyle w:val="69"/>
              <w:adjustRightInd w:val="0"/>
              <w:snapToGrid w:val="0"/>
              <w:spacing w:line="360" w:lineRule="auto"/>
              <w:rPr>
                <w:rFonts w:hint="eastAsia"/>
                <w:color w:val="auto"/>
                <w:sz w:val="24"/>
                <w:szCs w:val="24"/>
              </w:rPr>
            </w:pPr>
            <w:r>
              <w:rPr>
                <w:rFonts w:hint="eastAsia"/>
                <w:color w:val="auto"/>
                <w:sz w:val="24"/>
                <w:szCs w:val="24"/>
              </w:rPr>
              <w:t>（1）环境风险管理</w:t>
            </w:r>
          </w:p>
          <w:p w14:paraId="7DB3F7DF">
            <w:pPr>
              <w:pStyle w:val="69"/>
              <w:adjustRightInd w:val="0"/>
              <w:snapToGrid w:val="0"/>
              <w:spacing w:line="360" w:lineRule="auto"/>
              <w:rPr>
                <w:rFonts w:hint="eastAsia"/>
                <w:color w:val="auto"/>
                <w:sz w:val="24"/>
                <w:szCs w:val="24"/>
              </w:rPr>
            </w:pPr>
            <w:r>
              <w:rPr>
                <w:rFonts w:hint="eastAsia"/>
                <w:color w:val="auto"/>
                <w:sz w:val="24"/>
                <w:szCs w:val="24"/>
              </w:rPr>
              <w:t>①运输过程的环境风险管理</w:t>
            </w:r>
          </w:p>
          <w:p w14:paraId="00E3D99B">
            <w:pPr>
              <w:pStyle w:val="69"/>
              <w:adjustRightInd w:val="0"/>
              <w:snapToGrid w:val="0"/>
              <w:spacing w:line="360" w:lineRule="auto"/>
              <w:rPr>
                <w:rFonts w:hint="eastAsia"/>
                <w:color w:val="auto"/>
                <w:sz w:val="24"/>
                <w:szCs w:val="24"/>
              </w:rPr>
            </w:pPr>
            <w:r>
              <w:rPr>
                <w:rFonts w:hint="eastAsia"/>
                <w:color w:val="auto"/>
                <w:sz w:val="24"/>
                <w:szCs w:val="24"/>
              </w:rPr>
              <w:t>由于本项目各种物料以袋装或桶装装运，且原料单次购入量也较少，风险度极低。在输送环节上尽可能</w:t>
            </w:r>
            <w:r>
              <w:rPr>
                <w:rFonts w:hint="eastAsia"/>
                <w:color w:val="auto"/>
                <w:sz w:val="24"/>
                <w:szCs w:val="24"/>
                <w:lang w:val="en-US" w:eastAsia="zh-CN"/>
              </w:rPr>
              <w:t>地</w:t>
            </w:r>
            <w:r>
              <w:rPr>
                <w:rFonts w:hint="eastAsia"/>
                <w:color w:val="auto"/>
                <w:sz w:val="24"/>
                <w:szCs w:val="24"/>
              </w:rPr>
              <w:t>减少人为的不安全行为，如不遵守交通规则，误操作等。</w:t>
            </w:r>
          </w:p>
          <w:p w14:paraId="32D18F65">
            <w:pPr>
              <w:pStyle w:val="69"/>
              <w:adjustRightInd w:val="0"/>
              <w:snapToGrid w:val="0"/>
              <w:spacing w:line="360" w:lineRule="auto"/>
              <w:rPr>
                <w:rFonts w:hint="eastAsia"/>
                <w:color w:val="auto"/>
                <w:sz w:val="24"/>
                <w:szCs w:val="24"/>
              </w:rPr>
            </w:pPr>
            <w:r>
              <w:rPr>
                <w:rFonts w:hint="eastAsia"/>
                <w:color w:val="auto"/>
                <w:sz w:val="24"/>
                <w:szCs w:val="24"/>
              </w:rPr>
              <w:t>②储存、生产过程的环境风险管理</w:t>
            </w:r>
          </w:p>
          <w:p w14:paraId="0C7DA68F">
            <w:pPr>
              <w:pStyle w:val="69"/>
              <w:adjustRightInd w:val="0"/>
              <w:snapToGrid w:val="0"/>
              <w:spacing w:line="360" w:lineRule="auto"/>
              <w:rPr>
                <w:rFonts w:hint="eastAsia"/>
                <w:color w:val="auto"/>
                <w:sz w:val="24"/>
                <w:szCs w:val="24"/>
              </w:rPr>
            </w:pPr>
            <w:r>
              <w:rPr>
                <w:rFonts w:hint="eastAsia"/>
                <w:color w:val="auto"/>
                <w:sz w:val="24"/>
                <w:szCs w:val="24"/>
              </w:rPr>
              <w:t>本项目拟对储存过程的环境风险进行系列的管理，具体措施如下：</w:t>
            </w:r>
          </w:p>
          <w:p w14:paraId="7AA683C3">
            <w:pPr>
              <w:pStyle w:val="69"/>
              <w:adjustRightInd w:val="0"/>
              <w:snapToGrid w:val="0"/>
              <w:spacing w:line="360" w:lineRule="auto"/>
              <w:rPr>
                <w:rFonts w:hint="eastAsia"/>
                <w:color w:val="auto"/>
                <w:sz w:val="24"/>
                <w:szCs w:val="24"/>
              </w:rPr>
            </w:pPr>
            <w:r>
              <w:rPr>
                <w:rFonts w:hint="eastAsia"/>
                <w:color w:val="auto"/>
                <w:sz w:val="24"/>
                <w:szCs w:val="24"/>
              </w:rPr>
              <w:t>A.仓库储存物存放处设置明显的标志。</w:t>
            </w:r>
          </w:p>
          <w:p w14:paraId="1BDD7B65">
            <w:pPr>
              <w:pStyle w:val="69"/>
              <w:adjustRightInd w:val="0"/>
              <w:snapToGrid w:val="0"/>
              <w:spacing w:line="360" w:lineRule="auto"/>
              <w:rPr>
                <w:rFonts w:hint="eastAsia"/>
                <w:color w:val="auto"/>
                <w:sz w:val="24"/>
                <w:szCs w:val="24"/>
              </w:rPr>
            </w:pPr>
            <w:r>
              <w:rPr>
                <w:rFonts w:hint="eastAsia"/>
                <w:color w:val="auto"/>
                <w:sz w:val="24"/>
                <w:szCs w:val="24"/>
              </w:rPr>
              <w:t>B.对各类原辅材料按计划采购、分期分批入库，严格控制贮存量。</w:t>
            </w:r>
          </w:p>
          <w:p w14:paraId="7C882ED6">
            <w:pPr>
              <w:pStyle w:val="69"/>
              <w:adjustRightInd w:val="0"/>
              <w:snapToGrid w:val="0"/>
              <w:spacing w:line="360" w:lineRule="auto"/>
              <w:rPr>
                <w:rFonts w:hint="eastAsia"/>
                <w:color w:val="auto"/>
                <w:sz w:val="24"/>
                <w:szCs w:val="24"/>
              </w:rPr>
            </w:pPr>
            <w:r>
              <w:rPr>
                <w:rFonts w:hint="eastAsia"/>
                <w:color w:val="auto"/>
                <w:sz w:val="24"/>
                <w:szCs w:val="24"/>
              </w:rPr>
              <w:t>C.对各类火种、火源和有散发火花危险的机械设备、作业活动，以及可燃、易燃物品的控制和管理。</w:t>
            </w:r>
          </w:p>
          <w:p w14:paraId="7F1E1EC4">
            <w:pPr>
              <w:pStyle w:val="69"/>
              <w:adjustRightInd w:val="0"/>
              <w:snapToGrid w:val="0"/>
              <w:spacing w:line="360" w:lineRule="auto"/>
              <w:rPr>
                <w:rFonts w:hint="eastAsia"/>
                <w:color w:val="auto"/>
                <w:sz w:val="24"/>
                <w:szCs w:val="24"/>
              </w:rPr>
            </w:pPr>
            <w:r>
              <w:rPr>
                <w:rFonts w:hint="eastAsia"/>
                <w:color w:val="auto"/>
                <w:sz w:val="24"/>
                <w:szCs w:val="24"/>
              </w:rPr>
              <w:t>D.实行安全检查制度，各类安全设施、消防器材，进行各种日常的、定期的、专业的防火安全检查，并将发现的问题定人、限期落实整改。</w:t>
            </w:r>
          </w:p>
          <w:p w14:paraId="7237CCD2">
            <w:pPr>
              <w:pStyle w:val="69"/>
              <w:adjustRightInd w:val="0"/>
              <w:snapToGrid w:val="0"/>
              <w:spacing w:line="360" w:lineRule="auto"/>
              <w:rPr>
                <w:rFonts w:hint="eastAsia"/>
                <w:color w:val="auto"/>
                <w:sz w:val="24"/>
                <w:szCs w:val="24"/>
              </w:rPr>
            </w:pPr>
            <w:r>
              <w:rPr>
                <w:rFonts w:hint="eastAsia"/>
                <w:color w:val="auto"/>
                <w:sz w:val="24"/>
                <w:szCs w:val="24"/>
              </w:rPr>
              <w:t>E.制定各种操作规范，加强监督管理，严格看管检查制度，避免事故的发生。</w:t>
            </w:r>
          </w:p>
          <w:p w14:paraId="05F38363">
            <w:pPr>
              <w:pStyle w:val="69"/>
              <w:adjustRightInd w:val="0"/>
              <w:snapToGrid w:val="0"/>
              <w:spacing w:line="360" w:lineRule="auto"/>
              <w:rPr>
                <w:rFonts w:hint="eastAsia"/>
                <w:color w:val="auto"/>
                <w:sz w:val="24"/>
                <w:szCs w:val="24"/>
              </w:rPr>
            </w:pPr>
            <w:r>
              <w:rPr>
                <w:rFonts w:hint="eastAsia"/>
                <w:color w:val="auto"/>
                <w:sz w:val="24"/>
                <w:szCs w:val="24"/>
              </w:rPr>
              <w:t>（2）风险防范措施</w:t>
            </w:r>
          </w:p>
          <w:p w14:paraId="1FD849B0">
            <w:pPr>
              <w:pStyle w:val="69"/>
              <w:adjustRightInd w:val="0"/>
              <w:snapToGrid w:val="0"/>
              <w:spacing w:line="360" w:lineRule="auto"/>
              <w:rPr>
                <w:rFonts w:hint="eastAsia"/>
                <w:color w:val="auto"/>
                <w:sz w:val="24"/>
                <w:szCs w:val="24"/>
              </w:rPr>
            </w:pPr>
            <w:r>
              <w:rPr>
                <w:rFonts w:hint="eastAsia"/>
                <w:color w:val="auto"/>
                <w:sz w:val="24"/>
                <w:szCs w:val="24"/>
              </w:rPr>
              <w:t>①火灾事故防范措施</w:t>
            </w:r>
          </w:p>
          <w:p w14:paraId="1B42EC62">
            <w:pPr>
              <w:pStyle w:val="69"/>
              <w:adjustRightInd w:val="0"/>
              <w:snapToGrid w:val="0"/>
              <w:spacing w:line="360" w:lineRule="auto"/>
              <w:rPr>
                <w:rFonts w:hint="eastAsia"/>
                <w:color w:val="auto"/>
                <w:sz w:val="24"/>
                <w:szCs w:val="24"/>
              </w:rPr>
            </w:pPr>
            <w:r>
              <w:rPr>
                <w:rFonts w:hint="eastAsia"/>
                <w:color w:val="auto"/>
                <w:sz w:val="24"/>
                <w:szCs w:val="24"/>
              </w:rPr>
              <w:t>当发生火灾事故时，应首先组织人员疏散，在确保安全的前提下，尝试进行以下应急处理措施：</w:t>
            </w:r>
          </w:p>
          <w:p w14:paraId="4FF1E58F">
            <w:pPr>
              <w:pStyle w:val="69"/>
              <w:adjustRightInd w:val="0"/>
              <w:snapToGrid w:val="0"/>
              <w:spacing w:line="360" w:lineRule="auto"/>
              <w:rPr>
                <w:rFonts w:hint="eastAsia"/>
                <w:color w:val="auto"/>
                <w:sz w:val="24"/>
                <w:szCs w:val="24"/>
              </w:rPr>
            </w:pPr>
            <w:r>
              <w:rPr>
                <w:rFonts w:hint="eastAsia"/>
                <w:color w:val="auto"/>
                <w:sz w:val="24"/>
                <w:szCs w:val="24"/>
              </w:rPr>
              <w:t>在车间发生火灾时，组织企业自身人员利用干粉、CO</w:t>
            </w:r>
            <w:r>
              <w:rPr>
                <w:rFonts w:hint="eastAsia"/>
                <w:color w:val="auto"/>
                <w:sz w:val="24"/>
                <w:szCs w:val="24"/>
                <w:vertAlign w:val="subscript"/>
              </w:rPr>
              <w:t>2</w:t>
            </w:r>
            <w:r>
              <w:rPr>
                <w:rFonts w:hint="eastAsia"/>
                <w:color w:val="auto"/>
                <w:sz w:val="24"/>
                <w:szCs w:val="24"/>
              </w:rPr>
              <w:t>、雾状水或泡沫灭火器等消防器材进行自救，将火源与原料和产品分离，发生初期火灾时，在岗员工应立即对初起火灾进行扑救，就近原则运用灭火器材扑灭火源；如发生重大火灾事故，还应报告环保、公安、医疗等部门机构，组织社会多方力量救援。</w:t>
            </w:r>
          </w:p>
          <w:p w14:paraId="1FA59F97">
            <w:pPr>
              <w:pStyle w:val="69"/>
              <w:adjustRightInd w:val="0"/>
              <w:snapToGrid w:val="0"/>
              <w:spacing w:line="360" w:lineRule="auto"/>
              <w:rPr>
                <w:rFonts w:hint="eastAsia"/>
                <w:color w:val="auto"/>
                <w:sz w:val="24"/>
                <w:szCs w:val="24"/>
              </w:rPr>
            </w:pPr>
            <w:r>
              <w:rPr>
                <w:rFonts w:hint="eastAsia"/>
                <w:color w:val="auto"/>
                <w:sz w:val="24"/>
                <w:szCs w:val="24"/>
              </w:rPr>
              <w:t>②原料泄漏事故防范措施</w:t>
            </w:r>
          </w:p>
          <w:p w14:paraId="67DCA3FA">
            <w:pPr>
              <w:pStyle w:val="69"/>
              <w:adjustRightInd w:val="0"/>
              <w:snapToGrid w:val="0"/>
              <w:spacing w:line="360" w:lineRule="auto"/>
              <w:rPr>
                <w:rFonts w:hint="eastAsia"/>
                <w:color w:val="auto"/>
                <w:sz w:val="24"/>
                <w:szCs w:val="24"/>
              </w:rPr>
            </w:pPr>
            <w:r>
              <w:rPr>
                <w:rFonts w:hint="eastAsia"/>
                <w:color w:val="auto"/>
                <w:sz w:val="24"/>
                <w:szCs w:val="24"/>
              </w:rPr>
              <w:t>为防止危险物质发生泄漏而污染周围环境，加强控制和管理是杜绝、减轻和避免环境风险的最有效办法。项目危险物质泄漏主要发生在运输与储存环节，对于其运输与储存风险的防范，应在运输管理、运输设备、储存设备及其维护方面加强控制：</w:t>
            </w:r>
          </w:p>
          <w:p w14:paraId="6467DB52">
            <w:pPr>
              <w:pStyle w:val="69"/>
              <w:adjustRightInd w:val="0"/>
              <w:snapToGrid w:val="0"/>
              <w:spacing w:line="360" w:lineRule="auto"/>
              <w:rPr>
                <w:rFonts w:hint="eastAsia"/>
                <w:color w:val="auto"/>
                <w:sz w:val="24"/>
                <w:szCs w:val="24"/>
              </w:rPr>
            </w:pPr>
            <w:r>
              <w:rPr>
                <w:rFonts w:hint="eastAsia"/>
                <w:color w:val="auto"/>
                <w:sz w:val="24"/>
                <w:szCs w:val="24"/>
              </w:rPr>
              <w:t>A.加强运输管理。运输设备以及存放容器必须符合国家有关规定，并进行定期检查；在管理上，应制定运输规章制度规范运输行为。</w:t>
            </w:r>
          </w:p>
          <w:p w14:paraId="0E67153D">
            <w:pPr>
              <w:pStyle w:val="69"/>
              <w:adjustRightInd w:val="0"/>
              <w:snapToGrid w:val="0"/>
              <w:spacing w:line="360" w:lineRule="auto"/>
              <w:rPr>
                <w:rFonts w:hint="eastAsia"/>
                <w:color w:val="auto"/>
                <w:sz w:val="24"/>
                <w:szCs w:val="24"/>
              </w:rPr>
            </w:pPr>
            <w:r>
              <w:rPr>
                <w:rFonts w:hint="eastAsia"/>
                <w:color w:val="auto"/>
                <w:sz w:val="24"/>
                <w:szCs w:val="24"/>
              </w:rPr>
              <w:t>B.加强装卸作业管理。装卸作业场所应设置在人群活动较少的偏僻处；装卸作业人员必须具备合格的专业技能；装卸作业机械设备的性能必须符合要求；不得野蛮装卸作业，装卸过程要轻装轻放。</w:t>
            </w:r>
          </w:p>
          <w:p w14:paraId="42368195">
            <w:pPr>
              <w:pStyle w:val="69"/>
              <w:adjustRightInd w:val="0"/>
              <w:snapToGrid w:val="0"/>
              <w:spacing w:line="360" w:lineRule="auto"/>
              <w:rPr>
                <w:rFonts w:hint="eastAsia"/>
                <w:color w:val="auto"/>
                <w:sz w:val="24"/>
                <w:szCs w:val="24"/>
              </w:rPr>
            </w:pPr>
            <w:r>
              <w:rPr>
                <w:rFonts w:hint="eastAsia"/>
                <w:color w:val="auto"/>
                <w:sz w:val="24"/>
                <w:szCs w:val="24"/>
              </w:rPr>
              <w:t>C.加强储存管理。设置专门的储存区，根据原辅料的性质按规范分类存放；危险物质存放应有标示牌和安全使用说明；危险物质的存放应有专人管理，管理</w:t>
            </w:r>
            <w:r>
              <w:rPr>
                <w:rFonts w:hint="eastAsia"/>
                <w:color w:val="auto"/>
                <w:sz w:val="24"/>
                <w:szCs w:val="24"/>
                <w:lang w:val="en-US" w:eastAsia="zh-CN"/>
              </w:rPr>
              <w:t>人</w:t>
            </w:r>
            <w:r>
              <w:rPr>
                <w:rFonts w:hint="eastAsia"/>
                <w:color w:val="auto"/>
                <w:sz w:val="24"/>
                <w:szCs w:val="24"/>
              </w:rPr>
              <w:t>员则应具备应急处理能力；配备相应品种和数量的消防器材。储区应备有合适的材料收容泄漏物。</w:t>
            </w:r>
          </w:p>
          <w:p w14:paraId="15BAFED1">
            <w:pPr>
              <w:pStyle w:val="69"/>
              <w:adjustRightInd w:val="0"/>
              <w:snapToGrid w:val="0"/>
              <w:spacing w:line="360" w:lineRule="auto"/>
              <w:rPr>
                <w:rFonts w:hint="eastAsia"/>
                <w:color w:val="auto"/>
                <w:sz w:val="24"/>
                <w:szCs w:val="24"/>
              </w:rPr>
            </w:pPr>
            <w:r>
              <w:rPr>
                <w:rFonts w:hint="eastAsia"/>
                <w:color w:val="auto"/>
                <w:sz w:val="24"/>
                <w:szCs w:val="24"/>
              </w:rPr>
              <w:t>③废气环保设施故障风险防范措施</w:t>
            </w:r>
          </w:p>
          <w:p w14:paraId="50FC1D7B">
            <w:pPr>
              <w:pStyle w:val="69"/>
              <w:adjustRightInd w:val="0"/>
              <w:snapToGrid w:val="0"/>
              <w:spacing w:line="360" w:lineRule="auto"/>
              <w:rPr>
                <w:rFonts w:hint="eastAsia"/>
                <w:color w:val="auto"/>
                <w:sz w:val="24"/>
                <w:szCs w:val="24"/>
              </w:rPr>
            </w:pPr>
            <w:r>
              <w:rPr>
                <w:rFonts w:hint="eastAsia"/>
                <w:color w:val="auto"/>
                <w:sz w:val="24"/>
                <w:szCs w:val="24"/>
              </w:rPr>
              <w:t>A.废气处理设施专人定时巡查，确保废气稳定达标排放。</w:t>
            </w:r>
          </w:p>
          <w:p w14:paraId="429E8EB1">
            <w:pPr>
              <w:pStyle w:val="69"/>
              <w:adjustRightInd w:val="0"/>
              <w:snapToGrid w:val="0"/>
              <w:spacing w:line="360" w:lineRule="auto"/>
              <w:rPr>
                <w:rFonts w:hint="eastAsia"/>
                <w:color w:val="auto"/>
                <w:sz w:val="24"/>
                <w:szCs w:val="24"/>
              </w:rPr>
            </w:pPr>
            <w:r>
              <w:rPr>
                <w:rFonts w:hint="eastAsia"/>
                <w:color w:val="auto"/>
                <w:sz w:val="24"/>
                <w:szCs w:val="24"/>
              </w:rPr>
              <w:t>B.加强对废气处理设备的管理，定期检查设备及维护，保证设备的正常运行。</w:t>
            </w:r>
          </w:p>
          <w:p w14:paraId="5D078DD2">
            <w:pPr>
              <w:pStyle w:val="69"/>
              <w:adjustRightInd w:val="0"/>
              <w:snapToGrid w:val="0"/>
              <w:spacing w:line="360" w:lineRule="auto"/>
              <w:rPr>
                <w:rFonts w:hint="eastAsia"/>
                <w:color w:val="auto"/>
                <w:sz w:val="24"/>
                <w:szCs w:val="24"/>
              </w:rPr>
            </w:pPr>
            <w:r>
              <w:rPr>
                <w:rFonts w:hint="eastAsia"/>
                <w:color w:val="auto"/>
                <w:sz w:val="24"/>
                <w:szCs w:val="24"/>
              </w:rPr>
              <w:t>④危险化学品泄漏防范措施</w:t>
            </w:r>
          </w:p>
          <w:p w14:paraId="5E602106">
            <w:pPr>
              <w:pStyle w:val="69"/>
              <w:adjustRightInd w:val="0"/>
              <w:snapToGrid w:val="0"/>
              <w:spacing w:line="360" w:lineRule="auto"/>
              <w:rPr>
                <w:rFonts w:hint="eastAsia"/>
                <w:color w:val="auto"/>
                <w:sz w:val="24"/>
                <w:szCs w:val="24"/>
              </w:rPr>
            </w:pPr>
            <w:r>
              <w:rPr>
                <w:rFonts w:hint="eastAsia"/>
                <w:color w:val="auto"/>
                <w:sz w:val="24"/>
                <w:szCs w:val="24"/>
              </w:rPr>
              <w:t>A.建设单位须严格按《危险化学品安全管理条例》的要求来管理，制定危险化学品安全操作规程，要求操作人员严格按操作规程作业，对从事危险化学</w:t>
            </w:r>
            <w:r>
              <w:rPr>
                <w:rFonts w:hint="eastAsia"/>
                <w:color w:val="auto"/>
                <w:sz w:val="24"/>
                <w:szCs w:val="24"/>
                <w:lang w:val="en-US" w:eastAsia="zh-CN"/>
              </w:rPr>
              <w:t>品</w:t>
            </w:r>
            <w:r>
              <w:rPr>
                <w:rFonts w:hint="eastAsia"/>
                <w:color w:val="auto"/>
                <w:sz w:val="24"/>
                <w:szCs w:val="24"/>
              </w:rPr>
              <w:t>作业人员进行安全培训教育，经常性对危险化学品作业场所进行安全检查，排查安全隐患及时消除。</w:t>
            </w:r>
          </w:p>
          <w:p w14:paraId="7BF4840D">
            <w:pPr>
              <w:pStyle w:val="69"/>
              <w:adjustRightInd w:val="0"/>
              <w:snapToGrid w:val="0"/>
              <w:spacing w:line="360" w:lineRule="auto"/>
              <w:rPr>
                <w:rFonts w:hint="eastAsia"/>
                <w:color w:val="auto"/>
                <w:sz w:val="24"/>
                <w:szCs w:val="24"/>
              </w:rPr>
            </w:pPr>
            <w:r>
              <w:rPr>
                <w:rFonts w:hint="eastAsia"/>
                <w:color w:val="auto"/>
                <w:sz w:val="24"/>
                <w:szCs w:val="24"/>
              </w:rPr>
              <w:t>B.必须严格执行《化学危险物品安全管理条例》及其实施细则等法规、制度和标准，并建立化学危险品管理制度。</w:t>
            </w:r>
          </w:p>
          <w:p w14:paraId="05E7EF0F">
            <w:pPr>
              <w:pStyle w:val="69"/>
              <w:adjustRightInd w:val="0"/>
              <w:snapToGrid w:val="0"/>
              <w:spacing w:line="360" w:lineRule="auto"/>
              <w:rPr>
                <w:rFonts w:hint="eastAsia"/>
                <w:color w:val="auto"/>
                <w:sz w:val="24"/>
                <w:szCs w:val="24"/>
              </w:rPr>
            </w:pPr>
            <w:r>
              <w:rPr>
                <w:rFonts w:hint="eastAsia"/>
                <w:color w:val="auto"/>
                <w:sz w:val="24"/>
                <w:szCs w:val="24"/>
              </w:rPr>
              <w:t>C.储存场所应根据物品特性，配备足够的、相应消防器材，并装设消防、通讯和报警设备。</w:t>
            </w:r>
          </w:p>
          <w:p w14:paraId="27598381">
            <w:pPr>
              <w:pStyle w:val="69"/>
              <w:adjustRightInd w:val="0"/>
              <w:snapToGrid w:val="0"/>
              <w:spacing w:line="360" w:lineRule="auto"/>
              <w:rPr>
                <w:rFonts w:hint="eastAsia"/>
                <w:color w:val="auto"/>
                <w:sz w:val="24"/>
                <w:szCs w:val="24"/>
              </w:rPr>
            </w:pPr>
            <w:r>
              <w:rPr>
                <w:rFonts w:hint="eastAsia"/>
                <w:color w:val="auto"/>
                <w:sz w:val="24"/>
                <w:szCs w:val="24"/>
              </w:rPr>
              <w:t>⑤危险废物泄漏防范措施</w:t>
            </w:r>
          </w:p>
          <w:p w14:paraId="6ABDB47C">
            <w:pPr>
              <w:pStyle w:val="69"/>
              <w:adjustRightInd w:val="0"/>
              <w:snapToGrid w:val="0"/>
              <w:spacing w:line="360" w:lineRule="auto"/>
              <w:rPr>
                <w:rFonts w:hint="eastAsia"/>
                <w:color w:val="auto"/>
                <w:sz w:val="24"/>
                <w:szCs w:val="24"/>
              </w:rPr>
            </w:pPr>
            <w:r>
              <w:rPr>
                <w:rFonts w:hint="eastAsia"/>
                <w:color w:val="auto"/>
                <w:sz w:val="24"/>
                <w:szCs w:val="24"/>
              </w:rPr>
              <w:t>A.废机油和废液压油装入废油桶，废油桶采取密封措施。</w:t>
            </w:r>
          </w:p>
          <w:p w14:paraId="37D425BF">
            <w:pPr>
              <w:pStyle w:val="69"/>
              <w:adjustRightInd w:val="0"/>
              <w:snapToGrid w:val="0"/>
              <w:spacing w:line="360" w:lineRule="auto"/>
              <w:rPr>
                <w:rFonts w:hint="eastAsia"/>
                <w:color w:val="auto"/>
                <w:sz w:val="24"/>
                <w:szCs w:val="24"/>
              </w:rPr>
            </w:pPr>
            <w:r>
              <w:rPr>
                <w:rFonts w:hint="eastAsia"/>
                <w:color w:val="auto"/>
                <w:sz w:val="24"/>
                <w:szCs w:val="24"/>
              </w:rPr>
              <w:t>B.危废贮存库采取地面防渗，防渗系数满足相关标准要求。</w:t>
            </w:r>
          </w:p>
          <w:p w14:paraId="73F4F2B2">
            <w:pPr>
              <w:pStyle w:val="69"/>
              <w:adjustRightInd w:val="0"/>
              <w:snapToGrid w:val="0"/>
              <w:spacing w:line="360" w:lineRule="auto"/>
              <w:rPr>
                <w:rFonts w:hint="eastAsia"/>
                <w:color w:val="auto"/>
                <w:sz w:val="24"/>
                <w:szCs w:val="24"/>
              </w:rPr>
            </w:pPr>
            <w:r>
              <w:rPr>
                <w:rFonts w:hint="eastAsia"/>
                <w:color w:val="auto"/>
                <w:sz w:val="24"/>
                <w:szCs w:val="24"/>
              </w:rPr>
              <w:t>C.设置围堰、灭火器、消防栓和消防沙等堵截、防火措施。</w:t>
            </w:r>
          </w:p>
          <w:p w14:paraId="0E70F0B5">
            <w:pPr>
              <w:pStyle w:val="69"/>
              <w:adjustRightInd w:val="0"/>
              <w:snapToGrid w:val="0"/>
              <w:spacing w:line="360" w:lineRule="auto"/>
              <w:rPr>
                <w:rFonts w:hint="eastAsia"/>
                <w:color w:val="auto"/>
                <w:sz w:val="24"/>
                <w:szCs w:val="24"/>
              </w:rPr>
            </w:pPr>
            <w:r>
              <w:rPr>
                <w:rFonts w:hint="eastAsia"/>
                <w:color w:val="auto"/>
                <w:sz w:val="24"/>
                <w:szCs w:val="24"/>
              </w:rPr>
              <w:t>D.在</w:t>
            </w:r>
            <w:r>
              <w:rPr>
                <w:rFonts w:hint="eastAsia"/>
                <w:color w:val="auto"/>
                <w:sz w:val="24"/>
                <w:szCs w:val="24"/>
                <w:lang w:val="en-US" w:eastAsia="zh-CN"/>
              </w:rPr>
              <w:t>危险废物厂区内</w:t>
            </w:r>
            <w:r>
              <w:rPr>
                <w:rFonts w:hint="eastAsia"/>
                <w:color w:val="auto"/>
                <w:sz w:val="24"/>
                <w:szCs w:val="24"/>
              </w:rPr>
              <w:t>的转移、运输过程中，应重点通过一些管理措施来预防转移和运输过程中发生的泄漏风险，如运输单位或个人应按规定申办准运手续，驾驶员、押运员应经专门培训，使用达到规定的技术标准运输车辆，严禁超载和不按规定时段、路线运行，禁止违章驾驶等。</w:t>
            </w:r>
          </w:p>
          <w:p w14:paraId="69A40709">
            <w:pPr>
              <w:pStyle w:val="69"/>
              <w:adjustRightInd w:val="0"/>
              <w:snapToGrid w:val="0"/>
              <w:spacing w:line="360" w:lineRule="auto"/>
              <w:rPr>
                <w:rFonts w:hint="eastAsia"/>
                <w:color w:val="auto"/>
                <w:sz w:val="24"/>
                <w:szCs w:val="24"/>
              </w:rPr>
            </w:pPr>
            <w:r>
              <w:rPr>
                <w:rFonts w:hint="eastAsia"/>
                <w:color w:val="auto"/>
                <w:sz w:val="24"/>
                <w:szCs w:val="24"/>
              </w:rPr>
              <w:t>⑥危险废物泄漏应急处置措施</w:t>
            </w:r>
          </w:p>
          <w:p w14:paraId="54AEB7B2">
            <w:pPr>
              <w:pStyle w:val="69"/>
              <w:adjustRightInd w:val="0"/>
              <w:snapToGrid w:val="0"/>
              <w:spacing w:line="360" w:lineRule="auto"/>
              <w:rPr>
                <w:rFonts w:hint="eastAsia"/>
                <w:color w:val="auto"/>
                <w:sz w:val="24"/>
                <w:szCs w:val="24"/>
              </w:rPr>
            </w:pPr>
            <w:r>
              <w:rPr>
                <w:rFonts w:hint="eastAsia"/>
                <w:color w:val="auto"/>
                <w:sz w:val="24"/>
                <w:szCs w:val="24"/>
              </w:rPr>
              <w:t>A.事故情况下，将泄漏的废油引流至低处的收集槽中。</w:t>
            </w:r>
          </w:p>
          <w:p w14:paraId="621A1A1D">
            <w:pPr>
              <w:pStyle w:val="69"/>
              <w:adjustRightInd w:val="0"/>
              <w:snapToGrid w:val="0"/>
              <w:spacing w:line="360" w:lineRule="auto"/>
              <w:rPr>
                <w:rFonts w:hint="eastAsia"/>
                <w:color w:val="auto"/>
                <w:sz w:val="24"/>
                <w:szCs w:val="24"/>
              </w:rPr>
            </w:pPr>
            <w:r>
              <w:rPr>
                <w:rFonts w:hint="eastAsia"/>
                <w:color w:val="auto"/>
                <w:sz w:val="24"/>
                <w:szCs w:val="24"/>
              </w:rPr>
              <w:t>B.废油发生泄漏时，可用吸附材料进行吸收，但吸收后的废料必须按环保有关规定进行储存和处置。</w:t>
            </w:r>
          </w:p>
          <w:p w14:paraId="2C6B4025">
            <w:pPr>
              <w:pStyle w:val="69"/>
              <w:adjustRightInd w:val="0"/>
              <w:snapToGrid w:val="0"/>
              <w:spacing w:line="360" w:lineRule="auto"/>
              <w:rPr>
                <w:rFonts w:hint="eastAsia"/>
                <w:color w:val="auto"/>
                <w:sz w:val="24"/>
                <w:szCs w:val="24"/>
              </w:rPr>
            </w:pPr>
            <w:r>
              <w:rPr>
                <w:rFonts w:hint="eastAsia"/>
                <w:color w:val="auto"/>
                <w:sz w:val="24"/>
                <w:szCs w:val="24"/>
              </w:rPr>
              <w:t>C.事故中心区应严禁火种、切断电源，设置警戒线，禁止车辆进入。</w:t>
            </w:r>
          </w:p>
          <w:p w14:paraId="3509C8A8">
            <w:pPr>
              <w:pStyle w:val="69"/>
              <w:adjustRightInd w:val="0"/>
              <w:snapToGrid w:val="0"/>
              <w:spacing w:line="360" w:lineRule="auto"/>
              <w:rPr>
                <w:rFonts w:hint="eastAsia"/>
                <w:color w:val="auto"/>
                <w:sz w:val="24"/>
                <w:szCs w:val="24"/>
              </w:rPr>
            </w:pPr>
            <w:r>
              <w:rPr>
                <w:rFonts w:hint="eastAsia"/>
                <w:color w:val="auto"/>
                <w:sz w:val="24"/>
                <w:szCs w:val="24"/>
              </w:rPr>
              <w:t>⑦其他风险防范措施</w:t>
            </w:r>
          </w:p>
          <w:p w14:paraId="316BF130">
            <w:pPr>
              <w:pStyle w:val="69"/>
              <w:adjustRightInd w:val="0"/>
              <w:snapToGrid w:val="0"/>
              <w:spacing w:line="360" w:lineRule="auto"/>
              <w:rPr>
                <w:rFonts w:hint="eastAsia"/>
                <w:color w:val="auto"/>
                <w:sz w:val="24"/>
                <w:szCs w:val="24"/>
              </w:rPr>
            </w:pPr>
            <w:r>
              <w:rPr>
                <w:rFonts w:hint="eastAsia"/>
                <w:color w:val="auto"/>
                <w:sz w:val="24"/>
                <w:szCs w:val="24"/>
              </w:rPr>
              <w:t>A.总平面布置方面：明确各功能分区界限，整个生产线保持顺畅，排气筒设置在离敏感点相对较远的一侧。</w:t>
            </w:r>
          </w:p>
          <w:p w14:paraId="7E27EB1C">
            <w:pPr>
              <w:pStyle w:val="69"/>
              <w:adjustRightInd w:val="0"/>
              <w:snapToGrid w:val="0"/>
              <w:spacing w:line="360" w:lineRule="auto"/>
              <w:rPr>
                <w:rFonts w:hint="eastAsia"/>
                <w:color w:val="auto"/>
                <w:sz w:val="24"/>
                <w:szCs w:val="24"/>
              </w:rPr>
            </w:pPr>
            <w:r>
              <w:rPr>
                <w:rFonts w:hint="eastAsia"/>
                <w:color w:val="auto"/>
                <w:sz w:val="24"/>
                <w:szCs w:val="24"/>
              </w:rPr>
              <w:t>B.项目生产时，要注意加强对生产过程的控制，加强对车间的通风。</w:t>
            </w:r>
          </w:p>
          <w:p w14:paraId="5C251A3F">
            <w:pPr>
              <w:pStyle w:val="69"/>
              <w:adjustRightInd w:val="0"/>
              <w:snapToGrid w:val="0"/>
              <w:spacing w:line="360" w:lineRule="auto"/>
              <w:rPr>
                <w:rFonts w:hint="eastAsia"/>
                <w:color w:val="auto"/>
                <w:sz w:val="24"/>
                <w:szCs w:val="24"/>
              </w:rPr>
            </w:pPr>
            <w:r>
              <w:rPr>
                <w:rFonts w:hint="eastAsia"/>
                <w:color w:val="auto"/>
                <w:sz w:val="24"/>
                <w:szCs w:val="24"/>
              </w:rPr>
              <w:t>C.对设施设备进行定期巡检、维护，确保各项设施设备能够正常运行。</w:t>
            </w:r>
          </w:p>
          <w:p w14:paraId="19A5714A">
            <w:pPr>
              <w:pStyle w:val="69"/>
              <w:adjustRightInd w:val="0"/>
              <w:snapToGrid w:val="0"/>
              <w:spacing w:line="360" w:lineRule="auto"/>
              <w:rPr>
                <w:rFonts w:hint="eastAsia"/>
                <w:color w:val="auto"/>
                <w:sz w:val="24"/>
                <w:szCs w:val="24"/>
              </w:rPr>
            </w:pPr>
            <w:r>
              <w:rPr>
                <w:rFonts w:hint="eastAsia"/>
                <w:color w:val="auto"/>
                <w:sz w:val="24"/>
                <w:szCs w:val="24"/>
              </w:rPr>
              <w:t>D.对应急物资从购进到使用到废弃，做好记录，及时更新时效性物资，如救援药物、灭火器等。</w:t>
            </w:r>
          </w:p>
          <w:p w14:paraId="335B07EC">
            <w:pPr>
              <w:pStyle w:val="69"/>
              <w:adjustRightInd w:val="0"/>
              <w:snapToGrid w:val="0"/>
              <w:spacing w:line="360" w:lineRule="auto"/>
              <w:rPr>
                <w:rFonts w:hint="eastAsia"/>
                <w:color w:val="auto"/>
                <w:sz w:val="24"/>
                <w:szCs w:val="24"/>
              </w:rPr>
            </w:pPr>
            <w:r>
              <w:rPr>
                <w:rFonts w:hint="eastAsia"/>
                <w:color w:val="auto"/>
                <w:sz w:val="24"/>
                <w:szCs w:val="24"/>
              </w:rPr>
              <w:t>E.及时更新应急通讯录内容，确保发生事故时能够及时通知到各部门。</w:t>
            </w:r>
          </w:p>
          <w:p w14:paraId="6F52B3C8">
            <w:pPr>
              <w:pStyle w:val="69"/>
              <w:adjustRightInd w:val="0"/>
              <w:snapToGrid w:val="0"/>
              <w:spacing w:line="360" w:lineRule="auto"/>
              <w:rPr>
                <w:rFonts w:hint="eastAsia"/>
                <w:color w:val="auto"/>
                <w:sz w:val="24"/>
                <w:szCs w:val="24"/>
                <w:lang w:val="en-US" w:eastAsia="zh-CN"/>
              </w:rPr>
            </w:pPr>
            <w:r>
              <w:rPr>
                <w:rFonts w:hint="eastAsia"/>
                <w:color w:val="auto"/>
                <w:sz w:val="24"/>
                <w:szCs w:val="24"/>
                <w:lang w:val="en-US" w:eastAsia="zh-CN"/>
              </w:rPr>
              <w:t>F.项目建成后，建设单位应组织编制突发环境事件应急预案，并上报三明市大田生态环境局备案。</w:t>
            </w:r>
          </w:p>
          <w:p w14:paraId="06AF785C">
            <w:pPr>
              <w:pStyle w:val="69"/>
              <w:adjustRightInd w:val="0"/>
              <w:snapToGrid w:val="0"/>
              <w:spacing w:line="360" w:lineRule="auto"/>
              <w:rPr>
                <w:rFonts w:hint="eastAsia" w:eastAsia="宋体"/>
                <w:color w:val="auto"/>
                <w:sz w:val="24"/>
                <w:szCs w:val="24"/>
                <w:lang w:val="en-US" w:eastAsia="zh-CN"/>
              </w:rPr>
            </w:pPr>
            <w:r>
              <w:rPr>
                <w:rFonts w:hint="eastAsia"/>
                <w:color w:val="auto"/>
                <w:sz w:val="24"/>
                <w:szCs w:val="24"/>
                <w:lang w:val="en-US" w:eastAsia="zh-CN"/>
              </w:rPr>
              <w:t>⑧</w:t>
            </w:r>
            <w:r>
              <w:rPr>
                <w:rFonts w:hint="eastAsia"/>
                <w:color w:val="auto"/>
                <w:sz w:val="24"/>
                <w:szCs w:val="24"/>
              </w:rPr>
              <w:t>环境风险防控体系</w:t>
            </w:r>
            <w:r>
              <w:rPr>
                <w:rFonts w:hint="eastAsia"/>
                <w:color w:val="auto"/>
                <w:sz w:val="24"/>
                <w:szCs w:val="24"/>
                <w:lang w:val="en-US" w:eastAsia="zh-CN"/>
              </w:rPr>
              <w:t>建设</w:t>
            </w:r>
          </w:p>
          <w:p w14:paraId="2B6C8423">
            <w:pPr>
              <w:pStyle w:val="69"/>
              <w:adjustRightInd w:val="0"/>
              <w:snapToGrid w:val="0"/>
              <w:spacing w:line="360" w:lineRule="auto"/>
              <w:rPr>
                <w:rFonts w:hint="eastAsia"/>
                <w:color w:val="auto"/>
                <w:sz w:val="24"/>
                <w:szCs w:val="24"/>
              </w:rPr>
            </w:pPr>
            <w:r>
              <w:rPr>
                <w:rFonts w:hint="eastAsia"/>
                <w:color w:val="auto"/>
                <w:sz w:val="24"/>
                <w:szCs w:val="24"/>
                <w:lang w:val="en-US" w:eastAsia="zh-CN"/>
              </w:rPr>
              <w:t>建设单位应</w:t>
            </w:r>
            <w:r>
              <w:rPr>
                <w:rFonts w:hint="eastAsia"/>
                <w:color w:val="auto"/>
                <w:sz w:val="24"/>
                <w:szCs w:val="24"/>
              </w:rPr>
              <w:t>建立</w:t>
            </w:r>
            <w:r>
              <w:rPr>
                <w:rFonts w:hint="eastAsia"/>
                <w:color w:val="auto"/>
                <w:sz w:val="24"/>
                <w:szCs w:val="24"/>
                <w:lang w:val="en-US" w:eastAsia="zh-CN"/>
              </w:rPr>
              <w:t>完善的</w:t>
            </w:r>
            <w:r>
              <w:rPr>
                <w:rFonts w:hint="eastAsia"/>
                <w:color w:val="auto"/>
                <w:sz w:val="24"/>
                <w:szCs w:val="24"/>
              </w:rPr>
              <w:t>环境风险防控体系。</w:t>
            </w:r>
          </w:p>
          <w:p w14:paraId="7DDD77AB">
            <w:pPr>
              <w:pStyle w:val="69"/>
              <w:numPr>
                <w:ilvl w:val="0"/>
                <w:numId w:val="13"/>
              </w:numPr>
              <w:adjustRightInd w:val="0"/>
              <w:snapToGrid w:val="0"/>
              <w:spacing w:line="360" w:lineRule="auto"/>
              <w:rPr>
                <w:rFonts w:hint="eastAsia"/>
                <w:color w:val="auto"/>
                <w:sz w:val="24"/>
                <w:szCs w:val="24"/>
                <w:lang w:val="en-US" w:eastAsia="zh-CN"/>
              </w:rPr>
            </w:pPr>
            <w:r>
              <w:rPr>
                <w:rFonts w:hint="eastAsia"/>
                <w:color w:val="auto"/>
                <w:sz w:val="24"/>
                <w:szCs w:val="24"/>
                <w:lang w:val="en-US" w:eastAsia="zh-CN"/>
              </w:rPr>
              <w:t>厂库</w:t>
            </w:r>
            <w:r>
              <w:rPr>
                <w:rFonts w:hint="eastAsia"/>
                <w:color w:val="auto"/>
                <w:sz w:val="24"/>
                <w:szCs w:val="24"/>
              </w:rPr>
              <w:t>内</w:t>
            </w:r>
            <w:r>
              <w:rPr>
                <w:rFonts w:hint="eastAsia"/>
                <w:color w:val="auto"/>
                <w:sz w:val="24"/>
                <w:szCs w:val="24"/>
                <w:lang w:val="en-US" w:eastAsia="zh-CN"/>
              </w:rPr>
              <w:t>液态原料（三乙胺、硅溶胶、切削液、机油、液压油、TPU胶黏剂等）存放区应设</w:t>
            </w:r>
            <w:r>
              <w:rPr>
                <w:rFonts w:hint="eastAsia" w:ascii="Times New Roman" w:hAnsi="Times New Roman" w:eastAsia="宋体" w:cs="宋体"/>
                <w:color w:val="auto"/>
                <w:sz w:val="24"/>
                <w:szCs w:val="24"/>
                <w:lang w:val="en-US" w:eastAsia="zh-CN"/>
              </w:rPr>
              <w:t>置围堰和防渗托盘，围堰高度不低于150mm；仓库地面按要求进行防腐防渗处理。</w:t>
            </w:r>
          </w:p>
          <w:p w14:paraId="5414C5BB">
            <w:pPr>
              <w:pStyle w:val="69"/>
              <w:numPr>
                <w:ilvl w:val="0"/>
                <w:numId w:val="13"/>
              </w:numPr>
              <w:adjustRightInd w:val="0"/>
              <w:snapToGrid w:val="0"/>
              <w:spacing w:line="360" w:lineRule="auto"/>
              <w:rPr>
                <w:rFonts w:hint="eastAsia"/>
                <w:color w:val="auto"/>
                <w:sz w:val="24"/>
                <w:szCs w:val="24"/>
              </w:rPr>
            </w:pPr>
            <w:r>
              <w:rPr>
                <w:rFonts w:hint="eastAsia"/>
                <w:color w:val="auto"/>
                <w:sz w:val="24"/>
                <w:szCs w:val="24"/>
                <w:lang w:val="en-US" w:eastAsia="zh-CN"/>
              </w:rPr>
              <w:t>厂区内</w:t>
            </w:r>
            <w:r>
              <w:rPr>
                <w:rFonts w:hint="eastAsia"/>
                <w:color w:val="auto"/>
                <w:sz w:val="24"/>
                <w:szCs w:val="24"/>
              </w:rPr>
              <w:t>设置</w:t>
            </w:r>
            <w:r>
              <w:rPr>
                <w:rFonts w:hint="eastAsia"/>
                <w:color w:val="auto"/>
                <w:sz w:val="24"/>
                <w:szCs w:val="24"/>
                <w:lang w:val="en-US" w:eastAsia="zh-CN"/>
              </w:rPr>
              <w:t>容积足够的事故应急池</w:t>
            </w:r>
            <w:r>
              <w:rPr>
                <w:rFonts w:hint="eastAsia"/>
                <w:color w:val="auto"/>
                <w:sz w:val="24"/>
                <w:szCs w:val="24"/>
              </w:rPr>
              <w:t>，</w:t>
            </w:r>
            <w:r>
              <w:rPr>
                <w:rFonts w:hint="eastAsia"/>
                <w:color w:val="auto"/>
                <w:sz w:val="24"/>
                <w:szCs w:val="24"/>
                <w:lang w:val="en-US" w:eastAsia="zh-CN"/>
              </w:rPr>
              <w:t>以</w:t>
            </w:r>
            <w:r>
              <w:rPr>
                <w:rFonts w:hint="eastAsia"/>
                <w:color w:val="auto"/>
                <w:sz w:val="24"/>
                <w:szCs w:val="24"/>
              </w:rPr>
              <w:t>满足事故状态下收集泄漏物料、污染消防水和污染雨水的</w:t>
            </w:r>
            <w:r>
              <w:rPr>
                <w:rFonts w:hint="eastAsia"/>
                <w:color w:val="auto"/>
                <w:sz w:val="24"/>
                <w:szCs w:val="24"/>
                <w:lang w:val="en-US" w:eastAsia="zh-CN"/>
              </w:rPr>
              <w:t>暂存</w:t>
            </w:r>
            <w:r>
              <w:rPr>
                <w:rFonts w:hint="eastAsia"/>
                <w:color w:val="auto"/>
                <w:sz w:val="24"/>
                <w:szCs w:val="24"/>
              </w:rPr>
              <w:t>需要。</w:t>
            </w:r>
          </w:p>
          <w:p w14:paraId="2C9A4385">
            <w:pPr>
              <w:pStyle w:val="69"/>
              <w:numPr>
                <w:ilvl w:val="0"/>
                <w:numId w:val="13"/>
              </w:numPr>
              <w:adjustRightInd w:val="0"/>
              <w:snapToGrid w:val="0"/>
              <w:spacing w:line="360" w:lineRule="auto"/>
              <w:rPr>
                <w:rFonts w:hint="eastAsia"/>
                <w:color w:val="auto"/>
                <w:sz w:val="24"/>
                <w:szCs w:val="24"/>
              </w:rPr>
            </w:pPr>
            <w:r>
              <w:rPr>
                <w:rFonts w:hint="eastAsia"/>
                <w:color w:val="auto"/>
                <w:sz w:val="24"/>
                <w:szCs w:val="24"/>
                <w:lang w:val="en-US" w:eastAsia="zh-CN"/>
              </w:rPr>
              <w:t>落实各项</w:t>
            </w:r>
            <w:r>
              <w:rPr>
                <w:rFonts w:hint="eastAsia"/>
                <w:color w:val="auto"/>
                <w:sz w:val="24"/>
                <w:szCs w:val="24"/>
              </w:rPr>
              <w:t>环境风险防控措施建设</w:t>
            </w:r>
            <w:r>
              <w:rPr>
                <w:rFonts w:hint="eastAsia"/>
                <w:color w:val="auto"/>
                <w:sz w:val="24"/>
                <w:szCs w:val="24"/>
                <w:lang w:eastAsia="zh-CN"/>
              </w:rPr>
              <w:t>，</w:t>
            </w:r>
            <w:r>
              <w:rPr>
                <w:rFonts w:hint="eastAsia"/>
                <w:color w:val="auto"/>
                <w:sz w:val="24"/>
                <w:szCs w:val="24"/>
                <w:lang w:val="en-US" w:eastAsia="zh-CN"/>
              </w:rPr>
              <w:t>主要</w:t>
            </w:r>
            <w:r>
              <w:rPr>
                <w:rFonts w:hint="eastAsia"/>
                <w:color w:val="auto"/>
                <w:sz w:val="24"/>
                <w:szCs w:val="24"/>
              </w:rPr>
              <w:t>包括环境应急有关标识标牌、环境应急池、</w:t>
            </w:r>
            <w:r>
              <w:rPr>
                <w:rFonts w:hint="eastAsia"/>
                <w:color w:val="auto"/>
                <w:sz w:val="24"/>
                <w:szCs w:val="24"/>
                <w:lang w:val="en-US" w:eastAsia="zh-CN"/>
              </w:rPr>
              <w:t>化学品</w:t>
            </w:r>
            <w:r>
              <w:rPr>
                <w:rFonts w:hint="eastAsia"/>
                <w:color w:val="auto"/>
                <w:sz w:val="24"/>
                <w:szCs w:val="24"/>
              </w:rPr>
              <w:t>存储区域截流设施</w:t>
            </w:r>
            <w:r>
              <w:rPr>
                <w:rFonts w:hint="eastAsia"/>
                <w:color w:val="auto"/>
                <w:sz w:val="24"/>
                <w:szCs w:val="24"/>
                <w:lang w:eastAsia="zh-CN"/>
              </w:rPr>
              <w:t>（</w:t>
            </w:r>
            <w:r>
              <w:rPr>
                <w:rFonts w:hint="eastAsia"/>
                <w:color w:val="auto"/>
                <w:sz w:val="24"/>
                <w:szCs w:val="24"/>
                <w:lang w:val="en-US" w:eastAsia="zh-CN"/>
              </w:rPr>
              <w:t>围堰或防渗托盘</w:t>
            </w:r>
            <w:r>
              <w:rPr>
                <w:rFonts w:hint="eastAsia"/>
                <w:color w:val="auto"/>
                <w:sz w:val="24"/>
                <w:szCs w:val="24"/>
                <w:lang w:eastAsia="zh-CN"/>
              </w:rPr>
              <w:t>）</w:t>
            </w:r>
            <w:r>
              <w:rPr>
                <w:rFonts w:hint="eastAsia"/>
                <w:color w:val="auto"/>
                <w:sz w:val="24"/>
                <w:szCs w:val="24"/>
              </w:rPr>
              <w:t>、雨水排放</w:t>
            </w:r>
            <w:r>
              <w:rPr>
                <w:rFonts w:hint="eastAsia"/>
                <w:color w:val="auto"/>
                <w:sz w:val="24"/>
                <w:szCs w:val="24"/>
                <w:lang w:val="en-US" w:eastAsia="zh-CN"/>
              </w:rPr>
              <w:t>口设置</w:t>
            </w:r>
            <w:r>
              <w:rPr>
                <w:rFonts w:hint="eastAsia"/>
                <w:color w:val="auto"/>
                <w:sz w:val="24"/>
                <w:szCs w:val="24"/>
              </w:rPr>
              <w:t>监视和切断装置</w:t>
            </w:r>
            <w:r>
              <w:rPr>
                <w:rFonts w:hint="eastAsia"/>
                <w:color w:val="auto"/>
                <w:sz w:val="24"/>
                <w:szCs w:val="24"/>
                <w:lang w:eastAsia="zh-CN"/>
              </w:rPr>
              <w:t>、</w:t>
            </w:r>
            <w:r>
              <w:rPr>
                <w:rFonts w:hint="eastAsia"/>
                <w:color w:val="auto"/>
                <w:sz w:val="24"/>
                <w:szCs w:val="24"/>
              </w:rPr>
              <w:t>可燃或有毒有害气体报警和远程切断系统、按“事故状态下水体污染的预防与控制技术要求”标准设计应急池容量和应急阀门等。</w:t>
            </w:r>
          </w:p>
          <w:p w14:paraId="4B1A76F0">
            <w:pPr>
              <w:pStyle w:val="69"/>
              <w:numPr>
                <w:ilvl w:val="0"/>
                <w:numId w:val="13"/>
              </w:numPr>
              <w:adjustRightInd w:val="0"/>
              <w:snapToGrid w:val="0"/>
              <w:spacing w:line="360" w:lineRule="auto"/>
              <w:rPr>
                <w:rFonts w:hint="eastAsia"/>
                <w:color w:val="auto"/>
                <w:sz w:val="24"/>
                <w:szCs w:val="24"/>
              </w:rPr>
            </w:pPr>
            <w:r>
              <w:rPr>
                <w:rFonts w:hint="eastAsia"/>
                <w:color w:val="auto"/>
                <w:sz w:val="24"/>
                <w:szCs w:val="24"/>
                <w:lang w:val="en-US" w:eastAsia="zh-CN"/>
              </w:rPr>
              <w:t>建</w:t>
            </w:r>
            <w:r>
              <w:rPr>
                <w:rFonts w:hint="eastAsia" w:ascii="Times New Roman" w:hAnsi="Times New Roman" w:eastAsia="宋体" w:cs="宋体"/>
                <w:color w:val="auto"/>
                <w:sz w:val="24"/>
                <w:szCs w:val="24"/>
                <w:lang w:val="en-US" w:eastAsia="zh-CN"/>
              </w:rPr>
              <w:t>立完善的环境风险防控和应急措施制度，</w:t>
            </w:r>
            <w:r>
              <w:rPr>
                <w:rFonts w:hint="eastAsia"/>
                <w:color w:val="auto"/>
                <w:sz w:val="24"/>
                <w:szCs w:val="24"/>
              </w:rPr>
              <w:t>包括环境应急预案和演练、环境应急物资和设备管理、环境应急救援力量、环境安全培训、环境安全隐患排查机制、环境风险岗位责任制等制度。</w:t>
            </w:r>
          </w:p>
          <w:p w14:paraId="655B2234">
            <w:pPr>
              <w:pStyle w:val="69"/>
              <w:numPr>
                <w:ilvl w:val="0"/>
                <w:numId w:val="13"/>
              </w:numPr>
              <w:adjustRightInd w:val="0"/>
              <w:snapToGrid w:val="0"/>
              <w:spacing w:line="360" w:lineRule="auto"/>
              <w:rPr>
                <w:rFonts w:hint="eastAsia"/>
                <w:color w:val="auto"/>
                <w:sz w:val="24"/>
                <w:szCs w:val="24"/>
              </w:rPr>
            </w:pPr>
            <w:r>
              <w:rPr>
                <w:rFonts w:hint="eastAsia"/>
                <w:color w:val="auto"/>
                <w:sz w:val="24"/>
                <w:szCs w:val="24"/>
                <w:lang w:val="en-US" w:eastAsia="zh-CN"/>
              </w:rPr>
              <w:t>配备足够的</w:t>
            </w:r>
            <w:r>
              <w:rPr>
                <w:rFonts w:hint="eastAsia"/>
                <w:color w:val="auto"/>
                <w:sz w:val="24"/>
                <w:szCs w:val="24"/>
              </w:rPr>
              <w:t>环境应急资源</w:t>
            </w:r>
            <w:r>
              <w:rPr>
                <w:rFonts w:hint="eastAsia"/>
                <w:color w:val="auto"/>
                <w:sz w:val="24"/>
                <w:szCs w:val="24"/>
                <w:lang w:eastAsia="zh-CN"/>
              </w:rPr>
              <w:t>，</w:t>
            </w:r>
            <w:r>
              <w:rPr>
                <w:rFonts w:hint="eastAsia"/>
                <w:color w:val="auto"/>
                <w:sz w:val="24"/>
                <w:szCs w:val="24"/>
              </w:rPr>
              <w:t>包括应急物资、应急装备、应急救援队伍等。</w:t>
            </w:r>
          </w:p>
          <w:p w14:paraId="0166769B">
            <w:pPr>
              <w:pStyle w:val="69"/>
              <w:adjustRightInd w:val="0"/>
              <w:snapToGrid w:val="0"/>
              <w:spacing w:line="360" w:lineRule="auto"/>
              <w:rPr>
                <w:rFonts w:hint="default" w:eastAsia="宋体"/>
                <w:color w:val="auto"/>
                <w:sz w:val="24"/>
                <w:szCs w:val="24"/>
                <w:lang w:val="en-US" w:eastAsia="zh-CN"/>
              </w:rPr>
            </w:pPr>
            <w:r>
              <w:rPr>
                <w:rFonts w:hint="eastAsia"/>
                <w:color w:val="auto"/>
                <w:sz w:val="24"/>
                <w:szCs w:val="24"/>
                <w:lang w:val="en-US" w:eastAsia="zh-CN"/>
              </w:rPr>
              <w:t>⑨事故应急池设计</w:t>
            </w:r>
          </w:p>
          <w:p w14:paraId="3B4C09C4">
            <w:pPr>
              <w:spacing w:line="360" w:lineRule="auto"/>
              <w:ind w:firstLine="480" w:firstLineChars="200"/>
              <w:rPr>
                <w:color w:val="auto"/>
                <w:kern w:val="0"/>
                <w:sz w:val="24"/>
              </w:rPr>
            </w:pPr>
            <w:r>
              <w:rPr>
                <w:rFonts w:hint="eastAsia"/>
                <w:color w:val="auto"/>
                <w:kern w:val="0"/>
                <w:sz w:val="24"/>
              </w:rPr>
              <w:t>应急事故池的设计参照《建筑设计防火规范》（GB50016-2014）、《消防给水及消火栓系统技术规范》（GB50971-2014）及《水体污染防控紧急措施设计导则》的相关规定确定：</w:t>
            </w:r>
          </w:p>
          <w:p w14:paraId="4D850F05">
            <w:pPr>
              <w:spacing w:line="360" w:lineRule="auto"/>
              <w:ind w:firstLine="480" w:firstLineChars="200"/>
              <w:rPr>
                <w:color w:val="auto"/>
                <w:sz w:val="24"/>
              </w:rPr>
            </w:pPr>
            <w:r>
              <w:rPr>
                <w:color w:val="auto"/>
                <w:sz w:val="24"/>
              </w:rPr>
              <w:t>V</w:t>
            </w:r>
            <w:r>
              <w:rPr>
                <w:color w:val="auto"/>
                <w:sz w:val="24"/>
                <w:vertAlign w:val="subscript"/>
              </w:rPr>
              <w:t>总</w:t>
            </w:r>
            <w:r>
              <w:rPr>
                <w:color w:val="auto"/>
                <w:sz w:val="24"/>
              </w:rPr>
              <w:t>＝(V</w:t>
            </w:r>
            <w:r>
              <w:rPr>
                <w:color w:val="auto"/>
                <w:sz w:val="24"/>
                <w:vertAlign w:val="subscript"/>
              </w:rPr>
              <w:t>1</w:t>
            </w:r>
            <w:r>
              <w:rPr>
                <w:color w:val="auto"/>
                <w:sz w:val="24"/>
              </w:rPr>
              <w:t>＋V</w:t>
            </w:r>
            <w:r>
              <w:rPr>
                <w:color w:val="auto"/>
                <w:sz w:val="24"/>
                <w:vertAlign w:val="subscript"/>
              </w:rPr>
              <w:t>2</w:t>
            </w:r>
            <w:r>
              <w:rPr>
                <w:color w:val="auto"/>
                <w:sz w:val="24"/>
              </w:rPr>
              <w:t>－V</w:t>
            </w:r>
            <w:r>
              <w:rPr>
                <w:color w:val="auto"/>
                <w:sz w:val="24"/>
                <w:vertAlign w:val="subscript"/>
              </w:rPr>
              <w:t>3</w:t>
            </w:r>
            <w:r>
              <w:rPr>
                <w:color w:val="auto"/>
                <w:sz w:val="24"/>
              </w:rPr>
              <w:t>)max＋V</w:t>
            </w:r>
            <w:r>
              <w:rPr>
                <w:color w:val="auto"/>
                <w:sz w:val="24"/>
                <w:vertAlign w:val="subscript"/>
              </w:rPr>
              <w:t>4</w:t>
            </w:r>
            <w:r>
              <w:rPr>
                <w:color w:val="auto"/>
                <w:sz w:val="24"/>
              </w:rPr>
              <w:t>+V</w:t>
            </w:r>
            <w:r>
              <w:rPr>
                <w:color w:val="auto"/>
                <w:sz w:val="24"/>
                <w:vertAlign w:val="subscript"/>
              </w:rPr>
              <w:t>5</w:t>
            </w:r>
          </w:p>
          <w:p w14:paraId="762F9891">
            <w:pPr>
              <w:spacing w:line="360" w:lineRule="auto"/>
              <w:ind w:firstLine="480" w:firstLineChars="200"/>
              <w:rPr>
                <w:color w:val="auto"/>
                <w:sz w:val="24"/>
              </w:rPr>
            </w:pPr>
            <w:r>
              <w:rPr>
                <w:color w:val="auto"/>
                <w:sz w:val="24"/>
              </w:rPr>
              <w:t>注：(V</w:t>
            </w:r>
            <w:r>
              <w:rPr>
                <w:color w:val="auto"/>
                <w:sz w:val="24"/>
                <w:vertAlign w:val="subscript"/>
              </w:rPr>
              <w:t>1</w:t>
            </w:r>
            <w:r>
              <w:rPr>
                <w:color w:val="auto"/>
                <w:sz w:val="24"/>
              </w:rPr>
              <w:t>＋V</w:t>
            </w:r>
            <w:r>
              <w:rPr>
                <w:color w:val="auto"/>
                <w:sz w:val="24"/>
                <w:vertAlign w:val="subscript"/>
              </w:rPr>
              <w:t>2</w:t>
            </w:r>
            <w:r>
              <w:rPr>
                <w:color w:val="auto"/>
                <w:sz w:val="24"/>
              </w:rPr>
              <w:t>－V</w:t>
            </w:r>
            <w:r>
              <w:rPr>
                <w:color w:val="auto"/>
                <w:sz w:val="24"/>
                <w:vertAlign w:val="subscript"/>
              </w:rPr>
              <w:t>3</w:t>
            </w:r>
            <w:r>
              <w:rPr>
                <w:color w:val="auto"/>
                <w:sz w:val="24"/>
              </w:rPr>
              <w:t>)max是指对收集系统范围内不同罐组或装置分别计算，(V</w:t>
            </w:r>
            <w:r>
              <w:rPr>
                <w:color w:val="auto"/>
                <w:sz w:val="24"/>
                <w:vertAlign w:val="subscript"/>
              </w:rPr>
              <w:t>1</w:t>
            </w:r>
            <w:r>
              <w:rPr>
                <w:color w:val="auto"/>
                <w:sz w:val="24"/>
              </w:rPr>
              <w:t>＋V</w:t>
            </w:r>
            <w:r>
              <w:rPr>
                <w:color w:val="auto"/>
                <w:sz w:val="24"/>
                <w:vertAlign w:val="subscript"/>
              </w:rPr>
              <w:t>2</w:t>
            </w:r>
            <w:r>
              <w:rPr>
                <w:color w:val="auto"/>
                <w:sz w:val="24"/>
              </w:rPr>
              <w:t>－V</w:t>
            </w:r>
            <w:r>
              <w:rPr>
                <w:color w:val="auto"/>
                <w:sz w:val="24"/>
                <w:vertAlign w:val="subscript"/>
              </w:rPr>
              <w:t>3</w:t>
            </w:r>
            <w:r>
              <w:rPr>
                <w:color w:val="auto"/>
                <w:sz w:val="24"/>
              </w:rPr>
              <w:t>)取其中最大值。</w:t>
            </w:r>
          </w:p>
          <w:p w14:paraId="1B5A293E">
            <w:pPr>
              <w:spacing w:line="360" w:lineRule="auto"/>
              <w:ind w:firstLine="480" w:firstLineChars="200"/>
              <w:rPr>
                <w:color w:val="auto"/>
                <w:sz w:val="24"/>
              </w:rPr>
            </w:pPr>
            <w:r>
              <w:rPr>
                <w:color w:val="auto"/>
                <w:sz w:val="24"/>
              </w:rPr>
              <w:t>V</w:t>
            </w:r>
            <w:r>
              <w:rPr>
                <w:color w:val="auto"/>
                <w:sz w:val="24"/>
                <w:vertAlign w:val="subscript"/>
              </w:rPr>
              <w:t>1</w:t>
            </w:r>
            <w:r>
              <w:rPr>
                <w:color w:val="auto"/>
                <w:sz w:val="24"/>
              </w:rPr>
              <w:t>——收集系统范围内发生事故的一个罐组或一套装置的物料量。储存相同物料的罐组按一个最大储罐计，装置物料量按存留最大物料量的一台反应器或中间储罐计，m</w:t>
            </w:r>
            <w:r>
              <w:rPr>
                <w:color w:val="auto"/>
                <w:sz w:val="24"/>
                <w:vertAlign w:val="superscript"/>
              </w:rPr>
              <w:t>3</w:t>
            </w:r>
            <w:r>
              <w:rPr>
                <w:color w:val="auto"/>
                <w:sz w:val="24"/>
              </w:rPr>
              <w:t>，取0</w:t>
            </w:r>
            <w:r>
              <w:rPr>
                <w:color w:val="auto"/>
                <w:spacing w:val="4"/>
                <w:kern w:val="0"/>
                <w:sz w:val="24"/>
              </w:rPr>
              <w:t>m</w:t>
            </w:r>
            <w:r>
              <w:rPr>
                <w:color w:val="auto"/>
                <w:spacing w:val="4"/>
                <w:kern w:val="0"/>
                <w:sz w:val="24"/>
                <w:vertAlign w:val="superscript"/>
              </w:rPr>
              <w:t>3</w:t>
            </w:r>
          </w:p>
          <w:p w14:paraId="0B62E8EB">
            <w:pPr>
              <w:spacing w:line="360" w:lineRule="auto"/>
              <w:ind w:firstLine="480" w:firstLineChars="200"/>
              <w:rPr>
                <w:color w:val="auto"/>
                <w:sz w:val="24"/>
              </w:rPr>
            </w:pPr>
            <w:r>
              <w:rPr>
                <w:color w:val="auto"/>
                <w:sz w:val="24"/>
              </w:rPr>
              <w:t>V</w:t>
            </w:r>
            <w:r>
              <w:rPr>
                <w:color w:val="auto"/>
                <w:sz w:val="24"/>
                <w:vertAlign w:val="subscript"/>
              </w:rPr>
              <w:t>2</w:t>
            </w:r>
            <w:r>
              <w:rPr>
                <w:color w:val="auto"/>
                <w:sz w:val="24"/>
              </w:rPr>
              <w:t>——发生事故的储罐或装置的消防水量，m</w:t>
            </w:r>
            <w:r>
              <w:rPr>
                <w:color w:val="auto"/>
                <w:sz w:val="24"/>
                <w:vertAlign w:val="superscript"/>
              </w:rPr>
              <w:t>3</w:t>
            </w:r>
            <w:r>
              <w:rPr>
                <w:color w:val="auto"/>
                <w:sz w:val="24"/>
              </w:rPr>
              <w:t>；</w:t>
            </w:r>
          </w:p>
          <w:p w14:paraId="2C9081F1">
            <w:pPr>
              <w:spacing w:line="360" w:lineRule="auto"/>
              <w:ind w:firstLine="480" w:firstLineChars="200"/>
              <w:rPr>
                <w:color w:val="auto"/>
                <w:sz w:val="24"/>
              </w:rPr>
            </w:pPr>
            <w:r>
              <w:rPr>
                <w:color w:val="auto"/>
                <w:sz w:val="24"/>
              </w:rPr>
              <w:t>V</w:t>
            </w:r>
            <w:r>
              <w:rPr>
                <w:color w:val="auto"/>
                <w:sz w:val="24"/>
                <w:vertAlign w:val="subscript"/>
              </w:rPr>
              <w:t>2</w:t>
            </w:r>
            <w:r>
              <w:rPr>
                <w:color w:val="auto"/>
                <w:sz w:val="24"/>
              </w:rPr>
              <w:t>＝Q</w:t>
            </w:r>
            <w:r>
              <w:rPr>
                <w:color w:val="auto"/>
                <w:sz w:val="24"/>
                <w:vertAlign w:val="subscript"/>
              </w:rPr>
              <w:t>消</w:t>
            </w:r>
            <w:r>
              <w:rPr>
                <w:color w:val="auto"/>
                <w:sz w:val="24"/>
              </w:rPr>
              <w:t>×t</w:t>
            </w:r>
            <w:r>
              <w:rPr>
                <w:color w:val="auto"/>
                <w:sz w:val="24"/>
                <w:vertAlign w:val="subscript"/>
              </w:rPr>
              <w:t>消</w:t>
            </w:r>
          </w:p>
          <w:p w14:paraId="3388A7E7">
            <w:pPr>
              <w:spacing w:line="360" w:lineRule="auto"/>
              <w:ind w:firstLine="480" w:firstLineChars="200"/>
              <w:rPr>
                <w:color w:val="auto"/>
                <w:sz w:val="24"/>
              </w:rPr>
            </w:pPr>
            <w:r>
              <w:rPr>
                <w:color w:val="auto"/>
                <w:sz w:val="24"/>
              </w:rPr>
              <w:t>Q</w:t>
            </w:r>
            <w:r>
              <w:rPr>
                <w:color w:val="auto"/>
                <w:sz w:val="24"/>
                <w:vertAlign w:val="subscript"/>
              </w:rPr>
              <w:t>消</w:t>
            </w:r>
            <w:r>
              <w:rPr>
                <w:color w:val="auto"/>
                <w:sz w:val="24"/>
              </w:rPr>
              <w:t>——发生事故的储罐或装置的同时使用的消防设施给水流量，m</w:t>
            </w:r>
            <w:r>
              <w:rPr>
                <w:color w:val="auto"/>
                <w:sz w:val="24"/>
                <w:vertAlign w:val="superscript"/>
              </w:rPr>
              <w:t>3</w:t>
            </w:r>
            <w:r>
              <w:rPr>
                <w:color w:val="auto"/>
                <w:sz w:val="24"/>
              </w:rPr>
              <w:t>/h；</w:t>
            </w:r>
          </w:p>
          <w:p w14:paraId="396ED8FF">
            <w:pPr>
              <w:spacing w:line="360" w:lineRule="auto"/>
              <w:ind w:firstLine="480" w:firstLineChars="200"/>
              <w:rPr>
                <w:color w:val="auto"/>
                <w:sz w:val="24"/>
              </w:rPr>
            </w:pPr>
            <w:r>
              <w:rPr>
                <w:color w:val="auto"/>
                <w:sz w:val="24"/>
              </w:rPr>
              <w:t>t</w:t>
            </w:r>
            <w:r>
              <w:rPr>
                <w:color w:val="auto"/>
                <w:sz w:val="24"/>
                <w:vertAlign w:val="subscript"/>
              </w:rPr>
              <w:t>消</w:t>
            </w:r>
            <w:r>
              <w:rPr>
                <w:color w:val="auto"/>
                <w:sz w:val="24"/>
              </w:rPr>
              <w:t>——消防设施对应的设计消防历时，h；</w:t>
            </w:r>
          </w:p>
          <w:p w14:paraId="225FFC95">
            <w:pPr>
              <w:spacing w:line="360" w:lineRule="auto"/>
              <w:ind w:firstLine="504" w:firstLineChars="200"/>
              <w:rPr>
                <w:color w:val="auto"/>
                <w:spacing w:val="6"/>
                <w:sz w:val="24"/>
              </w:rPr>
            </w:pPr>
            <w:r>
              <w:rPr>
                <w:rFonts w:hint="eastAsia"/>
                <w:color w:val="auto"/>
                <w:spacing w:val="6"/>
                <w:sz w:val="24"/>
              </w:rPr>
              <w:t>根据</w:t>
            </w:r>
            <w:r>
              <w:rPr>
                <w:color w:val="auto"/>
                <w:spacing w:val="6"/>
                <w:sz w:val="24"/>
              </w:rPr>
              <w:t>源强计算，</w:t>
            </w:r>
            <w:r>
              <w:rPr>
                <w:rFonts w:hint="eastAsia"/>
                <w:color w:val="auto"/>
                <w:spacing w:val="6"/>
                <w:sz w:val="24"/>
                <w:lang w:val="en-US" w:eastAsia="zh-CN"/>
              </w:rPr>
              <w:t>建设单位厂区各建筑火灾危险性为戊类，耐火等级二级，消防给水量区15L/s，火灾时长取2h，</w:t>
            </w:r>
            <w:r>
              <w:rPr>
                <w:color w:val="auto"/>
                <w:spacing w:val="6"/>
                <w:sz w:val="24"/>
              </w:rPr>
              <w:t>消防用水量为</w:t>
            </w:r>
            <w:r>
              <w:rPr>
                <w:rFonts w:hint="eastAsia"/>
                <w:color w:val="auto"/>
                <w:spacing w:val="6"/>
                <w:sz w:val="24"/>
                <w:lang w:val="en-US" w:eastAsia="zh-CN"/>
              </w:rPr>
              <w:t>108</w:t>
            </w:r>
            <w:r>
              <w:rPr>
                <w:color w:val="auto"/>
                <w:spacing w:val="6"/>
                <w:sz w:val="24"/>
              </w:rPr>
              <w:t>m</w:t>
            </w:r>
            <w:r>
              <w:rPr>
                <w:color w:val="auto"/>
                <w:spacing w:val="6"/>
                <w:sz w:val="24"/>
                <w:vertAlign w:val="superscript"/>
              </w:rPr>
              <w:t>3</w:t>
            </w:r>
            <w:r>
              <w:rPr>
                <w:color w:val="auto"/>
                <w:spacing w:val="6"/>
                <w:sz w:val="24"/>
              </w:rPr>
              <w:t>。</w:t>
            </w:r>
          </w:p>
          <w:p w14:paraId="06B626A0">
            <w:pPr>
              <w:spacing w:line="360" w:lineRule="auto"/>
              <w:ind w:firstLine="496" w:firstLineChars="200"/>
              <w:rPr>
                <w:color w:val="auto"/>
                <w:sz w:val="24"/>
              </w:rPr>
            </w:pPr>
            <w:r>
              <w:rPr>
                <w:color w:val="auto"/>
                <w:spacing w:val="4"/>
                <w:kern w:val="0"/>
                <w:sz w:val="24"/>
              </w:rPr>
              <w:t>V</w:t>
            </w:r>
            <w:r>
              <w:rPr>
                <w:color w:val="auto"/>
                <w:spacing w:val="4"/>
                <w:kern w:val="0"/>
                <w:sz w:val="24"/>
                <w:vertAlign w:val="subscript"/>
              </w:rPr>
              <w:t>3</w:t>
            </w:r>
            <w:r>
              <w:rPr>
                <w:color w:val="auto"/>
                <w:sz w:val="24"/>
              </w:rPr>
              <w:t>——发生事故时可以</w:t>
            </w:r>
            <w:r>
              <w:rPr>
                <w:rFonts w:hint="eastAsia"/>
                <w:color w:val="auto"/>
                <w:sz w:val="24"/>
                <w:lang w:val="en-US" w:eastAsia="zh-CN"/>
              </w:rPr>
              <w:t>传</w:t>
            </w:r>
            <w:r>
              <w:rPr>
                <w:color w:val="auto"/>
                <w:sz w:val="24"/>
              </w:rPr>
              <w:t>输到其他储存或处理设施的物料量，m</w:t>
            </w:r>
            <w:r>
              <w:rPr>
                <w:color w:val="auto"/>
                <w:sz w:val="24"/>
                <w:vertAlign w:val="superscript"/>
              </w:rPr>
              <w:t>3</w:t>
            </w:r>
            <w:r>
              <w:rPr>
                <w:color w:val="auto"/>
                <w:sz w:val="24"/>
              </w:rPr>
              <w:t>；约为</w:t>
            </w:r>
            <w:r>
              <w:rPr>
                <w:color w:val="auto"/>
                <w:spacing w:val="4"/>
                <w:kern w:val="0"/>
                <w:sz w:val="24"/>
              </w:rPr>
              <w:t>0m</w:t>
            </w:r>
            <w:r>
              <w:rPr>
                <w:color w:val="auto"/>
                <w:spacing w:val="4"/>
                <w:kern w:val="0"/>
                <w:sz w:val="24"/>
                <w:vertAlign w:val="superscript"/>
              </w:rPr>
              <w:t>3</w:t>
            </w:r>
            <w:r>
              <w:rPr>
                <w:color w:val="auto"/>
                <w:sz w:val="24"/>
              </w:rPr>
              <w:t>。</w:t>
            </w:r>
          </w:p>
          <w:p w14:paraId="110516D9">
            <w:pPr>
              <w:spacing w:line="360" w:lineRule="auto"/>
              <w:ind w:firstLine="480" w:firstLineChars="200"/>
              <w:rPr>
                <w:color w:val="auto"/>
                <w:sz w:val="24"/>
              </w:rPr>
            </w:pPr>
            <w:r>
              <w:rPr>
                <w:color w:val="auto"/>
                <w:sz w:val="24"/>
              </w:rPr>
              <w:t>V</w:t>
            </w:r>
            <w:r>
              <w:rPr>
                <w:color w:val="auto"/>
                <w:sz w:val="24"/>
                <w:vertAlign w:val="subscript"/>
              </w:rPr>
              <w:t>4</w:t>
            </w:r>
            <w:r>
              <w:rPr>
                <w:color w:val="auto"/>
                <w:sz w:val="24"/>
              </w:rPr>
              <w:t>——发生事故时仍必须进入该收集系统的生产废水量，m</w:t>
            </w:r>
            <w:r>
              <w:rPr>
                <w:color w:val="auto"/>
                <w:sz w:val="24"/>
                <w:vertAlign w:val="superscript"/>
              </w:rPr>
              <w:t>3</w:t>
            </w:r>
            <w:r>
              <w:rPr>
                <w:color w:val="auto"/>
                <w:sz w:val="24"/>
              </w:rPr>
              <w:t>；约0</w:t>
            </w:r>
            <w:r>
              <w:rPr>
                <w:color w:val="auto"/>
                <w:spacing w:val="4"/>
                <w:kern w:val="0"/>
                <w:sz w:val="24"/>
              </w:rPr>
              <w:t>m</w:t>
            </w:r>
            <w:r>
              <w:rPr>
                <w:color w:val="auto"/>
                <w:spacing w:val="4"/>
                <w:kern w:val="0"/>
                <w:sz w:val="24"/>
                <w:vertAlign w:val="superscript"/>
              </w:rPr>
              <w:t>3</w:t>
            </w:r>
            <w:r>
              <w:rPr>
                <w:color w:val="auto"/>
                <w:sz w:val="24"/>
              </w:rPr>
              <w:t>。</w:t>
            </w:r>
          </w:p>
          <w:p w14:paraId="36BD78D7">
            <w:pPr>
              <w:spacing w:line="360" w:lineRule="auto"/>
              <w:ind w:firstLine="480" w:firstLineChars="200"/>
              <w:rPr>
                <w:rFonts w:hint="eastAsia"/>
                <w:color w:val="auto"/>
                <w:spacing w:val="6"/>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w:t>
            </w:r>
            <w:r>
              <w:rPr>
                <w:rFonts w:hint="eastAsia"/>
                <w:color w:val="auto"/>
                <w:spacing w:val="6"/>
                <w:sz w:val="24"/>
                <w:szCs w:val="24"/>
              </w:rPr>
              <w:t>V</w:t>
            </w:r>
            <w:r>
              <w:rPr>
                <w:rFonts w:hint="eastAsia"/>
                <w:color w:val="auto"/>
                <w:spacing w:val="6"/>
                <w:sz w:val="24"/>
                <w:szCs w:val="24"/>
                <w:vertAlign w:val="subscript"/>
              </w:rPr>
              <w:t>5</w:t>
            </w:r>
            <w:r>
              <w:rPr>
                <w:rFonts w:hint="eastAsia"/>
                <w:color w:val="auto"/>
                <w:spacing w:val="6"/>
                <w:sz w:val="24"/>
                <w:szCs w:val="24"/>
              </w:rPr>
              <w:t>=10q×F=10 qa/n×F=10×1239.1/124.6×0.7=70m³；</w:t>
            </w:r>
          </w:p>
          <w:p w14:paraId="56AF78FD">
            <w:pPr>
              <w:spacing w:line="360" w:lineRule="auto"/>
              <w:ind w:firstLine="504" w:firstLineChars="200"/>
              <w:rPr>
                <w:rFonts w:hint="eastAsia"/>
                <w:color w:val="auto"/>
                <w:spacing w:val="6"/>
                <w:sz w:val="24"/>
                <w:szCs w:val="24"/>
              </w:rPr>
            </w:pPr>
            <w:r>
              <w:rPr>
                <w:rFonts w:hint="eastAsia"/>
                <w:color w:val="auto"/>
                <w:spacing w:val="6"/>
                <w:sz w:val="24"/>
                <w:szCs w:val="24"/>
              </w:rPr>
              <w:t>qa—年平均降雨量，mm；</w:t>
            </w:r>
            <w:r>
              <w:rPr>
                <w:rFonts w:hint="eastAsia"/>
                <w:color w:val="auto"/>
                <w:spacing w:val="6"/>
                <w:sz w:val="24"/>
                <w:szCs w:val="24"/>
                <w:lang w:eastAsia="zh-CN"/>
              </w:rPr>
              <w:t>大田县</w:t>
            </w:r>
            <w:r>
              <w:rPr>
                <w:rFonts w:hint="eastAsia"/>
                <w:color w:val="auto"/>
                <w:spacing w:val="6"/>
                <w:sz w:val="24"/>
                <w:szCs w:val="24"/>
              </w:rPr>
              <w:t>年平均降雨量</w:t>
            </w:r>
            <w:r>
              <w:rPr>
                <w:rFonts w:hint="eastAsia"/>
                <w:color w:val="auto"/>
                <w:spacing w:val="6"/>
                <w:sz w:val="24"/>
                <w:szCs w:val="24"/>
                <w:lang w:val="en-US" w:eastAsia="zh-CN"/>
              </w:rPr>
              <w:t>1698</w:t>
            </w:r>
            <w:r>
              <w:rPr>
                <w:rFonts w:hint="eastAsia"/>
                <w:color w:val="auto"/>
                <w:spacing w:val="6"/>
                <w:sz w:val="24"/>
                <w:szCs w:val="24"/>
              </w:rPr>
              <w:t>mm；n—年平均降雨日数，</w:t>
            </w:r>
            <w:r>
              <w:rPr>
                <w:rFonts w:hint="eastAsia"/>
                <w:color w:val="auto"/>
                <w:spacing w:val="6"/>
                <w:sz w:val="24"/>
                <w:szCs w:val="24"/>
                <w:lang w:val="en-US" w:eastAsia="zh-CN"/>
              </w:rPr>
              <w:t>大田县</w:t>
            </w:r>
            <w:r>
              <w:rPr>
                <w:rFonts w:hint="eastAsia"/>
                <w:color w:val="auto"/>
                <w:spacing w:val="6"/>
                <w:sz w:val="24"/>
                <w:szCs w:val="24"/>
              </w:rPr>
              <w:t>年平均降雨日</w:t>
            </w:r>
            <w:r>
              <w:rPr>
                <w:rFonts w:hint="eastAsia"/>
                <w:color w:val="auto"/>
                <w:spacing w:val="6"/>
                <w:sz w:val="24"/>
                <w:szCs w:val="24"/>
                <w:lang w:val="en-US" w:eastAsia="zh-CN"/>
              </w:rPr>
              <w:t>约160</w:t>
            </w:r>
            <w:r>
              <w:rPr>
                <w:rFonts w:hint="eastAsia"/>
                <w:color w:val="auto"/>
                <w:spacing w:val="6"/>
                <w:sz w:val="24"/>
                <w:szCs w:val="24"/>
              </w:rPr>
              <w:t>天；</w:t>
            </w:r>
          </w:p>
          <w:p w14:paraId="24D9AC7C">
            <w:pPr>
              <w:spacing w:line="360" w:lineRule="auto"/>
              <w:ind w:firstLine="504" w:firstLineChars="200"/>
              <w:rPr>
                <w:rFonts w:hint="eastAsia" w:eastAsia="宋体"/>
                <w:color w:val="auto"/>
                <w:spacing w:val="6"/>
                <w:sz w:val="24"/>
                <w:szCs w:val="24"/>
                <w:lang w:eastAsia="zh-CN"/>
              </w:rPr>
            </w:pPr>
            <w:r>
              <w:rPr>
                <w:rFonts w:hint="eastAsia"/>
                <w:color w:val="auto"/>
                <w:spacing w:val="6"/>
                <w:sz w:val="24"/>
                <w:szCs w:val="24"/>
              </w:rPr>
              <w:t>F—必须进入事故废水收集系统的雨水汇水面积=</w:t>
            </w:r>
            <w:r>
              <w:rPr>
                <w:rFonts w:hint="eastAsia"/>
                <w:color w:val="auto"/>
                <w:spacing w:val="6"/>
                <w:sz w:val="24"/>
                <w:szCs w:val="24"/>
                <w:lang w:val="en-US" w:eastAsia="zh-CN"/>
              </w:rPr>
              <w:t>2.44</w:t>
            </w:r>
            <w:r>
              <w:rPr>
                <w:rFonts w:hint="eastAsia"/>
                <w:color w:val="auto"/>
                <w:spacing w:val="6"/>
                <w:sz w:val="24"/>
                <w:szCs w:val="24"/>
              </w:rPr>
              <w:t>ha</w:t>
            </w:r>
            <w:r>
              <w:rPr>
                <w:rFonts w:hint="eastAsia"/>
                <w:color w:val="auto"/>
                <w:spacing w:val="6"/>
                <w:sz w:val="24"/>
                <w:szCs w:val="24"/>
                <w:lang w:eastAsia="zh-CN"/>
              </w:rPr>
              <w:t>。</w:t>
            </w:r>
          </w:p>
          <w:p w14:paraId="4BE351BC">
            <w:pPr>
              <w:spacing w:line="360" w:lineRule="auto"/>
              <w:ind w:firstLine="480" w:firstLineChars="200"/>
              <w:rPr>
                <w:rFonts w:hint="eastAsia"/>
                <w:color w:val="auto"/>
                <w:sz w:val="24"/>
                <w:szCs w:val="24"/>
              </w:rPr>
            </w:pPr>
            <w:r>
              <w:rPr>
                <w:color w:val="auto"/>
                <w:sz w:val="24"/>
                <w:szCs w:val="24"/>
              </w:rPr>
              <w:t>经计算得事故应急池最小容积V</w:t>
            </w:r>
            <w:r>
              <w:rPr>
                <w:color w:val="auto"/>
                <w:sz w:val="24"/>
                <w:szCs w:val="24"/>
                <w:vertAlign w:val="subscript"/>
              </w:rPr>
              <w:t>事故池</w:t>
            </w:r>
            <w:r>
              <w:rPr>
                <w:color w:val="auto"/>
                <w:sz w:val="24"/>
                <w:szCs w:val="24"/>
              </w:rPr>
              <w:t>=</w:t>
            </w:r>
            <w:r>
              <w:rPr>
                <w:rFonts w:hint="eastAsia"/>
                <w:color w:val="auto"/>
                <w:sz w:val="24"/>
                <w:szCs w:val="24"/>
                <w:lang w:val="en-US" w:eastAsia="zh-CN"/>
              </w:rPr>
              <w:t>0+108+0+0+25.9=133.9</w:t>
            </w:r>
            <w:r>
              <w:rPr>
                <w:color w:val="auto"/>
                <w:sz w:val="24"/>
                <w:szCs w:val="24"/>
              </w:rPr>
              <w:t>m</w:t>
            </w:r>
            <w:r>
              <w:rPr>
                <w:color w:val="auto"/>
                <w:sz w:val="24"/>
                <w:szCs w:val="24"/>
                <w:vertAlign w:val="superscript"/>
              </w:rPr>
              <w:t>3</w:t>
            </w:r>
          </w:p>
          <w:p w14:paraId="338E63BC">
            <w:pPr>
              <w:spacing w:line="360" w:lineRule="auto"/>
              <w:ind w:firstLine="480" w:firstLineChars="200"/>
              <w:rPr>
                <w:rFonts w:hint="eastAsia"/>
                <w:color w:val="auto"/>
                <w:sz w:val="24"/>
                <w:lang w:val="en-US" w:eastAsia="zh-CN"/>
              </w:rPr>
            </w:pPr>
            <w:r>
              <w:rPr>
                <w:rFonts w:hint="eastAsia"/>
                <w:color w:val="auto"/>
                <w:sz w:val="24"/>
                <w:lang w:val="en-US" w:eastAsia="zh-CN"/>
              </w:rPr>
              <w:t>根据计算企业需配套至少133.9m</w:t>
            </w:r>
            <w:r>
              <w:rPr>
                <w:rFonts w:hint="eastAsia"/>
                <w:color w:val="auto"/>
                <w:sz w:val="24"/>
                <w:vertAlign w:val="superscript"/>
                <w:lang w:val="en-US" w:eastAsia="zh-CN"/>
              </w:rPr>
              <w:t>3</w:t>
            </w:r>
            <w:r>
              <w:rPr>
                <w:rFonts w:hint="eastAsia"/>
                <w:color w:val="auto"/>
                <w:sz w:val="24"/>
                <w:lang w:val="en-US" w:eastAsia="zh-CN"/>
              </w:rPr>
              <w:t>容积的应急事故水池，以满足事故废水暂存需要。企业需按要求，建设容积不小于133.9m³的事故应急池。</w:t>
            </w:r>
          </w:p>
          <w:p w14:paraId="30ECC364">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sz w:val="24"/>
                <w:lang w:val="en-US" w:eastAsia="zh-CN"/>
              </w:rPr>
            </w:pPr>
            <w:r>
              <w:rPr>
                <w:rFonts w:hint="eastAsia"/>
                <w:color w:val="auto"/>
                <w:sz w:val="24"/>
                <w:lang w:val="en-US" w:eastAsia="zh-CN"/>
              </w:rPr>
              <w:t>本项目厂内配套不小于133.9m³的事故应急池，雨水总排放口设置切换阀门，确保事故状态下能顺利收集事故废水。事故处置结束后，应根据事故类型，识别事故废水特征污染物，必要时进行水质检测，符合园区污水处理厂进水水质要求时，事故废水可利用水泵输送至市政污水管网，汇入园区污水处理厂处理；若水质无法满足园区污水处理厂进水水质要求，应按危险废物处置。</w:t>
            </w:r>
          </w:p>
          <w:p w14:paraId="755E862B">
            <w:pPr>
              <w:pStyle w:val="82"/>
              <w:rPr>
                <w:rFonts w:hint="eastAsia" w:eastAsia="黑体"/>
                <w:color w:val="auto"/>
                <w:sz w:val="24"/>
                <w:szCs w:val="24"/>
                <w:lang w:eastAsia="zh-CN"/>
              </w:rPr>
            </w:pPr>
            <w:r>
              <w:rPr>
                <w:rFonts w:hint="eastAsia"/>
                <w:color w:val="auto"/>
                <w:sz w:val="24"/>
                <w:szCs w:val="24"/>
              </w:rPr>
              <w:t>7</w:t>
            </w:r>
            <w:r>
              <w:rPr>
                <w:color w:val="auto"/>
                <w:sz w:val="24"/>
                <w:szCs w:val="24"/>
              </w:rPr>
              <w:t>.</w:t>
            </w:r>
            <w:r>
              <w:rPr>
                <w:rFonts w:hint="eastAsia"/>
                <w:color w:val="auto"/>
                <w:sz w:val="24"/>
                <w:szCs w:val="24"/>
                <w:lang w:val="en-US" w:eastAsia="zh-CN"/>
              </w:rPr>
              <w:t>4结论</w:t>
            </w:r>
          </w:p>
          <w:p w14:paraId="00C41EF4">
            <w:pPr>
              <w:pStyle w:val="69"/>
              <w:adjustRightInd w:val="0"/>
              <w:snapToGrid w:val="0"/>
              <w:spacing w:line="360" w:lineRule="auto"/>
              <w:rPr>
                <w:rFonts w:hint="eastAsia"/>
                <w:color w:val="auto"/>
                <w:sz w:val="24"/>
                <w:szCs w:val="24"/>
              </w:rPr>
            </w:pPr>
            <w:r>
              <w:rPr>
                <w:rFonts w:hint="eastAsia"/>
                <w:color w:val="auto"/>
                <w:sz w:val="24"/>
                <w:szCs w:val="24"/>
              </w:rPr>
              <w:t>综上所述，企业只要切实落实相关环境风险防范措施，强化运营期的环境保护管理，可以大大减少环境风险事故的发生概率。一旦发生事故，依靠完善的安全防护设施和事故应急措施能及时控制事故，防止事故的蔓延。在此基础上，项目的环境风险是可控的。</w:t>
            </w:r>
          </w:p>
          <w:p w14:paraId="408EDB12">
            <w:pPr>
              <w:pStyle w:val="82"/>
              <w:spacing w:before="120" w:beforeLines="50"/>
              <w:rPr>
                <w:color w:val="auto"/>
                <w:sz w:val="24"/>
                <w:szCs w:val="24"/>
              </w:rPr>
            </w:pPr>
            <w:r>
              <w:rPr>
                <w:rFonts w:hint="eastAsia"/>
                <w:color w:val="auto"/>
                <w:sz w:val="24"/>
                <w:szCs w:val="24"/>
              </w:rPr>
              <w:t>8、环保投资</w:t>
            </w:r>
          </w:p>
          <w:p w14:paraId="43771755">
            <w:pPr>
              <w:adjustRightInd w:val="0"/>
              <w:snapToGrid w:val="0"/>
              <w:spacing w:line="360" w:lineRule="auto"/>
              <w:ind w:firstLine="480" w:firstLineChars="200"/>
              <w:rPr>
                <w:rFonts w:hint="eastAsia"/>
                <w:color w:val="auto"/>
                <w:sz w:val="24"/>
                <w:szCs w:val="24"/>
              </w:rPr>
            </w:pPr>
            <w:r>
              <w:rPr>
                <w:rFonts w:hint="eastAsia"/>
                <w:color w:val="auto"/>
                <w:sz w:val="24"/>
                <w:szCs w:val="24"/>
              </w:rPr>
              <w:t>本项目具体环保投资情况详见下表。</w:t>
            </w:r>
          </w:p>
          <w:p w14:paraId="4AC6F0E5">
            <w:pPr>
              <w:pStyle w:val="76"/>
              <w:rPr>
                <w:color w:val="auto"/>
                <w:sz w:val="24"/>
                <w:szCs w:val="24"/>
              </w:rPr>
            </w:pPr>
            <w:r>
              <w:rPr>
                <w:rFonts w:hint="eastAsia"/>
                <w:color w:val="auto"/>
                <w:sz w:val="24"/>
                <w:szCs w:val="24"/>
              </w:rPr>
              <w:t>表4-</w:t>
            </w:r>
            <w:r>
              <w:rPr>
                <w:rFonts w:hint="eastAsia"/>
                <w:color w:val="auto"/>
                <w:sz w:val="24"/>
                <w:szCs w:val="24"/>
                <w:lang w:val="en-US" w:eastAsia="zh-CN"/>
              </w:rPr>
              <w:t>45</w:t>
            </w:r>
            <w:r>
              <w:rPr>
                <w:rFonts w:hint="eastAsia"/>
                <w:color w:val="auto"/>
                <w:sz w:val="24"/>
                <w:szCs w:val="24"/>
              </w:rPr>
              <w:t xml:space="preserve">  环保投资概算一览表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29"/>
              <w:gridCol w:w="4763"/>
              <w:gridCol w:w="1284"/>
            </w:tblGrid>
            <w:tr w14:paraId="17B7F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4D1452F0">
                  <w:pPr>
                    <w:spacing w:line="280" w:lineRule="exact"/>
                    <w:jc w:val="center"/>
                    <w:rPr>
                      <w:b/>
                      <w:bCs/>
                      <w:color w:val="auto"/>
                      <w:sz w:val="21"/>
                      <w:szCs w:val="21"/>
                    </w:rPr>
                  </w:pPr>
                  <w:r>
                    <w:rPr>
                      <w:b/>
                      <w:bCs/>
                      <w:color w:val="auto"/>
                      <w:sz w:val="21"/>
                      <w:szCs w:val="21"/>
                    </w:rPr>
                    <w:t>序号</w:t>
                  </w:r>
                </w:p>
              </w:tc>
              <w:tc>
                <w:tcPr>
                  <w:tcW w:w="853" w:type="pct"/>
                  <w:tcBorders>
                    <w:tl2br w:val="nil"/>
                    <w:tr2bl w:val="nil"/>
                  </w:tcBorders>
                  <w:vAlign w:val="center"/>
                </w:tcPr>
                <w:p w14:paraId="1FBEA18C">
                  <w:pPr>
                    <w:spacing w:line="280" w:lineRule="exact"/>
                    <w:jc w:val="center"/>
                    <w:rPr>
                      <w:b/>
                      <w:bCs/>
                      <w:color w:val="auto"/>
                      <w:sz w:val="21"/>
                      <w:szCs w:val="21"/>
                    </w:rPr>
                  </w:pPr>
                  <w:r>
                    <w:rPr>
                      <w:b/>
                      <w:bCs/>
                      <w:color w:val="auto"/>
                      <w:sz w:val="21"/>
                      <w:szCs w:val="21"/>
                    </w:rPr>
                    <w:t>工程名称</w:t>
                  </w:r>
                </w:p>
              </w:tc>
              <w:tc>
                <w:tcPr>
                  <w:tcW w:w="2843" w:type="pct"/>
                  <w:tcBorders>
                    <w:tl2br w:val="nil"/>
                    <w:tr2bl w:val="nil"/>
                  </w:tcBorders>
                  <w:vAlign w:val="center"/>
                </w:tcPr>
                <w:p w14:paraId="6F4841F6">
                  <w:pPr>
                    <w:spacing w:line="280" w:lineRule="exact"/>
                    <w:jc w:val="center"/>
                    <w:rPr>
                      <w:b/>
                      <w:bCs/>
                      <w:color w:val="auto"/>
                      <w:sz w:val="21"/>
                      <w:szCs w:val="21"/>
                    </w:rPr>
                  </w:pPr>
                  <w:r>
                    <w:rPr>
                      <w:b/>
                      <w:bCs/>
                      <w:color w:val="auto"/>
                      <w:sz w:val="21"/>
                      <w:szCs w:val="21"/>
                    </w:rPr>
                    <w:t>内容</w:t>
                  </w:r>
                </w:p>
              </w:tc>
              <w:tc>
                <w:tcPr>
                  <w:tcW w:w="766" w:type="pct"/>
                  <w:tcBorders>
                    <w:tl2br w:val="nil"/>
                    <w:tr2bl w:val="nil"/>
                  </w:tcBorders>
                  <w:vAlign w:val="center"/>
                </w:tcPr>
                <w:p w14:paraId="42176CDC">
                  <w:pPr>
                    <w:spacing w:line="280" w:lineRule="exact"/>
                    <w:jc w:val="center"/>
                    <w:rPr>
                      <w:b/>
                      <w:bCs/>
                      <w:color w:val="auto"/>
                      <w:sz w:val="21"/>
                      <w:szCs w:val="21"/>
                    </w:rPr>
                  </w:pPr>
                  <w:r>
                    <w:rPr>
                      <w:b/>
                      <w:bCs/>
                      <w:color w:val="auto"/>
                      <w:sz w:val="21"/>
                      <w:szCs w:val="21"/>
                    </w:rPr>
                    <w:t>费用（万元）</w:t>
                  </w:r>
                </w:p>
              </w:tc>
            </w:tr>
            <w:tr w14:paraId="3DB94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0859E185">
                  <w:pPr>
                    <w:spacing w:line="280" w:lineRule="exact"/>
                    <w:jc w:val="center"/>
                    <w:rPr>
                      <w:color w:val="auto"/>
                      <w:sz w:val="21"/>
                      <w:szCs w:val="21"/>
                    </w:rPr>
                  </w:pPr>
                  <w:r>
                    <w:rPr>
                      <w:color w:val="auto"/>
                      <w:sz w:val="21"/>
                      <w:szCs w:val="21"/>
                    </w:rPr>
                    <w:t>1</w:t>
                  </w:r>
                </w:p>
              </w:tc>
              <w:tc>
                <w:tcPr>
                  <w:tcW w:w="853" w:type="pct"/>
                  <w:tcBorders>
                    <w:tl2br w:val="nil"/>
                    <w:tr2bl w:val="nil"/>
                  </w:tcBorders>
                  <w:vAlign w:val="center"/>
                </w:tcPr>
                <w:p w14:paraId="7B2D5B58">
                  <w:pPr>
                    <w:spacing w:line="280" w:lineRule="exact"/>
                    <w:jc w:val="center"/>
                    <w:rPr>
                      <w:color w:val="auto"/>
                      <w:sz w:val="21"/>
                      <w:szCs w:val="21"/>
                    </w:rPr>
                  </w:pPr>
                  <w:r>
                    <w:rPr>
                      <w:color w:val="auto"/>
                      <w:sz w:val="21"/>
                      <w:szCs w:val="21"/>
                    </w:rPr>
                    <w:t>废水处理</w:t>
                  </w:r>
                </w:p>
              </w:tc>
              <w:tc>
                <w:tcPr>
                  <w:tcW w:w="2843" w:type="pct"/>
                  <w:tcBorders>
                    <w:tl2br w:val="nil"/>
                    <w:tr2bl w:val="nil"/>
                  </w:tcBorders>
                  <w:vAlign w:val="center"/>
                </w:tcPr>
                <w:p w14:paraId="1616295F">
                  <w:pPr>
                    <w:spacing w:line="280" w:lineRule="exact"/>
                    <w:jc w:val="center"/>
                    <w:rPr>
                      <w:color w:val="auto"/>
                      <w:sz w:val="21"/>
                      <w:szCs w:val="21"/>
                    </w:rPr>
                  </w:pPr>
                  <w:r>
                    <w:rPr>
                      <w:color w:val="auto"/>
                      <w:sz w:val="21"/>
                      <w:szCs w:val="21"/>
                    </w:rPr>
                    <w:t>化粪池</w:t>
                  </w:r>
                  <w:r>
                    <w:rPr>
                      <w:rFonts w:hint="eastAsia"/>
                      <w:color w:val="auto"/>
                      <w:sz w:val="21"/>
                      <w:szCs w:val="21"/>
                    </w:rPr>
                    <w:t>及污水收集管道</w:t>
                  </w:r>
                </w:p>
              </w:tc>
              <w:tc>
                <w:tcPr>
                  <w:tcW w:w="766" w:type="pct"/>
                  <w:tcBorders>
                    <w:tl2br w:val="nil"/>
                    <w:tr2bl w:val="nil"/>
                  </w:tcBorders>
                  <w:vAlign w:val="center"/>
                </w:tcPr>
                <w:p w14:paraId="6B3DD24A">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10</w:t>
                  </w:r>
                </w:p>
              </w:tc>
            </w:tr>
            <w:tr w14:paraId="63B20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077BAC9C">
                  <w:pPr>
                    <w:spacing w:line="280" w:lineRule="exact"/>
                    <w:jc w:val="center"/>
                    <w:rPr>
                      <w:color w:val="auto"/>
                      <w:sz w:val="21"/>
                      <w:szCs w:val="21"/>
                    </w:rPr>
                  </w:pPr>
                  <w:r>
                    <w:rPr>
                      <w:color w:val="auto"/>
                      <w:sz w:val="21"/>
                      <w:szCs w:val="21"/>
                    </w:rPr>
                    <w:t>2</w:t>
                  </w:r>
                </w:p>
              </w:tc>
              <w:tc>
                <w:tcPr>
                  <w:tcW w:w="853" w:type="pct"/>
                  <w:tcBorders>
                    <w:tl2br w:val="nil"/>
                    <w:tr2bl w:val="nil"/>
                  </w:tcBorders>
                  <w:vAlign w:val="center"/>
                </w:tcPr>
                <w:p w14:paraId="2E9984FC">
                  <w:pPr>
                    <w:spacing w:line="280" w:lineRule="exact"/>
                    <w:jc w:val="center"/>
                    <w:rPr>
                      <w:color w:val="auto"/>
                      <w:sz w:val="21"/>
                      <w:szCs w:val="21"/>
                    </w:rPr>
                  </w:pPr>
                  <w:r>
                    <w:rPr>
                      <w:color w:val="auto"/>
                      <w:sz w:val="21"/>
                      <w:szCs w:val="21"/>
                    </w:rPr>
                    <w:t>废气处理</w:t>
                  </w:r>
                </w:p>
              </w:tc>
              <w:tc>
                <w:tcPr>
                  <w:tcW w:w="2843" w:type="pct"/>
                  <w:tcBorders>
                    <w:tl2br w:val="nil"/>
                    <w:tr2bl w:val="nil"/>
                  </w:tcBorders>
                  <w:vAlign w:val="center"/>
                </w:tcPr>
                <w:p w14:paraId="528F86BF">
                  <w:pPr>
                    <w:spacing w:line="280" w:lineRule="exact"/>
                    <w:jc w:val="center"/>
                    <w:rPr>
                      <w:rFonts w:hint="default" w:eastAsia="宋体"/>
                      <w:color w:val="auto"/>
                      <w:sz w:val="21"/>
                      <w:szCs w:val="21"/>
                      <w:lang w:val="en-US" w:eastAsia="zh-CN"/>
                    </w:rPr>
                  </w:pPr>
                  <w:r>
                    <w:rPr>
                      <w:rFonts w:hint="eastAsia"/>
                      <w:color w:val="auto"/>
                      <w:sz w:val="21"/>
                      <w:szCs w:val="21"/>
                      <w:lang w:val="en-US" w:eastAsia="zh-CN"/>
                    </w:rPr>
                    <w:t>袋除尘器7套（不含抛丸设备自带的袋式除尘器）、活性炭吸附箱5台，喷淋塔2台、废气集气罩和收集管道，以及移动式烟尘净化器若干等</w:t>
                  </w:r>
                </w:p>
              </w:tc>
              <w:tc>
                <w:tcPr>
                  <w:tcW w:w="766" w:type="pct"/>
                  <w:tcBorders>
                    <w:tl2br w:val="nil"/>
                    <w:tr2bl w:val="nil"/>
                  </w:tcBorders>
                  <w:vAlign w:val="center"/>
                </w:tcPr>
                <w:p w14:paraId="67312700">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250</w:t>
                  </w:r>
                </w:p>
              </w:tc>
            </w:tr>
            <w:tr w14:paraId="43ED9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3F856B33">
                  <w:pPr>
                    <w:spacing w:line="280" w:lineRule="exact"/>
                    <w:jc w:val="center"/>
                    <w:rPr>
                      <w:color w:val="auto"/>
                      <w:sz w:val="21"/>
                      <w:szCs w:val="21"/>
                    </w:rPr>
                  </w:pPr>
                  <w:r>
                    <w:rPr>
                      <w:color w:val="auto"/>
                      <w:sz w:val="21"/>
                      <w:szCs w:val="21"/>
                    </w:rPr>
                    <w:t>3</w:t>
                  </w:r>
                </w:p>
              </w:tc>
              <w:tc>
                <w:tcPr>
                  <w:tcW w:w="853" w:type="pct"/>
                  <w:tcBorders>
                    <w:tl2br w:val="nil"/>
                    <w:tr2bl w:val="nil"/>
                  </w:tcBorders>
                  <w:vAlign w:val="center"/>
                </w:tcPr>
                <w:p w14:paraId="7C6E62AF">
                  <w:pPr>
                    <w:spacing w:line="280" w:lineRule="exact"/>
                    <w:jc w:val="center"/>
                    <w:rPr>
                      <w:color w:val="auto"/>
                      <w:sz w:val="21"/>
                      <w:szCs w:val="21"/>
                    </w:rPr>
                  </w:pPr>
                  <w:r>
                    <w:rPr>
                      <w:color w:val="auto"/>
                      <w:sz w:val="21"/>
                      <w:szCs w:val="21"/>
                    </w:rPr>
                    <w:t>固体废物</w:t>
                  </w:r>
                </w:p>
              </w:tc>
              <w:tc>
                <w:tcPr>
                  <w:tcW w:w="2843" w:type="pct"/>
                  <w:tcBorders>
                    <w:tl2br w:val="nil"/>
                    <w:tr2bl w:val="nil"/>
                  </w:tcBorders>
                  <w:vAlign w:val="center"/>
                </w:tcPr>
                <w:p w14:paraId="31CCC7A4">
                  <w:pPr>
                    <w:spacing w:line="280" w:lineRule="exact"/>
                    <w:jc w:val="center"/>
                    <w:rPr>
                      <w:rFonts w:hint="default" w:eastAsia="宋体"/>
                      <w:color w:val="auto"/>
                      <w:sz w:val="21"/>
                      <w:szCs w:val="21"/>
                      <w:lang w:val="en-US" w:eastAsia="zh-CN"/>
                    </w:rPr>
                  </w:pPr>
                  <w:r>
                    <w:rPr>
                      <w:rFonts w:hint="eastAsia"/>
                      <w:snapToGrid w:val="0"/>
                      <w:color w:val="auto"/>
                      <w:sz w:val="21"/>
                      <w:szCs w:val="21"/>
                      <w:lang w:val="en-US" w:eastAsia="zh-CN"/>
                    </w:rPr>
                    <w:t>一般固废、危险废物暂存场所</w:t>
                  </w:r>
                </w:p>
              </w:tc>
              <w:tc>
                <w:tcPr>
                  <w:tcW w:w="766" w:type="pct"/>
                  <w:tcBorders>
                    <w:tl2br w:val="nil"/>
                    <w:tr2bl w:val="nil"/>
                  </w:tcBorders>
                  <w:vAlign w:val="center"/>
                </w:tcPr>
                <w:p w14:paraId="18139FFE">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5</w:t>
                  </w:r>
                </w:p>
              </w:tc>
            </w:tr>
            <w:tr w14:paraId="62C14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0DA17F88">
                  <w:pPr>
                    <w:spacing w:line="280" w:lineRule="exact"/>
                    <w:jc w:val="center"/>
                    <w:rPr>
                      <w:color w:val="auto"/>
                      <w:sz w:val="21"/>
                      <w:szCs w:val="21"/>
                    </w:rPr>
                  </w:pPr>
                  <w:r>
                    <w:rPr>
                      <w:color w:val="auto"/>
                      <w:sz w:val="21"/>
                      <w:szCs w:val="21"/>
                    </w:rPr>
                    <w:t>5</w:t>
                  </w:r>
                </w:p>
              </w:tc>
              <w:tc>
                <w:tcPr>
                  <w:tcW w:w="853" w:type="pct"/>
                  <w:tcBorders>
                    <w:tl2br w:val="nil"/>
                    <w:tr2bl w:val="nil"/>
                  </w:tcBorders>
                  <w:vAlign w:val="center"/>
                </w:tcPr>
                <w:p w14:paraId="07A64B98">
                  <w:pPr>
                    <w:spacing w:line="280" w:lineRule="exact"/>
                    <w:jc w:val="center"/>
                    <w:rPr>
                      <w:color w:val="auto"/>
                      <w:sz w:val="21"/>
                      <w:szCs w:val="21"/>
                    </w:rPr>
                  </w:pPr>
                  <w:r>
                    <w:rPr>
                      <w:color w:val="auto"/>
                      <w:sz w:val="21"/>
                      <w:szCs w:val="21"/>
                    </w:rPr>
                    <w:t>噪声治理</w:t>
                  </w:r>
                </w:p>
              </w:tc>
              <w:tc>
                <w:tcPr>
                  <w:tcW w:w="2843" w:type="pct"/>
                  <w:tcBorders>
                    <w:tl2br w:val="nil"/>
                    <w:tr2bl w:val="nil"/>
                  </w:tcBorders>
                  <w:vAlign w:val="center"/>
                </w:tcPr>
                <w:p w14:paraId="11AEA8C4">
                  <w:pPr>
                    <w:spacing w:line="280" w:lineRule="exact"/>
                    <w:jc w:val="center"/>
                    <w:rPr>
                      <w:color w:val="auto"/>
                      <w:sz w:val="21"/>
                      <w:szCs w:val="21"/>
                    </w:rPr>
                  </w:pPr>
                  <w:r>
                    <w:rPr>
                      <w:color w:val="auto"/>
                      <w:sz w:val="21"/>
                      <w:szCs w:val="21"/>
                    </w:rPr>
                    <w:t>设备基础隔振、减振、</w:t>
                  </w:r>
                  <w:r>
                    <w:rPr>
                      <w:rFonts w:hint="eastAsia"/>
                      <w:color w:val="auto"/>
                      <w:sz w:val="21"/>
                      <w:szCs w:val="21"/>
                    </w:rPr>
                    <w:t>隔声</w:t>
                  </w:r>
                </w:p>
              </w:tc>
              <w:tc>
                <w:tcPr>
                  <w:tcW w:w="766" w:type="pct"/>
                  <w:tcBorders>
                    <w:tl2br w:val="nil"/>
                    <w:tr2bl w:val="nil"/>
                  </w:tcBorders>
                  <w:vAlign w:val="center"/>
                </w:tcPr>
                <w:p w14:paraId="748D1090">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20</w:t>
                  </w:r>
                </w:p>
              </w:tc>
            </w:tr>
            <w:tr w14:paraId="565D8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2C011E54">
                  <w:pPr>
                    <w:spacing w:line="280" w:lineRule="exact"/>
                    <w:jc w:val="center"/>
                    <w:rPr>
                      <w:color w:val="auto"/>
                      <w:sz w:val="21"/>
                      <w:szCs w:val="21"/>
                    </w:rPr>
                  </w:pPr>
                  <w:r>
                    <w:rPr>
                      <w:color w:val="auto"/>
                      <w:sz w:val="21"/>
                      <w:szCs w:val="21"/>
                    </w:rPr>
                    <w:t>6</w:t>
                  </w:r>
                </w:p>
              </w:tc>
              <w:tc>
                <w:tcPr>
                  <w:tcW w:w="853" w:type="pct"/>
                  <w:tcBorders>
                    <w:tl2br w:val="nil"/>
                    <w:tr2bl w:val="nil"/>
                  </w:tcBorders>
                  <w:vAlign w:val="center"/>
                </w:tcPr>
                <w:p w14:paraId="41F5457F">
                  <w:pPr>
                    <w:spacing w:line="280" w:lineRule="exact"/>
                    <w:jc w:val="center"/>
                    <w:rPr>
                      <w:color w:val="auto"/>
                      <w:sz w:val="21"/>
                      <w:szCs w:val="21"/>
                    </w:rPr>
                  </w:pPr>
                  <w:r>
                    <w:rPr>
                      <w:color w:val="auto"/>
                      <w:sz w:val="21"/>
                      <w:szCs w:val="21"/>
                    </w:rPr>
                    <w:t>防渗措施</w:t>
                  </w:r>
                </w:p>
              </w:tc>
              <w:tc>
                <w:tcPr>
                  <w:tcW w:w="2843" w:type="pct"/>
                  <w:tcBorders>
                    <w:tl2br w:val="nil"/>
                    <w:tr2bl w:val="nil"/>
                  </w:tcBorders>
                  <w:vAlign w:val="center"/>
                </w:tcPr>
                <w:p w14:paraId="7977EFD3">
                  <w:pPr>
                    <w:spacing w:line="280" w:lineRule="exact"/>
                    <w:jc w:val="center"/>
                    <w:rPr>
                      <w:rFonts w:hint="eastAsia" w:eastAsia="宋体"/>
                      <w:color w:val="auto"/>
                      <w:sz w:val="21"/>
                      <w:szCs w:val="21"/>
                      <w:lang w:eastAsia="zh-CN"/>
                    </w:rPr>
                  </w:pPr>
                  <w:r>
                    <w:rPr>
                      <w:color w:val="auto"/>
                      <w:sz w:val="21"/>
                      <w:szCs w:val="21"/>
                    </w:rPr>
                    <w:t>重点、一般、简单防渗区</w:t>
                  </w:r>
                  <w:r>
                    <w:rPr>
                      <w:rFonts w:hint="eastAsia"/>
                      <w:color w:val="auto"/>
                      <w:sz w:val="21"/>
                      <w:szCs w:val="21"/>
                    </w:rPr>
                    <w:t>防渗措施</w:t>
                  </w:r>
                </w:p>
              </w:tc>
              <w:tc>
                <w:tcPr>
                  <w:tcW w:w="766" w:type="pct"/>
                  <w:tcBorders>
                    <w:tl2br w:val="nil"/>
                    <w:tr2bl w:val="nil"/>
                  </w:tcBorders>
                  <w:vAlign w:val="center"/>
                </w:tcPr>
                <w:p w14:paraId="093877ED">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30</w:t>
                  </w:r>
                </w:p>
              </w:tc>
            </w:tr>
            <w:tr w14:paraId="0B2FE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nil"/>
                    <w:tr2bl w:val="nil"/>
                  </w:tcBorders>
                  <w:vAlign w:val="center"/>
                </w:tcPr>
                <w:p w14:paraId="5CE121F7">
                  <w:pPr>
                    <w:spacing w:line="280" w:lineRule="exact"/>
                    <w:jc w:val="center"/>
                    <w:rPr>
                      <w:color w:val="auto"/>
                      <w:sz w:val="21"/>
                      <w:szCs w:val="21"/>
                    </w:rPr>
                  </w:pPr>
                  <w:r>
                    <w:rPr>
                      <w:color w:val="auto"/>
                      <w:sz w:val="21"/>
                      <w:szCs w:val="21"/>
                    </w:rPr>
                    <w:t>7</w:t>
                  </w:r>
                </w:p>
              </w:tc>
              <w:tc>
                <w:tcPr>
                  <w:tcW w:w="853" w:type="pct"/>
                  <w:tcBorders>
                    <w:tl2br w:val="nil"/>
                    <w:tr2bl w:val="nil"/>
                  </w:tcBorders>
                  <w:vAlign w:val="center"/>
                </w:tcPr>
                <w:p w14:paraId="43E0ED4D">
                  <w:pPr>
                    <w:spacing w:line="280" w:lineRule="exact"/>
                    <w:jc w:val="center"/>
                    <w:rPr>
                      <w:color w:val="auto"/>
                      <w:sz w:val="21"/>
                      <w:szCs w:val="21"/>
                    </w:rPr>
                  </w:pPr>
                  <w:r>
                    <w:rPr>
                      <w:color w:val="auto"/>
                      <w:sz w:val="21"/>
                      <w:szCs w:val="21"/>
                    </w:rPr>
                    <w:t>环境风险</w:t>
                  </w:r>
                </w:p>
              </w:tc>
              <w:tc>
                <w:tcPr>
                  <w:tcW w:w="2843" w:type="pct"/>
                  <w:tcBorders>
                    <w:tl2br w:val="nil"/>
                    <w:tr2bl w:val="nil"/>
                  </w:tcBorders>
                  <w:vAlign w:val="center"/>
                </w:tcPr>
                <w:p w14:paraId="26FC8462">
                  <w:pPr>
                    <w:spacing w:line="280" w:lineRule="exact"/>
                    <w:jc w:val="center"/>
                    <w:rPr>
                      <w:rFonts w:hint="default" w:eastAsia="宋体"/>
                      <w:color w:val="auto"/>
                      <w:sz w:val="21"/>
                      <w:szCs w:val="21"/>
                      <w:lang w:val="en-US" w:eastAsia="zh-CN"/>
                    </w:rPr>
                  </w:pPr>
                  <w:r>
                    <w:rPr>
                      <w:color w:val="auto"/>
                      <w:sz w:val="21"/>
                      <w:szCs w:val="21"/>
                    </w:rPr>
                    <w:t>灭火器</w:t>
                  </w:r>
                  <w:r>
                    <w:rPr>
                      <w:rFonts w:hint="eastAsia"/>
                      <w:color w:val="auto"/>
                      <w:sz w:val="21"/>
                      <w:szCs w:val="21"/>
                    </w:rPr>
                    <w:t>、消防栓或微型消防站、堵漏沙袋等</w:t>
                  </w:r>
                  <w:r>
                    <w:rPr>
                      <w:rFonts w:hint="eastAsia"/>
                      <w:color w:val="auto"/>
                      <w:sz w:val="21"/>
                      <w:szCs w:val="21"/>
                      <w:lang w:val="en-US" w:eastAsia="zh-CN"/>
                    </w:rPr>
                    <w:t>环境应急物资配备，事故应急池建设、制定应急预案等。</w:t>
                  </w:r>
                </w:p>
              </w:tc>
              <w:tc>
                <w:tcPr>
                  <w:tcW w:w="766" w:type="pct"/>
                  <w:tcBorders>
                    <w:tl2br w:val="nil"/>
                    <w:tr2bl w:val="nil"/>
                  </w:tcBorders>
                  <w:vAlign w:val="center"/>
                </w:tcPr>
                <w:p w14:paraId="406F5C2C">
                  <w:pPr>
                    <w:widowControl/>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15</w:t>
                  </w:r>
                </w:p>
              </w:tc>
            </w:tr>
            <w:tr w14:paraId="167CA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3" w:type="pct"/>
                  <w:gridSpan w:val="3"/>
                  <w:tcBorders>
                    <w:tl2br w:val="nil"/>
                    <w:tr2bl w:val="nil"/>
                  </w:tcBorders>
                  <w:vAlign w:val="center"/>
                </w:tcPr>
                <w:p w14:paraId="4729D024">
                  <w:pPr>
                    <w:spacing w:line="280" w:lineRule="exact"/>
                    <w:jc w:val="center"/>
                    <w:rPr>
                      <w:color w:val="auto"/>
                      <w:sz w:val="21"/>
                      <w:szCs w:val="21"/>
                    </w:rPr>
                  </w:pPr>
                  <w:r>
                    <w:rPr>
                      <w:color w:val="auto"/>
                      <w:sz w:val="21"/>
                      <w:szCs w:val="21"/>
                    </w:rPr>
                    <w:t>合计</w:t>
                  </w:r>
                </w:p>
              </w:tc>
              <w:tc>
                <w:tcPr>
                  <w:tcW w:w="766" w:type="pct"/>
                  <w:tcBorders>
                    <w:tl2br w:val="nil"/>
                    <w:tr2bl w:val="nil"/>
                  </w:tcBorders>
                  <w:vAlign w:val="center"/>
                </w:tcPr>
                <w:p w14:paraId="2A22DCC8">
                  <w:pPr>
                    <w:spacing w:line="280" w:lineRule="exact"/>
                    <w:jc w:val="center"/>
                    <w:rPr>
                      <w:rFonts w:hint="default" w:eastAsia="宋体"/>
                      <w:color w:val="auto"/>
                      <w:sz w:val="21"/>
                      <w:szCs w:val="21"/>
                      <w:lang w:val="en-US" w:eastAsia="zh-CN"/>
                    </w:rPr>
                  </w:pPr>
                  <w:r>
                    <w:rPr>
                      <w:rFonts w:hint="eastAsia"/>
                      <w:color w:val="auto"/>
                      <w:sz w:val="21"/>
                      <w:szCs w:val="21"/>
                      <w:lang w:val="en-US" w:eastAsia="zh-CN"/>
                    </w:rPr>
                    <w:t>330</w:t>
                  </w:r>
                </w:p>
              </w:tc>
            </w:tr>
          </w:tbl>
          <w:p w14:paraId="2F46D26A">
            <w:pPr>
              <w:pStyle w:val="27"/>
              <w:spacing w:before="0" w:after="0" w:line="360" w:lineRule="auto"/>
              <w:ind w:right="0" w:firstLine="0" w:firstLineChars="0"/>
              <w:rPr>
                <w:b/>
                <w:bCs/>
                <w:color w:val="auto"/>
                <w:spacing w:val="4"/>
                <w:kern w:val="18"/>
                <w:sz w:val="24"/>
                <w:szCs w:val="24"/>
              </w:rPr>
            </w:pPr>
          </w:p>
        </w:tc>
      </w:tr>
    </w:tbl>
    <w:p w14:paraId="385F8566">
      <w:pPr>
        <w:rPr>
          <w:color w:val="auto"/>
          <w:sz w:val="24"/>
          <w:szCs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02A7242">
      <w:pPr>
        <w:pStyle w:val="24"/>
        <w:jc w:val="center"/>
        <w:outlineLvl w:val="0"/>
        <w:rPr>
          <w:rFonts w:hint="eastAsia" w:ascii="黑体" w:hAnsi="黑体" w:eastAsia="黑体"/>
          <w:snapToGrid w:val="0"/>
          <w:color w:val="auto"/>
          <w:sz w:val="24"/>
          <w:szCs w:val="24"/>
        </w:rPr>
      </w:pPr>
      <w:bookmarkStart w:id="36" w:name="_Toc9367"/>
      <w:bookmarkStart w:id="37" w:name="_Toc19086"/>
      <w:bookmarkStart w:id="38" w:name="_Toc6742"/>
      <w:r>
        <w:rPr>
          <w:rFonts w:hint="eastAsia" w:ascii="黑体" w:hAnsi="黑体" w:eastAsia="黑体"/>
          <w:snapToGrid w:val="0"/>
          <w:color w:val="auto"/>
          <w:sz w:val="24"/>
          <w:szCs w:val="24"/>
        </w:rPr>
        <w:t>五、</w:t>
      </w:r>
      <w:bookmarkStart w:id="39" w:name="_Hlk54167917"/>
      <w:r>
        <w:rPr>
          <w:rFonts w:hint="eastAsia" w:ascii="黑体" w:hAnsi="黑体" w:eastAsia="黑体"/>
          <w:snapToGrid w:val="0"/>
          <w:color w:val="auto"/>
          <w:sz w:val="24"/>
          <w:szCs w:val="24"/>
        </w:rPr>
        <w:t>环境保护措施监督检查清单</w:t>
      </w:r>
      <w:bookmarkEnd w:id="36"/>
      <w:bookmarkEnd w:id="37"/>
      <w:bookmarkEnd w:id="38"/>
      <w:bookmarkEnd w:id="39"/>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Layout w:type="fixed"/>
        <w:tblCellMar>
          <w:top w:w="0" w:type="dxa"/>
          <w:left w:w="108" w:type="dxa"/>
          <w:bottom w:w="0" w:type="dxa"/>
          <w:right w:w="108" w:type="dxa"/>
        </w:tblCellMar>
      </w:tblPr>
      <w:tblGrid>
        <w:gridCol w:w="1200"/>
        <w:gridCol w:w="2130"/>
        <w:gridCol w:w="1365"/>
        <w:gridCol w:w="1905"/>
        <w:gridCol w:w="2460"/>
      </w:tblGrid>
      <w:tr w14:paraId="1602BDB9">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tcBorders>
              <w:tl2br w:val="nil"/>
              <w:tr2bl w:val="nil"/>
            </w:tcBorders>
          </w:tcPr>
          <w:p w14:paraId="476E09C5">
            <w:pPr>
              <w:adjustRightInd w:val="0"/>
              <w:snapToGrid w:val="0"/>
              <w:jc w:val="right"/>
              <w:rPr>
                <w:b/>
                <w:bCs/>
                <w:color w:val="auto"/>
                <w:sz w:val="24"/>
                <w:szCs w:val="24"/>
              </w:rPr>
            </w:pPr>
            <w:r>
              <w:rPr>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-67310</wp:posOffset>
                      </wp:positionH>
                      <wp:positionV relativeFrom="paragraph">
                        <wp:posOffset>-6350</wp:posOffset>
                      </wp:positionV>
                      <wp:extent cx="748030" cy="532130"/>
                      <wp:effectExtent l="2540" t="3810" r="11430" b="16510"/>
                      <wp:wrapNone/>
                      <wp:docPr id="20" name="直接连接符 20"/>
                      <wp:cNvGraphicFramePr/>
                      <a:graphic xmlns:a="http://schemas.openxmlformats.org/drawingml/2006/main">
                        <a:graphicData uri="http://schemas.microsoft.com/office/word/2010/wordprocessingShape">
                          <wps:wsp>
                            <wps:cNvCnPr/>
                            <wps:spPr>
                              <a:xfrm>
                                <a:off x="922655" y="1645285"/>
                                <a:ext cx="748030" cy="53213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3pt;margin-top:-0.5pt;height:41.9pt;width:58.9pt;z-index:251666432;mso-width-relative:page;mso-height-relative:page;" filled="f" stroked="t" coordsize="21600,21600" o:gfxdata="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ZQKB1QAAAAkBAAAPAAAAAAAAAAEAIAAAACIAAABkcnMvZG93bnJldi54bWxQSwECFAAU&#10;AAAACACHTuJA0oC2CvQBAADCAwAADgAAAAAAAAABACAAAAAkAQAAZHJzL2Uyb0RvYy54bWxQSwUG&#10;AAAAAAYABgBZAQAAigUAAAAA&#10;">
                      <v:fill on="f" focussize="0,0"/>
                      <v:stroke weight="0.5pt" color="#000000 [3213]" miterlimit="8" joinstyle="miter"/>
                      <v:imagedata o:title=""/>
                      <o:lock v:ext="edit" aspectratio="f"/>
                    </v:line>
                  </w:pict>
                </mc:Fallback>
              </mc:AlternateContent>
            </w:r>
            <w:r>
              <w:rPr>
                <w:b/>
                <w:bCs/>
                <w:color w:val="auto"/>
                <w:sz w:val="24"/>
                <w:szCs w:val="24"/>
              </w:rPr>
              <w:t>内容</w:t>
            </w:r>
          </w:p>
          <w:p w14:paraId="41832D30">
            <w:pPr>
              <w:pStyle w:val="37"/>
              <w:rPr>
                <w:color w:val="auto"/>
                <w:sz w:val="24"/>
                <w:szCs w:val="24"/>
              </w:rPr>
            </w:pPr>
          </w:p>
          <w:p w14:paraId="6379A275">
            <w:pPr>
              <w:adjustRightInd w:val="0"/>
              <w:snapToGrid w:val="0"/>
              <w:rPr>
                <w:b/>
                <w:bCs/>
                <w:color w:val="auto"/>
                <w:sz w:val="24"/>
                <w:szCs w:val="24"/>
              </w:rPr>
            </w:pPr>
            <w:r>
              <w:rPr>
                <w:b/>
                <w:bCs/>
                <w:color w:val="auto"/>
                <w:sz w:val="24"/>
                <w:szCs w:val="24"/>
              </w:rPr>
              <w:t>要素</w:t>
            </w:r>
          </w:p>
        </w:tc>
        <w:tc>
          <w:tcPr>
            <w:tcW w:w="2130" w:type="dxa"/>
            <w:tcBorders>
              <w:tl2br w:val="nil"/>
              <w:tr2bl w:val="nil"/>
            </w:tcBorders>
            <w:vAlign w:val="center"/>
          </w:tcPr>
          <w:p w14:paraId="4C5A3ED1">
            <w:pPr>
              <w:adjustRightInd w:val="0"/>
              <w:snapToGrid w:val="0"/>
              <w:jc w:val="center"/>
              <w:rPr>
                <w:b/>
                <w:bCs/>
                <w:color w:val="auto"/>
                <w:sz w:val="24"/>
                <w:szCs w:val="24"/>
              </w:rPr>
            </w:pPr>
            <w:r>
              <w:rPr>
                <w:b/>
                <w:bCs/>
                <w:color w:val="auto"/>
                <w:sz w:val="24"/>
                <w:szCs w:val="24"/>
              </w:rPr>
              <w:t>排放口(编号、名称)/污染源</w:t>
            </w:r>
          </w:p>
        </w:tc>
        <w:tc>
          <w:tcPr>
            <w:tcW w:w="1365" w:type="dxa"/>
            <w:tcBorders>
              <w:tl2br w:val="nil"/>
              <w:tr2bl w:val="nil"/>
            </w:tcBorders>
            <w:vAlign w:val="center"/>
          </w:tcPr>
          <w:p w14:paraId="3D28A960">
            <w:pPr>
              <w:adjustRightInd w:val="0"/>
              <w:snapToGrid w:val="0"/>
              <w:jc w:val="center"/>
              <w:rPr>
                <w:b/>
                <w:bCs/>
                <w:color w:val="auto"/>
                <w:sz w:val="24"/>
                <w:szCs w:val="24"/>
              </w:rPr>
            </w:pPr>
            <w:r>
              <w:rPr>
                <w:b/>
                <w:bCs/>
                <w:color w:val="auto"/>
                <w:sz w:val="24"/>
                <w:szCs w:val="24"/>
              </w:rPr>
              <w:t>污染物项目</w:t>
            </w:r>
          </w:p>
        </w:tc>
        <w:tc>
          <w:tcPr>
            <w:tcW w:w="1905" w:type="dxa"/>
            <w:tcBorders>
              <w:tl2br w:val="nil"/>
              <w:tr2bl w:val="nil"/>
            </w:tcBorders>
            <w:vAlign w:val="center"/>
          </w:tcPr>
          <w:p w14:paraId="5BF68C5C">
            <w:pPr>
              <w:adjustRightInd w:val="0"/>
              <w:snapToGrid w:val="0"/>
              <w:jc w:val="center"/>
              <w:rPr>
                <w:b/>
                <w:bCs/>
                <w:color w:val="auto"/>
                <w:sz w:val="24"/>
                <w:szCs w:val="24"/>
              </w:rPr>
            </w:pPr>
            <w:r>
              <w:rPr>
                <w:b/>
                <w:bCs/>
                <w:color w:val="auto"/>
                <w:sz w:val="24"/>
                <w:szCs w:val="24"/>
              </w:rPr>
              <w:t>环境保护措施</w:t>
            </w:r>
          </w:p>
        </w:tc>
        <w:tc>
          <w:tcPr>
            <w:tcW w:w="2460" w:type="dxa"/>
            <w:tcBorders>
              <w:tl2br w:val="nil"/>
              <w:tr2bl w:val="nil"/>
            </w:tcBorders>
            <w:vAlign w:val="center"/>
          </w:tcPr>
          <w:p w14:paraId="1C738003">
            <w:pPr>
              <w:adjustRightInd w:val="0"/>
              <w:snapToGrid w:val="0"/>
              <w:jc w:val="center"/>
              <w:rPr>
                <w:b/>
                <w:bCs/>
                <w:color w:val="auto"/>
                <w:sz w:val="24"/>
                <w:szCs w:val="24"/>
              </w:rPr>
            </w:pPr>
            <w:r>
              <w:rPr>
                <w:b/>
                <w:bCs/>
                <w:color w:val="auto"/>
                <w:sz w:val="24"/>
                <w:szCs w:val="24"/>
              </w:rPr>
              <w:t>执行标准</w:t>
            </w:r>
          </w:p>
        </w:tc>
      </w:tr>
      <w:tr w14:paraId="5D3D0891">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restart"/>
            <w:tcBorders>
              <w:tl2br w:val="nil"/>
              <w:tr2bl w:val="nil"/>
            </w:tcBorders>
            <w:vAlign w:val="center"/>
          </w:tcPr>
          <w:p w14:paraId="02351264">
            <w:pPr>
              <w:adjustRightInd w:val="0"/>
              <w:snapToGrid w:val="0"/>
              <w:jc w:val="center"/>
              <w:rPr>
                <w:b/>
                <w:bCs/>
                <w:color w:val="auto"/>
                <w:sz w:val="24"/>
                <w:szCs w:val="24"/>
              </w:rPr>
            </w:pPr>
            <w:r>
              <w:rPr>
                <w:color w:val="auto"/>
                <w:sz w:val="24"/>
                <w:szCs w:val="24"/>
              </w:rPr>
              <w:t>大气环境</w:t>
            </w:r>
          </w:p>
        </w:tc>
        <w:tc>
          <w:tcPr>
            <w:tcW w:w="2130" w:type="dxa"/>
            <w:tcBorders>
              <w:tl2br w:val="nil"/>
              <w:tr2bl w:val="nil"/>
            </w:tcBorders>
            <w:vAlign w:val="center"/>
          </w:tcPr>
          <w:p w14:paraId="490F31F0">
            <w:pPr>
              <w:adjustRightInd w:val="0"/>
              <w:snapToGrid w:val="0"/>
              <w:jc w:val="center"/>
              <w:rPr>
                <w:b/>
                <w:bCs/>
                <w:color w:val="auto"/>
                <w:sz w:val="24"/>
                <w:szCs w:val="24"/>
              </w:rPr>
            </w:pPr>
            <w:r>
              <w:rPr>
                <w:color w:val="auto"/>
                <w:sz w:val="24"/>
                <w:szCs w:val="24"/>
              </w:rPr>
              <w:t>DA00</w:t>
            </w:r>
            <w:r>
              <w:rPr>
                <w:rFonts w:hint="eastAsia"/>
                <w:color w:val="auto"/>
                <w:sz w:val="24"/>
                <w:szCs w:val="24"/>
                <w:lang w:val="en-US" w:eastAsia="zh-CN"/>
              </w:rPr>
              <w:t>1</w:t>
            </w:r>
            <w:r>
              <w:rPr>
                <w:rFonts w:hint="eastAsia"/>
                <w:color w:val="auto"/>
                <w:sz w:val="24"/>
                <w:szCs w:val="24"/>
              </w:rPr>
              <w:t>排气筒（金属熔化、熔模浇注、粘土砂浇注废气）</w:t>
            </w:r>
          </w:p>
        </w:tc>
        <w:tc>
          <w:tcPr>
            <w:tcW w:w="1365" w:type="dxa"/>
            <w:tcBorders>
              <w:tl2br w:val="nil"/>
              <w:tr2bl w:val="nil"/>
            </w:tcBorders>
            <w:vAlign w:val="center"/>
          </w:tcPr>
          <w:p w14:paraId="66FB9316">
            <w:pPr>
              <w:adjustRightInd w:val="0"/>
              <w:snapToGrid w:val="0"/>
              <w:jc w:val="center"/>
              <w:rPr>
                <w:b/>
                <w:bCs/>
                <w:color w:val="auto"/>
                <w:sz w:val="24"/>
                <w:szCs w:val="24"/>
              </w:rPr>
            </w:pPr>
            <w:r>
              <w:rPr>
                <w:rFonts w:hint="eastAsia"/>
                <w:color w:val="auto"/>
                <w:sz w:val="24"/>
                <w:szCs w:val="24"/>
              </w:rPr>
              <w:t>颗粒物</w:t>
            </w:r>
          </w:p>
        </w:tc>
        <w:tc>
          <w:tcPr>
            <w:tcW w:w="1905" w:type="dxa"/>
            <w:tcBorders>
              <w:tl2br w:val="nil"/>
              <w:tr2bl w:val="nil"/>
            </w:tcBorders>
            <w:vAlign w:val="center"/>
          </w:tcPr>
          <w:p w14:paraId="5C46AE19">
            <w:pPr>
              <w:adjustRightInd w:val="0"/>
              <w:snapToGrid w:val="0"/>
              <w:jc w:val="center"/>
              <w:rPr>
                <w:b/>
                <w:bCs/>
                <w:color w:val="auto"/>
                <w:sz w:val="24"/>
                <w:szCs w:val="24"/>
              </w:rPr>
            </w:pPr>
            <w:r>
              <w:rPr>
                <w:rFonts w:hint="eastAsia"/>
                <w:color w:val="auto"/>
                <w:sz w:val="24"/>
                <w:szCs w:val="24"/>
                <w:lang w:val="en-US" w:eastAsia="zh-CN"/>
              </w:rPr>
              <w:t>袋式除尘器处理</w:t>
            </w:r>
            <w:r>
              <w:rPr>
                <w:rFonts w:hint="eastAsia"/>
                <w:color w:val="auto"/>
                <w:sz w:val="24"/>
                <w:szCs w:val="24"/>
              </w:rPr>
              <w:t>，通过1根15</w:t>
            </w:r>
            <w:r>
              <w:rPr>
                <w:color w:val="auto"/>
                <w:sz w:val="24"/>
                <w:szCs w:val="24"/>
              </w:rPr>
              <w:t>m</w:t>
            </w:r>
            <w:r>
              <w:rPr>
                <w:rFonts w:hint="eastAsia"/>
                <w:color w:val="auto"/>
                <w:sz w:val="24"/>
                <w:szCs w:val="24"/>
              </w:rPr>
              <w:t>高排气筒排放</w:t>
            </w:r>
          </w:p>
        </w:tc>
        <w:tc>
          <w:tcPr>
            <w:tcW w:w="2460" w:type="dxa"/>
            <w:tcBorders>
              <w:bottom w:val="single" w:color="auto" w:sz="4" w:space="0"/>
              <w:tl2br w:val="nil"/>
              <w:tr2bl w:val="nil"/>
            </w:tcBorders>
            <w:vAlign w:val="center"/>
          </w:tcPr>
          <w:p w14:paraId="1E91DFA2">
            <w:pPr>
              <w:adjustRightInd w:val="0"/>
              <w:snapToGrid w:val="0"/>
              <w:jc w:val="center"/>
              <w:rPr>
                <w:rFonts w:hint="eastAsia" w:eastAsia="宋体"/>
                <w:b/>
                <w:bCs/>
                <w:color w:val="auto"/>
                <w:sz w:val="24"/>
                <w:szCs w:val="24"/>
                <w:lang w:eastAsia="zh-CN"/>
              </w:rPr>
            </w:pPr>
            <w:r>
              <w:rPr>
                <w:rFonts w:hint="eastAsia"/>
                <w:color w:val="auto"/>
                <w:sz w:val="24"/>
                <w:szCs w:val="24"/>
              </w:rPr>
              <w:t>《铸造工业大气污染物排放标准》（GB39726-2020）表1标准</w:t>
            </w:r>
          </w:p>
        </w:tc>
      </w:tr>
      <w:tr w14:paraId="7F6B7C7C">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097E7DCB">
            <w:pPr>
              <w:adjustRightInd w:val="0"/>
              <w:snapToGrid w:val="0"/>
              <w:jc w:val="center"/>
              <w:rPr>
                <w:color w:val="auto"/>
                <w:sz w:val="24"/>
                <w:szCs w:val="24"/>
              </w:rPr>
            </w:pPr>
          </w:p>
        </w:tc>
        <w:tc>
          <w:tcPr>
            <w:tcW w:w="2130" w:type="dxa"/>
            <w:tcBorders>
              <w:tl2br w:val="nil"/>
              <w:tr2bl w:val="nil"/>
            </w:tcBorders>
            <w:shd w:val="clear" w:color="auto" w:fill="auto"/>
            <w:vAlign w:val="center"/>
          </w:tcPr>
          <w:p w14:paraId="54AC836D">
            <w:pPr>
              <w:adjustRightInd w:val="0"/>
              <w:snapToGrid w:val="0"/>
              <w:jc w:val="center"/>
              <w:rPr>
                <w:b/>
                <w:bCs/>
                <w:color w:val="auto"/>
                <w:sz w:val="24"/>
                <w:szCs w:val="24"/>
              </w:rPr>
            </w:pPr>
            <w:r>
              <w:rPr>
                <w:color w:val="auto"/>
                <w:sz w:val="24"/>
                <w:szCs w:val="24"/>
              </w:rPr>
              <w:t>DA0</w:t>
            </w:r>
            <w:r>
              <w:rPr>
                <w:rFonts w:hint="eastAsia"/>
                <w:color w:val="auto"/>
                <w:sz w:val="24"/>
                <w:szCs w:val="24"/>
                <w:lang w:val="en-US" w:eastAsia="zh-CN"/>
              </w:rPr>
              <w:t>02</w:t>
            </w:r>
            <w:r>
              <w:rPr>
                <w:rFonts w:hint="eastAsia"/>
                <w:color w:val="auto"/>
                <w:sz w:val="24"/>
                <w:szCs w:val="24"/>
              </w:rPr>
              <w:t>排气筒（</w:t>
            </w:r>
            <w:r>
              <w:rPr>
                <w:rFonts w:hint="eastAsia" w:ascii="宋体" w:hAnsi="宋体" w:cs="宋体"/>
                <w:color w:val="auto"/>
                <w:sz w:val="24"/>
                <w:szCs w:val="24"/>
                <w:lang w:val="en-US" w:eastAsia="zh-CN"/>
              </w:rPr>
              <w:t>制芯、树脂砂造型及浇注废气</w:t>
            </w:r>
            <w:r>
              <w:rPr>
                <w:rFonts w:hint="eastAsia"/>
                <w:color w:val="auto"/>
                <w:sz w:val="24"/>
                <w:szCs w:val="24"/>
              </w:rPr>
              <w:t>）</w:t>
            </w:r>
          </w:p>
        </w:tc>
        <w:tc>
          <w:tcPr>
            <w:tcW w:w="1365" w:type="dxa"/>
            <w:tcBorders>
              <w:tl2br w:val="nil"/>
              <w:tr2bl w:val="nil"/>
            </w:tcBorders>
            <w:shd w:val="clear" w:color="auto" w:fill="auto"/>
            <w:vAlign w:val="center"/>
          </w:tcPr>
          <w:p w14:paraId="793ACCA7">
            <w:pPr>
              <w:adjustRightInd w:val="0"/>
              <w:snapToGrid w:val="0"/>
              <w:jc w:val="center"/>
              <w:rPr>
                <w:rFonts w:hint="default" w:eastAsia="宋体"/>
                <w:b/>
                <w:bCs/>
                <w:color w:val="auto"/>
                <w:sz w:val="24"/>
                <w:szCs w:val="24"/>
                <w:lang w:val="en-US" w:eastAsia="zh-CN"/>
              </w:rPr>
            </w:pPr>
            <w:r>
              <w:rPr>
                <w:rFonts w:hint="eastAsia"/>
                <w:color w:val="auto"/>
                <w:sz w:val="24"/>
                <w:szCs w:val="24"/>
              </w:rPr>
              <w:t>颗粒物</w:t>
            </w:r>
            <w:r>
              <w:rPr>
                <w:rFonts w:hint="eastAsia"/>
                <w:color w:val="auto"/>
                <w:sz w:val="24"/>
                <w:szCs w:val="24"/>
                <w:lang w:eastAsia="zh-CN"/>
              </w:rPr>
              <w:t>、</w:t>
            </w:r>
            <w:r>
              <w:rPr>
                <w:rFonts w:hint="eastAsia"/>
                <w:color w:val="auto"/>
                <w:sz w:val="24"/>
                <w:szCs w:val="24"/>
                <w:lang w:val="en-US" w:eastAsia="zh-CN"/>
              </w:rPr>
              <w:t>非甲烷总烃、甲醛、甲醛、臭气浓度</w:t>
            </w:r>
          </w:p>
        </w:tc>
        <w:tc>
          <w:tcPr>
            <w:tcW w:w="1905" w:type="dxa"/>
            <w:tcBorders>
              <w:tl2br w:val="nil"/>
              <w:tr2bl w:val="nil"/>
            </w:tcBorders>
            <w:shd w:val="clear" w:color="auto" w:fill="auto"/>
            <w:vAlign w:val="center"/>
          </w:tcPr>
          <w:p w14:paraId="5FCA1DA0">
            <w:pPr>
              <w:adjustRightInd w:val="0"/>
              <w:snapToGrid w:val="0"/>
              <w:jc w:val="center"/>
              <w:rPr>
                <w:b/>
                <w:bCs/>
                <w:color w:val="auto"/>
                <w:sz w:val="24"/>
                <w:szCs w:val="24"/>
              </w:rPr>
            </w:pPr>
            <w:r>
              <w:rPr>
                <w:rFonts w:hint="eastAsia"/>
                <w:color w:val="auto"/>
                <w:sz w:val="24"/>
                <w:szCs w:val="24"/>
              </w:rPr>
              <w:t>袋式除尘器</w:t>
            </w:r>
            <w:r>
              <w:rPr>
                <w:rFonts w:hint="eastAsia"/>
                <w:color w:val="auto"/>
                <w:sz w:val="24"/>
                <w:szCs w:val="24"/>
                <w:lang w:val="en-US" w:eastAsia="zh-CN"/>
              </w:rPr>
              <w:t>+活性炭吸附</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tcBorders>
              <w:top w:val="single" w:color="auto" w:sz="4" w:space="0"/>
              <w:tl2br w:val="nil"/>
              <w:tr2bl w:val="nil"/>
            </w:tcBorders>
            <w:shd w:val="clear" w:color="auto" w:fill="auto"/>
            <w:vAlign w:val="center"/>
          </w:tcPr>
          <w:p w14:paraId="753B53D7">
            <w:pPr>
              <w:adjustRightInd w:val="0"/>
              <w:snapToGrid w:val="0"/>
              <w:jc w:val="center"/>
              <w:rPr>
                <w:rFonts w:hint="eastAsia"/>
                <w:color w:val="auto"/>
                <w:sz w:val="24"/>
                <w:szCs w:val="24"/>
                <w:lang w:eastAsia="zh-CN"/>
              </w:rPr>
            </w:pPr>
            <w:r>
              <w:rPr>
                <w:rFonts w:hint="eastAsia"/>
                <w:color w:val="auto"/>
                <w:sz w:val="24"/>
                <w:szCs w:val="24"/>
                <w:lang w:val="en-US" w:eastAsia="zh-CN"/>
              </w:rPr>
              <w:t>颗粒物排放执行</w:t>
            </w:r>
            <w:r>
              <w:rPr>
                <w:rFonts w:hint="eastAsia"/>
                <w:color w:val="auto"/>
                <w:sz w:val="24"/>
                <w:szCs w:val="24"/>
              </w:rPr>
              <w:t>《铸造工业大气污染物排放标准》（GB39726-2020）表1标准</w:t>
            </w:r>
            <w:r>
              <w:rPr>
                <w:rFonts w:hint="eastAsia"/>
                <w:color w:val="auto"/>
                <w:sz w:val="24"/>
                <w:szCs w:val="24"/>
                <w:lang w:val="en-US" w:eastAsia="zh-CN"/>
              </w:rPr>
              <w:t>，臭气浓度排放执行</w:t>
            </w:r>
            <w:r>
              <w:rPr>
                <w:rFonts w:hint="eastAsia"/>
                <w:color w:val="auto"/>
                <w:sz w:val="24"/>
                <w:szCs w:val="24"/>
                <w:lang w:eastAsia="zh-CN"/>
              </w:rPr>
              <w:t>《恶臭污染物排放标准》（GB14554-1993），</w:t>
            </w:r>
            <w:r>
              <w:rPr>
                <w:rFonts w:hint="eastAsia"/>
                <w:color w:val="auto"/>
                <w:sz w:val="24"/>
                <w:szCs w:val="24"/>
                <w:lang w:val="en-US" w:eastAsia="zh-CN"/>
              </w:rPr>
              <w:t>非甲烷总烃、</w:t>
            </w:r>
            <w:r>
              <w:rPr>
                <w:rFonts w:hint="eastAsia"/>
                <w:color w:val="auto"/>
                <w:sz w:val="24"/>
                <w:szCs w:val="24"/>
                <w:lang w:eastAsia="zh-CN"/>
              </w:rPr>
              <w:t>甲醛参照执行《工业企业挥发性有机物排放标准》（DB35/1782-2018）表1“其他行业”的排放限值</w:t>
            </w:r>
          </w:p>
        </w:tc>
      </w:tr>
      <w:tr w14:paraId="333BE182">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71BB7BFF">
            <w:pPr>
              <w:adjustRightInd w:val="0"/>
              <w:snapToGrid w:val="0"/>
              <w:jc w:val="center"/>
              <w:rPr>
                <w:color w:val="auto"/>
                <w:sz w:val="24"/>
                <w:szCs w:val="24"/>
              </w:rPr>
            </w:pPr>
          </w:p>
        </w:tc>
        <w:tc>
          <w:tcPr>
            <w:tcW w:w="2130" w:type="dxa"/>
            <w:tcBorders>
              <w:tl2br w:val="nil"/>
              <w:tr2bl w:val="nil"/>
            </w:tcBorders>
            <w:shd w:val="clear" w:color="auto" w:fill="auto"/>
            <w:vAlign w:val="center"/>
          </w:tcPr>
          <w:p w14:paraId="17C7A59B">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DA00</w:t>
            </w:r>
            <w:r>
              <w:rPr>
                <w:rFonts w:hint="eastAsia"/>
                <w:color w:val="auto"/>
                <w:sz w:val="24"/>
                <w:szCs w:val="24"/>
                <w:lang w:val="en-US" w:eastAsia="zh-CN"/>
              </w:rPr>
              <w:t>3</w:t>
            </w:r>
            <w:r>
              <w:rPr>
                <w:rFonts w:hint="eastAsia"/>
                <w:color w:val="auto"/>
                <w:sz w:val="24"/>
                <w:szCs w:val="24"/>
              </w:rPr>
              <w:t>排气筒（</w:t>
            </w:r>
            <w:r>
              <w:rPr>
                <w:rFonts w:hint="eastAsia"/>
                <w:color w:val="auto"/>
                <w:sz w:val="24"/>
                <w:szCs w:val="24"/>
                <w:lang w:val="en-US" w:eastAsia="zh-CN"/>
              </w:rPr>
              <w:t>蜡模组树</w:t>
            </w:r>
            <w:r>
              <w:rPr>
                <w:rFonts w:hint="eastAsia"/>
                <w:color w:val="auto"/>
                <w:sz w:val="24"/>
                <w:szCs w:val="24"/>
              </w:rPr>
              <w:t>废气）</w:t>
            </w:r>
          </w:p>
        </w:tc>
        <w:tc>
          <w:tcPr>
            <w:tcW w:w="1365" w:type="dxa"/>
            <w:tcBorders>
              <w:tl2br w:val="nil"/>
              <w:tr2bl w:val="nil"/>
            </w:tcBorders>
            <w:shd w:val="clear" w:color="auto" w:fill="auto"/>
            <w:vAlign w:val="center"/>
          </w:tcPr>
          <w:p w14:paraId="260BD220">
            <w:pPr>
              <w:adjustRightInd w:val="0"/>
              <w:snapToGrid w:val="0"/>
              <w:jc w:val="center"/>
              <w:rPr>
                <w:rFonts w:hint="default"/>
                <w:color w:val="auto"/>
                <w:sz w:val="24"/>
                <w:szCs w:val="24"/>
                <w:lang w:val="en-US"/>
              </w:rPr>
            </w:pPr>
            <w:r>
              <w:rPr>
                <w:rFonts w:hint="eastAsia"/>
                <w:color w:val="auto"/>
                <w:sz w:val="24"/>
                <w:szCs w:val="24"/>
                <w:lang w:val="en-US" w:eastAsia="zh-CN"/>
              </w:rPr>
              <w:t>非甲烷总烃、臭气浓度</w:t>
            </w:r>
          </w:p>
        </w:tc>
        <w:tc>
          <w:tcPr>
            <w:tcW w:w="1905" w:type="dxa"/>
            <w:tcBorders>
              <w:tl2br w:val="nil"/>
              <w:tr2bl w:val="nil"/>
            </w:tcBorders>
            <w:shd w:val="clear" w:color="auto" w:fill="auto"/>
            <w:vAlign w:val="center"/>
          </w:tcPr>
          <w:p w14:paraId="65DC2B7A">
            <w:pPr>
              <w:adjustRightInd w:val="0"/>
              <w:snapToGrid w:val="0"/>
              <w:jc w:val="center"/>
              <w:rPr>
                <w:rFonts w:hint="eastAsia"/>
                <w:color w:val="auto"/>
                <w:sz w:val="24"/>
                <w:szCs w:val="24"/>
              </w:rPr>
            </w:pPr>
            <w:r>
              <w:rPr>
                <w:rFonts w:hint="eastAsia"/>
                <w:color w:val="auto"/>
                <w:sz w:val="24"/>
                <w:szCs w:val="24"/>
                <w:lang w:val="en-US" w:eastAsia="zh-CN"/>
              </w:rPr>
              <w:t>活性炭吸附</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vMerge w:val="restart"/>
            <w:tcBorders>
              <w:tl2br w:val="nil"/>
              <w:tr2bl w:val="nil"/>
            </w:tcBorders>
            <w:shd w:val="clear" w:color="auto" w:fill="auto"/>
            <w:vAlign w:val="center"/>
          </w:tcPr>
          <w:p w14:paraId="70471DAD">
            <w:pPr>
              <w:adjustRightInd w:val="0"/>
              <w:snapToGrid w:val="0"/>
              <w:jc w:val="center"/>
              <w:rPr>
                <w:rFonts w:hint="eastAsia"/>
                <w:color w:val="auto"/>
                <w:kern w:val="0"/>
                <w:sz w:val="24"/>
                <w:szCs w:val="24"/>
                <w:lang w:val="en-US" w:eastAsia="zh-CN"/>
              </w:rPr>
            </w:pPr>
            <w:r>
              <w:rPr>
                <w:rFonts w:hint="eastAsia"/>
                <w:color w:val="auto"/>
                <w:sz w:val="24"/>
                <w:szCs w:val="24"/>
                <w:highlight w:val="none"/>
                <w:lang w:val="en-US" w:eastAsia="zh-CN"/>
              </w:rPr>
              <w:t>《熔模铸造工艺 污染物的控制》（GB/T32251-2024）</w:t>
            </w:r>
          </w:p>
        </w:tc>
      </w:tr>
      <w:tr w14:paraId="3D27E97E">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26574010">
            <w:pPr>
              <w:adjustRightInd w:val="0"/>
              <w:snapToGrid w:val="0"/>
              <w:jc w:val="center"/>
              <w:rPr>
                <w:color w:val="auto"/>
                <w:sz w:val="24"/>
                <w:szCs w:val="24"/>
              </w:rPr>
            </w:pPr>
          </w:p>
        </w:tc>
        <w:tc>
          <w:tcPr>
            <w:tcW w:w="2130" w:type="dxa"/>
            <w:tcBorders>
              <w:tl2br w:val="nil"/>
              <w:tr2bl w:val="nil"/>
            </w:tcBorders>
            <w:shd w:val="clear" w:color="auto" w:fill="auto"/>
            <w:vAlign w:val="center"/>
          </w:tcPr>
          <w:p w14:paraId="2B5E9095">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04</w:t>
            </w:r>
            <w:r>
              <w:rPr>
                <w:rFonts w:hint="eastAsia"/>
                <w:color w:val="auto"/>
                <w:sz w:val="24"/>
                <w:szCs w:val="24"/>
              </w:rPr>
              <w:t>排气筒（脱蜡、型壳焙烧</w:t>
            </w:r>
            <w:r>
              <w:rPr>
                <w:rFonts w:hint="eastAsia"/>
                <w:color w:val="auto"/>
                <w:sz w:val="24"/>
                <w:szCs w:val="24"/>
                <w:lang w:val="en-US" w:eastAsia="zh-CN"/>
              </w:rPr>
              <w:t>废气</w:t>
            </w:r>
            <w:r>
              <w:rPr>
                <w:rFonts w:hint="eastAsia"/>
                <w:color w:val="auto"/>
                <w:sz w:val="24"/>
                <w:szCs w:val="24"/>
              </w:rPr>
              <w:t>）</w:t>
            </w:r>
          </w:p>
        </w:tc>
        <w:tc>
          <w:tcPr>
            <w:tcW w:w="1365" w:type="dxa"/>
            <w:tcBorders>
              <w:tl2br w:val="nil"/>
              <w:tr2bl w:val="nil"/>
            </w:tcBorders>
            <w:shd w:val="clear" w:color="auto" w:fill="auto"/>
            <w:vAlign w:val="center"/>
          </w:tcPr>
          <w:p w14:paraId="417F8E93">
            <w:pPr>
              <w:adjustRightInd w:val="0"/>
              <w:snapToGrid w:val="0"/>
              <w:jc w:val="center"/>
              <w:rPr>
                <w:rFonts w:hint="default"/>
                <w:color w:val="auto"/>
                <w:sz w:val="24"/>
                <w:szCs w:val="24"/>
                <w:lang w:val="en-US"/>
              </w:rPr>
            </w:pPr>
            <w:r>
              <w:rPr>
                <w:rFonts w:hint="eastAsia"/>
                <w:color w:val="auto"/>
                <w:sz w:val="24"/>
                <w:szCs w:val="24"/>
                <w:lang w:val="en-US" w:eastAsia="zh-CN"/>
              </w:rPr>
              <w:t>非甲烷总烃、颗粒物、二氧化硫、氮氧化物</w:t>
            </w:r>
          </w:p>
        </w:tc>
        <w:tc>
          <w:tcPr>
            <w:tcW w:w="1905" w:type="dxa"/>
            <w:tcBorders>
              <w:tl2br w:val="nil"/>
              <w:tr2bl w:val="nil"/>
            </w:tcBorders>
            <w:shd w:val="clear" w:color="auto" w:fill="auto"/>
            <w:vAlign w:val="center"/>
          </w:tcPr>
          <w:p w14:paraId="19B351B5">
            <w:pPr>
              <w:adjustRightInd w:val="0"/>
              <w:snapToGrid w:val="0"/>
              <w:jc w:val="center"/>
              <w:rPr>
                <w:rFonts w:hint="eastAsia"/>
                <w:color w:val="auto"/>
                <w:sz w:val="24"/>
                <w:szCs w:val="24"/>
              </w:rPr>
            </w:pPr>
            <w:r>
              <w:rPr>
                <w:rFonts w:hint="eastAsia"/>
                <w:color w:val="auto"/>
                <w:sz w:val="24"/>
                <w:szCs w:val="24"/>
                <w:lang w:val="en-US" w:eastAsia="zh-CN"/>
              </w:rPr>
              <w:t>水喷淋+干式过滤器+活性炭吸附</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vMerge w:val="continue"/>
            <w:tcBorders>
              <w:tl2br w:val="nil"/>
              <w:tr2bl w:val="nil"/>
            </w:tcBorders>
            <w:shd w:val="clear" w:color="auto" w:fill="auto"/>
            <w:vAlign w:val="center"/>
          </w:tcPr>
          <w:p w14:paraId="0FC0C0B6">
            <w:pPr>
              <w:adjustRightInd w:val="0"/>
              <w:snapToGrid w:val="0"/>
              <w:jc w:val="center"/>
              <w:rPr>
                <w:rFonts w:hint="eastAsia"/>
                <w:color w:val="auto"/>
                <w:kern w:val="0"/>
                <w:sz w:val="24"/>
                <w:szCs w:val="24"/>
                <w:lang w:val="en-US" w:eastAsia="zh-CN"/>
              </w:rPr>
            </w:pPr>
          </w:p>
        </w:tc>
      </w:tr>
      <w:tr w14:paraId="2BE307F5">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2A8F406F">
            <w:pPr>
              <w:adjustRightInd w:val="0"/>
              <w:snapToGrid w:val="0"/>
              <w:jc w:val="center"/>
              <w:rPr>
                <w:color w:val="auto"/>
                <w:sz w:val="24"/>
                <w:szCs w:val="24"/>
              </w:rPr>
            </w:pPr>
          </w:p>
        </w:tc>
        <w:tc>
          <w:tcPr>
            <w:tcW w:w="2130" w:type="dxa"/>
            <w:tcBorders>
              <w:tl2br w:val="nil"/>
              <w:tr2bl w:val="nil"/>
            </w:tcBorders>
            <w:shd w:val="clear" w:color="auto" w:fill="auto"/>
            <w:vAlign w:val="center"/>
          </w:tcPr>
          <w:p w14:paraId="05BFB184">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05</w:t>
            </w:r>
            <w:r>
              <w:rPr>
                <w:rFonts w:hint="eastAsia"/>
                <w:color w:val="auto"/>
                <w:sz w:val="24"/>
                <w:szCs w:val="24"/>
              </w:rPr>
              <w:t>排气筒（</w:t>
            </w:r>
            <w:r>
              <w:rPr>
                <w:rFonts w:hint="eastAsia" w:ascii="宋体" w:hAnsi="宋体" w:cs="宋体"/>
                <w:color w:val="auto"/>
                <w:sz w:val="24"/>
                <w:szCs w:val="24"/>
                <w:lang w:val="en-US" w:eastAsia="zh-CN"/>
              </w:rPr>
              <w:t>落砂、砂再生，粘土砂造型</w:t>
            </w:r>
            <w:r>
              <w:rPr>
                <w:rFonts w:hint="eastAsia"/>
                <w:color w:val="auto"/>
                <w:sz w:val="24"/>
                <w:szCs w:val="24"/>
              </w:rPr>
              <w:t>）</w:t>
            </w:r>
          </w:p>
        </w:tc>
        <w:tc>
          <w:tcPr>
            <w:tcW w:w="1365" w:type="dxa"/>
            <w:tcBorders>
              <w:tl2br w:val="nil"/>
              <w:tr2bl w:val="nil"/>
            </w:tcBorders>
            <w:shd w:val="clear" w:color="auto" w:fill="auto"/>
            <w:vAlign w:val="center"/>
          </w:tcPr>
          <w:p w14:paraId="3AFEC25F">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颗粒物</w:t>
            </w:r>
          </w:p>
        </w:tc>
        <w:tc>
          <w:tcPr>
            <w:tcW w:w="1905" w:type="dxa"/>
            <w:tcBorders>
              <w:tl2br w:val="nil"/>
              <w:tr2bl w:val="nil"/>
            </w:tcBorders>
            <w:shd w:val="clear" w:color="auto" w:fill="auto"/>
            <w:vAlign w:val="center"/>
          </w:tcPr>
          <w:p w14:paraId="06A9D962">
            <w:pPr>
              <w:adjustRightInd w:val="0"/>
              <w:snapToGrid w:val="0"/>
              <w:jc w:val="center"/>
              <w:rPr>
                <w:rFonts w:hint="eastAsia"/>
                <w:color w:val="auto"/>
                <w:sz w:val="24"/>
                <w:szCs w:val="24"/>
              </w:rPr>
            </w:pPr>
            <w:r>
              <w:rPr>
                <w:rFonts w:hint="eastAsia"/>
                <w:color w:val="auto"/>
                <w:sz w:val="24"/>
                <w:szCs w:val="24"/>
                <w:lang w:val="en-US" w:eastAsia="zh-CN"/>
              </w:rPr>
              <w:t>袋式除尘器</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vMerge w:val="restart"/>
            <w:tcBorders>
              <w:tl2br w:val="nil"/>
              <w:tr2bl w:val="nil"/>
            </w:tcBorders>
            <w:shd w:val="clear" w:color="auto" w:fill="auto"/>
            <w:vAlign w:val="center"/>
          </w:tcPr>
          <w:p w14:paraId="015266A6">
            <w:pPr>
              <w:adjustRightInd w:val="0"/>
              <w:snapToGrid w:val="0"/>
              <w:jc w:val="center"/>
              <w:rPr>
                <w:rFonts w:hint="eastAsia"/>
                <w:color w:val="auto"/>
                <w:kern w:val="0"/>
                <w:sz w:val="24"/>
                <w:szCs w:val="24"/>
                <w:lang w:val="en-US" w:eastAsia="zh-CN"/>
              </w:rPr>
            </w:pPr>
            <w:r>
              <w:rPr>
                <w:rFonts w:hint="eastAsia"/>
                <w:color w:val="auto"/>
                <w:sz w:val="24"/>
                <w:szCs w:val="24"/>
              </w:rPr>
              <w:t>《铸造工业大气污染物排放标准》（GB39726-2020）表1标准</w:t>
            </w:r>
            <w:r>
              <w:rPr>
                <w:rFonts w:hint="eastAsia"/>
                <w:color w:val="auto"/>
                <w:sz w:val="24"/>
                <w:szCs w:val="24"/>
                <w:shd w:val="clear" w:color="auto" w:fill="FFFFFF"/>
              </w:rPr>
              <w:t>）</w:t>
            </w:r>
          </w:p>
        </w:tc>
      </w:tr>
      <w:tr w14:paraId="5E5C6522">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6A3E8BAF">
            <w:pPr>
              <w:adjustRightInd w:val="0"/>
              <w:snapToGrid w:val="0"/>
              <w:jc w:val="center"/>
              <w:rPr>
                <w:color w:val="auto"/>
                <w:sz w:val="24"/>
                <w:szCs w:val="24"/>
              </w:rPr>
            </w:pPr>
          </w:p>
        </w:tc>
        <w:tc>
          <w:tcPr>
            <w:tcW w:w="2130" w:type="dxa"/>
            <w:tcBorders>
              <w:tl2br w:val="nil"/>
              <w:tr2bl w:val="nil"/>
            </w:tcBorders>
            <w:shd w:val="clear" w:color="auto" w:fill="auto"/>
            <w:vAlign w:val="center"/>
          </w:tcPr>
          <w:p w14:paraId="1E2AEF42">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DA00</w:t>
            </w:r>
            <w:r>
              <w:rPr>
                <w:rFonts w:hint="eastAsia"/>
                <w:color w:val="auto"/>
                <w:sz w:val="24"/>
                <w:szCs w:val="24"/>
                <w:lang w:val="en-US" w:eastAsia="zh-CN"/>
              </w:rPr>
              <w:t>6</w:t>
            </w:r>
            <w:r>
              <w:rPr>
                <w:rFonts w:hint="eastAsia"/>
                <w:color w:val="auto"/>
                <w:sz w:val="24"/>
                <w:szCs w:val="24"/>
              </w:rPr>
              <w:t>排气筒（熔铸件抛丸清理、二次抛丸）</w:t>
            </w:r>
          </w:p>
        </w:tc>
        <w:tc>
          <w:tcPr>
            <w:tcW w:w="1365" w:type="dxa"/>
            <w:tcBorders>
              <w:tl2br w:val="nil"/>
              <w:tr2bl w:val="nil"/>
            </w:tcBorders>
            <w:shd w:val="clear" w:color="auto" w:fill="auto"/>
            <w:vAlign w:val="center"/>
          </w:tcPr>
          <w:p w14:paraId="52427780">
            <w:pPr>
              <w:adjustRightInd w:val="0"/>
              <w:snapToGrid w:val="0"/>
              <w:jc w:val="center"/>
              <w:rPr>
                <w:rFonts w:hint="eastAsia"/>
                <w:color w:val="auto"/>
                <w:sz w:val="24"/>
                <w:szCs w:val="24"/>
              </w:rPr>
            </w:pPr>
            <w:r>
              <w:rPr>
                <w:rFonts w:hint="eastAsia"/>
                <w:color w:val="auto"/>
                <w:sz w:val="24"/>
                <w:szCs w:val="24"/>
                <w:lang w:val="en-US" w:eastAsia="zh-CN"/>
              </w:rPr>
              <w:t>颗粒物</w:t>
            </w:r>
          </w:p>
        </w:tc>
        <w:tc>
          <w:tcPr>
            <w:tcW w:w="1905" w:type="dxa"/>
            <w:tcBorders>
              <w:tl2br w:val="nil"/>
              <w:tr2bl w:val="nil"/>
            </w:tcBorders>
            <w:shd w:val="clear" w:color="auto" w:fill="auto"/>
            <w:vAlign w:val="center"/>
          </w:tcPr>
          <w:p w14:paraId="406B56AF">
            <w:pPr>
              <w:adjustRightInd w:val="0"/>
              <w:snapToGrid w:val="0"/>
              <w:jc w:val="center"/>
              <w:rPr>
                <w:rFonts w:hint="eastAsia"/>
                <w:color w:val="auto"/>
                <w:sz w:val="24"/>
                <w:szCs w:val="24"/>
              </w:rPr>
            </w:pPr>
            <w:r>
              <w:rPr>
                <w:rFonts w:hint="eastAsia"/>
                <w:color w:val="auto"/>
                <w:sz w:val="24"/>
                <w:szCs w:val="24"/>
                <w:lang w:val="en-US" w:eastAsia="zh-CN"/>
              </w:rPr>
              <w:t>设备自带袋式除尘器</w:t>
            </w:r>
            <w:r>
              <w:rPr>
                <w:rFonts w:hint="eastAsia"/>
                <w:color w:val="auto"/>
                <w:sz w:val="24"/>
                <w:szCs w:val="24"/>
              </w:rPr>
              <w:t>处理，</w:t>
            </w:r>
            <w:r>
              <w:rPr>
                <w:rFonts w:hint="eastAsia"/>
                <w:color w:val="auto"/>
                <w:sz w:val="24"/>
                <w:szCs w:val="24"/>
                <w:lang w:val="en-US" w:eastAsia="zh-CN"/>
              </w:rPr>
              <w:t>再汇集至</w:t>
            </w:r>
            <w:r>
              <w:rPr>
                <w:rFonts w:hint="eastAsia"/>
                <w:color w:val="auto"/>
                <w:sz w:val="24"/>
                <w:szCs w:val="24"/>
              </w:rPr>
              <w:t>1根15</w:t>
            </w:r>
            <w:r>
              <w:rPr>
                <w:color w:val="auto"/>
                <w:sz w:val="24"/>
                <w:szCs w:val="24"/>
              </w:rPr>
              <w:t>m</w:t>
            </w:r>
            <w:r>
              <w:rPr>
                <w:rFonts w:hint="eastAsia"/>
                <w:color w:val="auto"/>
                <w:sz w:val="24"/>
                <w:szCs w:val="24"/>
              </w:rPr>
              <w:t>高排气筒排放</w:t>
            </w:r>
          </w:p>
        </w:tc>
        <w:tc>
          <w:tcPr>
            <w:tcW w:w="2460" w:type="dxa"/>
            <w:vMerge w:val="continue"/>
            <w:tcBorders>
              <w:tl2br w:val="nil"/>
              <w:tr2bl w:val="nil"/>
            </w:tcBorders>
            <w:shd w:val="clear" w:color="auto" w:fill="auto"/>
            <w:vAlign w:val="center"/>
          </w:tcPr>
          <w:p w14:paraId="45130FF4">
            <w:pPr>
              <w:adjustRightInd w:val="0"/>
              <w:snapToGrid w:val="0"/>
              <w:jc w:val="center"/>
              <w:rPr>
                <w:rFonts w:hint="eastAsia"/>
                <w:color w:val="auto"/>
                <w:kern w:val="0"/>
                <w:sz w:val="24"/>
                <w:szCs w:val="24"/>
                <w:lang w:val="en-US" w:eastAsia="zh-CN"/>
              </w:rPr>
            </w:pPr>
          </w:p>
        </w:tc>
      </w:tr>
      <w:tr w14:paraId="58082ECF">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1B00E5EC">
            <w:pPr>
              <w:adjustRightInd w:val="0"/>
              <w:snapToGrid w:val="0"/>
              <w:jc w:val="center"/>
              <w:rPr>
                <w:color w:val="auto"/>
                <w:sz w:val="24"/>
                <w:szCs w:val="24"/>
              </w:rPr>
            </w:pPr>
          </w:p>
        </w:tc>
        <w:tc>
          <w:tcPr>
            <w:tcW w:w="2130" w:type="dxa"/>
            <w:tcBorders>
              <w:tl2br w:val="nil"/>
              <w:tr2bl w:val="nil"/>
            </w:tcBorders>
            <w:shd w:val="clear" w:color="auto" w:fill="auto"/>
            <w:vAlign w:val="center"/>
          </w:tcPr>
          <w:p w14:paraId="549C35CB">
            <w:pPr>
              <w:adjustRightInd w:val="0"/>
              <w:snapToGrid w:val="0"/>
              <w:jc w:val="center"/>
              <w:rPr>
                <w:rFonts w:hint="eastAsia"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07</w:t>
            </w:r>
            <w:r>
              <w:rPr>
                <w:rFonts w:hint="eastAsia"/>
                <w:color w:val="auto"/>
                <w:sz w:val="24"/>
                <w:szCs w:val="24"/>
              </w:rPr>
              <w:t>排气筒</w:t>
            </w:r>
            <w:r>
              <w:rPr>
                <w:rFonts w:hint="eastAsia"/>
                <w:color w:val="auto"/>
                <w:sz w:val="24"/>
                <w:szCs w:val="24"/>
                <w:lang w:val="en-US" w:eastAsia="zh-CN"/>
              </w:rPr>
              <w:t>(</w:t>
            </w:r>
            <w:r>
              <w:rPr>
                <w:rFonts w:hint="eastAsia"/>
                <w:color w:val="auto"/>
                <w:sz w:val="24"/>
                <w:szCs w:val="24"/>
              </w:rPr>
              <w:t>熔模铸件退火</w:t>
            </w:r>
            <w:r>
              <w:rPr>
                <w:rFonts w:hint="eastAsia"/>
                <w:color w:val="auto"/>
                <w:sz w:val="24"/>
                <w:szCs w:val="24"/>
                <w:lang w:val="en-US" w:eastAsia="zh-CN"/>
              </w:rPr>
              <w:t>废气)</w:t>
            </w:r>
          </w:p>
        </w:tc>
        <w:tc>
          <w:tcPr>
            <w:tcW w:w="1365" w:type="dxa"/>
            <w:tcBorders>
              <w:tl2br w:val="nil"/>
              <w:tr2bl w:val="nil"/>
            </w:tcBorders>
            <w:shd w:val="clear" w:color="auto" w:fill="auto"/>
            <w:vAlign w:val="center"/>
          </w:tcPr>
          <w:p w14:paraId="43C2E7CD">
            <w:pPr>
              <w:adjustRightInd w:val="0"/>
              <w:snapToGrid w:val="0"/>
              <w:jc w:val="center"/>
              <w:rPr>
                <w:rFonts w:hint="eastAsia"/>
                <w:color w:val="auto"/>
                <w:sz w:val="24"/>
                <w:szCs w:val="24"/>
              </w:rPr>
            </w:pPr>
            <w:r>
              <w:rPr>
                <w:rFonts w:hint="eastAsia"/>
                <w:color w:val="auto"/>
                <w:sz w:val="24"/>
                <w:szCs w:val="24"/>
                <w:lang w:val="en-US" w:eastAsia="zh-CN"/>
              </w:rPr>
              <w:t>颗粒物、二氧化硫、氮氧化物</w:t>
            </w:r>
          </w:p>
        </w:tc>
        <w:tc>
          <w:tcPr>
            <w:tcW w:w="1905" w:type="dxa"/>
            <w:tcBorders>
              <w:tl2br w:val="nil"/>
              <w:tr2bl w:val="nil"/>
            </w:tcBorders>
            <w:shd w:val="clear" w:color="auto" w:fill="auto"/>
            <w:vAlign w:val="center"/>
          </w:tcPr>
          <w:p w14:paraId="3D68295D">
            <w:pPr>
              <w:adjustRightInd w:val="0"/>
              <w:snapToGrid w:val="0"/>
              <w:jc w:val="center"/>
              <w:rPr>
                <w:rFonts w:hint="eastAsia"/>
                <w:color w:val="auto"/>
                <w:sz w:val="24"/>
                <w:szCs w:val="24"/>
              </w:rPr>
            </w:pPr>
            <w:r>
              <w:rPr>
                <w:rFonts w:hint="eastAsia"/>
                <w:color w:val="auto"/>
                <w:sz w:val="24"/>
                <w:szCs w:val="24"/>
              </w:rPr>
              <w:t>通过1根15</w:t>
            </w:r>
            <w:r>
              <w:rPr>
                <w:color w:val="auto"/>
                <w:sz w:val="24"/>
                <w:szCs w:val="24"/>
              </w:rPr>
              <w:t>m</w:t>
            </w:r>
            <w:r>
              <w:rPr>
                <w:rFonts w:hint="eastAsia"/>
                <w:color w:val="auto"/>
                <w:sz w:val="24"/>
                <w:szCs w:val="24"/>
              </w:rPr>
              <w:t>高排气筒排放</w:t>
            </w:r>
          </w:p>
        </w:tc>
        <w:tc>
          <w:tcPr>
            <w:tcW w:w="2460" w:type="dxa"/>
            <w:vMerge w:val="continue"/>
            <w:tcBorders>
              <w:tl2br w:val="nil"/>
              <w:tr2bl w:val="nil"/>
            </w:tcBorders>
            <w:shd w:val="clear" w:color="auto" w:fill="auto"/>
            <w:vAlign w:val="center"/>
          </w:tcPr>
          <w:p w14:paraId="5095F7C4">
            <w:pPr>
              <w:adjustRightInd w:val="0"/>
              <w:snapToGrid w:val="0"/>
              <w:jc w:val="center"/>
              <w:rPr>
                <w:rFonts w:hint="eastAsia"/>
                <w:color w:val="auto"/>
                <w:kern w:val="0"/>
                <w:sz w:val="24"/>
                <w:szCs w:val="24"/>
                <w:lang w:val="en-US" w:eastAsia="zh-CN"/>
              </w:rPr>
            </w:pPr>
          </w:p>
        </w:tc>
      </w:tr>
      <w:tr w14:paraId="0982B673">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20C5DEEC">
            <w:pPr>
              <w:adjustRightInd w:val="0"/>
              <w:snapToGrid w:val="0"/>
              <w:jc w:val="center"/>
              <w:rPr>
                <w:color w:val="auto"/>
                <w:sz w:val="24"/>
                <w:szCs w:val="24"/>
              </w:rPr>
            </w:pPr>
          </w:p>
        </w:tc>
        <w:tc>
          <w:tcPr>
            <w:tcW w:w="2130" w:type="dxa"/>
            <w:tcBorders>
              <w:tl2br w:val="nil"/>
              <w:tr2bl w:val="nil"/>
            </w:tcBorders>
            <w:shd w:val="clear" w:color="auto" w:fill="auto"/>
            <w:vAlign w:val="center"/>
          </w:tcPr>
          <w:p w14:paraId="4124CA11">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08</w:t>
            </w:r>
            <w:r>
              <w:rPr>
                <w:rFonts w:hint="eastAsia"/>
                <w:color w:val="auto"/>
                <w:sz w:val="24"/>
                <w:szCs w:val="24"/>
              </w:rPr>
              <w:t>排气筒（</w:t>
            </w:r>
            <w:r>
              <w:rPr>
                <w:rFonts w:hint="eastAsia" w:ascii="宋体" w:hAnsi="宋体" w:cs="宋体"/>
                <w:color w:val="auto"/>
                <w:sz w:val="24"/>
                <w:szCs w:val="24"/>
                <w:lang w:val="en-US" w:eastAsia="zh-CN"/>
              </w:rPr>
              <w:t>喷粉废气</w:t>
            </w:r>
            <w:r>
              <w:rPr>
                <w:rFonts w:hint="eastAsia"/>
                <w:color w:val="auto"/>
                <w:sz w:val="24"/>
                <w:szCs w:val="24"/>
              </w:rPr>
              <w:t>）</w:t>
            </w:r>
          </w:p>
        </w:tc>
        <w:tc>
          <w:tcPr>
            <w:tcW w:w="1365" w:type="dxa"/>
            <w:tcBorders>
              <w:tl2br w:val="nil"/>
              <w:tr2bl w:val="nil"/>
            </w:tcBorders>
            <w:shd w:val="clear" w:color="auto" w:fill="auto"/>
            <w:vAlign w:val="center"/>
          </w:tcPr>
          <w:p w14:paraId="24B31A38">
            <w:pPr>
              <w:adjustRightInd w:val="0"/>
              <w:snapToGrid w:val="0"/>
              <w:jc w:val="center"/>
              <w:rPr>
                <w:rFonts w:hint="eastAsia"/>
                <w:color w:val="auto"/>
                <w:sz w:val="24"/>
                <w:szCs w:val="24"/>
              </w:rPr>
            </w:pPr>
            <w:r>
              <w:rPr>
                <w:rFonts w:hint="eastAsia"/>
                <w:color w:val="auto"/>
                <w:sz w:val="24"/>
                <w:szCs w:val="24"/>
                <w:lang w:val="en-US" w:eastAsia="zh-CN"/>
              </w:rPr>
              <w:t>颗粒物</w:t>
            </w:r>
          </w:p>
        </w:tc>
        <w:tc>
          <w:tcPr>
            <w:tcW w:w="1905" w:type="dxa"/>
            <w:tcBorders>
              <w:tl2br w:val="nil"/>
              <w:tr2bl w:val="nil"/>
            </w:tcBorders>
            <w:shd w:val="clear" w:color="auto" w:fill="auto"/>
            <w:vAlign w:val="center"/>
          </w:tcPr>
          <w:p w14:paraId="17BEF54C">
            <w:pPr>
              <w:adjustRightInd w:val="0"/>
              <w:snapToGrid w:val="0"/>
              <w:jc w:val="center"/>
              <w:rPr>
                <w:rFonts w:hint="eastAsia"/>
                <w:color w:val="auto"/>
                <w:sz w:val="24"/>
                <w:szCs w:val="24"/>
              </w:rPr>
            </w:pPr>
            <w:r>
              <w:rPr>
                <w:rFonts w:hint="eastAsia"/>
                <w:color w:val="auto"/>
                <w:sz w:val="24"/>
                <w:szCs w:val="24"/>
                <w:lang w:val="en-US" w:eastAsia="zh-CN"/>
              </w:rPr>
              <w:t>袋式除尘器</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vMerge w:val="continue"/>
            <w:tcBorders>
              <w:tl2br w:val="nil"/>
              <w:tr2bl w:val="nil"/>
            </w:tcBorders>
            <w:shd w:val="clear" w:color="auto" w:fill="auto"/>
            <w:vAlign w:val="center"/>
          </w:tcPr>
          <w:p w14:paraId="7A701AC7">
            <w:pPr>
              <w:adjustRightInd w:val="0"/>
              <w:snapToGrid w:val="0"/>
              <w:jc w:val="center"/>
              <w:rPr>
                <w:rFonts w:hint="eastAsia"/>
                <w:color w:val="auto"/>
                <w:kern w:val="0"/>
                <w:sz w:val="24"/>
                <w:szCs w:val="24"/>
                <w:lang w:val="en-US" w:eastAsia="zh-CN"/>
              </w:rPr>
            </w:pPr>
          </w:p>
        </w:tc>
      </w:tr>
      <w:tr w14:paraId="36FAE963">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39C39359">
            <w:pPr>
              <w:adjustRightInd w:val="0"/>
              <w:snapToGrid w:val="0"/>
              <w:jc w:val="center"/>
              <w:rPr>
                <w:color w:val="auto"/>
                <w:sz w:val="24"/>
                <w:szCs w:val="24"/>
              </w:rPr>
            </w:pPr>
          </w:p>
        </w:tc>
        <w:tc>
          <w:tcPr>
            <w:tcW w:w="2130" w:type="dxa"/>
            <w:tcBorders>
              <w:tl2br w:val="nil"/>
              <w:tr2bl w:val="nil"/>
            </w:tcBorders>
            <w:shd w:val="clear" w:color="auto" w:fill="auto"/>
            <w:vAlign w:val="center"/>
          </w:tcPr>
          <w:p w14:paraId="5EE83E33">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09</w:t>
            </w:r>
            <w:r>
              <w:rPr>
                <w:rFonts w:hint="eastAsia"/>
                <w:color w:val="auto"/>
                <w:sz w:val="24"/>
                <w:szCs w:val="24"/>
              </w:rPr>
              <w:t>排气筒（</w:t>
            </w:r>
            <w:r>
              <w:rPr>
                <w:rFonts w:hint="eastAsia"/>
                <w:color w:val="auto"/>
                <w:sz w:val="24"/>
                <w:szCs w:val="24"/>
                <w:lang w:val="en-US" w:eastAsia="zh-CN"/>
              </w:rPr>
              <w:t>固化废气</w:t>
            </w:r>
            <w:r>
              <w:rPr>
                <w:rFonts w:hint="eastAsia"/>
                <w:color w:val="auto"/>
                <w:sz w:val="24"/>
                <w:szCs w:val="24"/>
              </w:rPr>
              <w:t>）</w:t>
            </w:r>
          </w:p>
        </w:tc>
        <w:tc>
          <w:tcPr>
            <w:tcW w:w="1365" w:type="dxa"/>
            <w:tcBorders>
              <w:tl2br w:val="nil"/>
              <w:tr2bl w:val="nil"/>
            </w:tcBorders>
            <w:shd w:val="clear" w:color="auto" w:fill="auto"/>
            <w:vAlign w:val="center"/>
          </w:tcPr>
          <w:p w14:paraId="565868B3">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非甲烷总烃、颗粒物、二氧化硫、氮氧化物</w:t>
            </w:r>
          </w:p>
        </w:tc>
        <w:tc>
          <w:tcPr>
            <w:tcW w:w="1905" w:type="dxa"/>
            <w:tcBorders>
              <w:tl2br w:val="nil"/>
              <w:tr2bl w:val="nil"/>
            </w:tcBorders>
            <w:shd w:val="clear" w:color="auto" w:fill="auto"/>
            <w:vAlign w:val="center"/>
          </w:tcPr>
          <w:p w14:paraId="764BFB8C">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水喷淋+干式过滤器+活性炭吸附</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tcBorders>
              <w:tl2br w:val="nil"/>
              <w:tr2bl w:val="nil"/>
            </w:tcBorders>
            <w:shd w:val="clear" w:color="auto" w:fill="auto"/>
            <w:vAlign w:val="center"/>
          </w:tcPr>
          <w:p w14:paraId="3A1C071D">
            <w:pPr>
              <w:adjustRightInd w:val="0"/>
              <w:snapToGrid w:val="0"/>
              <w:jc w:val="center"/>
              <w:rPr>
                <w:rFonts w:hint="eastAsia"/>
                <w:color w:val="auto"/>
                <w:kern w:val="0"/>
                <w:sz w:val="24"/>
                <w:szCs w:val="24"/>
                <w:lang w:val="en-US" w:eastAsia="zh-CN"/>
              </w:rPr>
            </w:pPr>
            <w:r>
              <w:rPr>
                <w:rFonts w:hint="eastAsia"/>
                <w:color w:val="auto"/>
                <w:kern w:val="0"/>
                <w:sz w:val="24"/>
                <w:szCs w:val="24"/>
                <w:lang w:val="en-US" w:eastAsia="zh-CN"/>
              </w:rPr>
              <w:t>颗粒物、二氧化硫、氮氧化物执行《福建省工业炉窑大气污染综合治理方案》中鼓励采用的排放限值；非甲烷总烃从严执行《铸造工业大气污染物排放标准》（GB39726-2020）表1表面和《工业涂装工序挥发性有机物排放标准》（DB35/1783-2018）表1中“涉涂装工序的其他行业”标准。</w:t>
            </w:r>
          </w:p>
        </w:tc>
      </w:tr>
      <w:tr w14:paraId="5CF575B4">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76D1BCA8">
            <w:pPr>
              <w:adjustRightInd w:val="0"/>
              <w:snapToGrid w:val="0"/>
              <w:jc w:val="center"/>
              <w:rPr>
                <w:color w:val="auto"/>
                <w:sz w:val="24"/>
                <w:szCs w:val="24"/>
              </w:rPr>
            </w:pPr>
          </w:p>
        </w:tc>
        <w:tc>
          <w:tcPr>
            <w:tcW w:w="2130" w:type="dxa"/>
            <w:tcBorders>
              <w:tl2br w:val="nil"/>
              <w:tr2bl w:val="nil"/>
            </w:tcBorders>
            <w:shd w:val="clear" w:color="auto" w:fill="auto"/>
            <w:vAlign w:val="center"/>
          </w:tcPr>
          <w:p w14:paraId="45EC723F">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10</w:t>
            </w:r>
            <w:r>
              <w:rPr>
                <w:rFonts w:hint="eastAsia"/>
                <w:color w:val="auto"/>
                <w:sz w:val="24"/>
                <w:szCs w:val="24"/>
              </w:rPr>
              <w:t>排气筒</w:t>
            </w:r>
            <w:r>
              <w:rPr>
                <w:rFonts w:hint="eastAsia"/>
                <w:color w:val="auto"/>
                <w:sz w:val="24"/>
                <w:szCs w:val="24"/>
                <w:lang w:eastAsia="zh-CN"/>
              </w:rPr>
              <w:t>（</w:t>
            </w:r>
            <w:r>
              <w:rPr>
                <w:rFonts w:hint="eastAsia"/>
                <w:color w:val="auto"/>
                <w:sz w:val="24"/>
                <w:szCs w:val="24"/>
              </w:rPr>
              <w:t>投料、拌料</w:t>
            </w:r>
            <w:r>
              <w:rPr>
                <w:rFonts w:hint="eastAsia"/>
                <w:color w:val="auto"/>
                <w:sz w:val="24"/>
                <w:szCs w:val="24"/>
                <w:lang w:val="en-US" w:eastAsia="zh-CN"/>
              </w:rPr>
              <w:t>废气</w:t>
            </w:r>
            <w:r>
              <w:rPr>
                <w:rFonts w:hint="eastAsia"/>
                <w:color w:val="auto"/>
                <w:sz w:val="24"/>
                <w:szCs w:val="24"/>
              </w:rPr>
              <w:t>）</w:t>
            </w:r>
          </w:p>
        </w:tc>
        <w:tc>
          <w:tcPr>
            <w:tcW w:w="1365" w:type="dxa"/>
            <w:tcBorders>
              <w:tl2br w:val="nil"/>
              <w:tr2bl w:val="nil"/>
            </w:tcBorders>
            <w:shd w:val="clear" w:color="auto" w:fill="auto"/>
            <w:vAlign w:val="center"/>
          </w:tcPr>
          <w:p w14:paraId="2A0DC520">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颗粒物</w:t>
            </w:r>
          </w:p>
        </w:tc>
        <w:tc>
          <w:tcPr>
            <w:tcW w:w="1905" w:type="dxa"/>
            <w:tcBorders>
              <w:tl2br w:val="nil"/>
              <w:tr2bl w:val="nil"/>
            </w:tcBorders>
            <w:shd w:val="clear" w:color="auto" w:fill="auto"/>
            <w:vAlign w:val="center"/>
          </w:tcPr>
          <w:p w14:paraId="347CBB9E">
            <w:pPr>
              <w:adjustRightInd w:val="0"/>
              <w:snapToGrid w:val="0"/>
              <w:jc w:val="center"/>
              <w:rPr>
                <w:rFonts w:hint="eastAsia"/>
                <w:color w:val="auto"/>
                <w:sz w:val="24"/>
                <w:szCs w:val="24"/>
              </w:rPr>
            </w:pPr>
            <w:r>
              <w:rPr>
                <w:rFonts w:hint="eastAsia"/>
                <w:color w:val="auto"/>
                <w:sz w:val="24"/>
                <w:szCs w:val="24"/>
                <w:lang w:val="en-US" w:eastAsia="zh-CN"/>
              </w:rPr>
              <w:t>袋式除尘器</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vMerge w:val="restart"/>
            <w:tcBorders>
              <w:tl2br w:val="nil"/>
              <w:tr2bl w:val="nil"/>
            </w:tcBorders>
            <w:shd w:val="clear" w:color="auto" w:fill="auto"/>
            <w:vAlign w:val="center"/>
          </w:tcPr>
          <w:p w14:paraId="746BE052">
            <w:pPr>
              <w:adjustRightInd w:val="0"/>
              <w:snapToGrid w:val="0"/>
              <w:jc w:val="center"/>
              <w:rPr>
                <w:rFonts w:hint="default"/>
                <w:color w:val="auto"/>
                <w:kern w:val="0"/>
                <w:sz w:val="24"/>
                <w:szCs w:val="24"/>
                <w:lang w:val="en-US" w:eastAsia="zh-CN"/>
              </w:rPr>
            </w:pPr>
            <w:r>
              <w:rPr>
                <w:rFonts w:hint="eastAsia"/>
                <w:color w:val="auto"/>
                <w:kern w:val="0"/>
                <w:sz w:val="24"/>
                <w:szCs w:val="24"/>
                <w:lang w:val="en-US" w:eastAsia="zh-CN"/>
              </w:rPr>
              <w:t>从严执行《合成树脂工业污染物排放标准》（GB31572-2015）含2024年修改单和《</w:t>
            </w:r>
            <w:r>
              <w:rPr>
                <w:rFonts w:hint="eastAsia"/>
                <w:color w:val="auto"/>
                <w:sz w:val="24"/>
                <w:szCs w:val="24"/>
                <w:highlight w:val="none"/>
                <w:lang w:val="en-US" w:eastAsia="zh-CN"/>
              </w:rPr>
              <w:t>大气污染物综合排放标准》（GB16297-1996）表2二级标准，臭气浓度执行《恶臭污染物排放标准》（GB14554-93）表2排放标准值</w:t>
            </w:r>
          </w:p>
        </w:tc>
      </w:tr>
      <w:tr w14:paraId="154BAC07">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00314477">
            <w:pPr>
              <w:adjustRightInd w:val="0"/>
              <w:snapToGrid w:val="0"/>
              <w:jc w:val="center"/>
              <w:rPr>
                <w:color w:val="auto"/>
                <w:sz w:val="24"/>
                <w:szCs w:val="24"/>
              </w:rPr>
            </w:pPr>
          </w:p>
        </w:tc>
        <w:tc>
          <w:tcPr>
            <w:tcW w:w="2130" w:type="dxa"/>
            <w:tcBorders>
              <w:tl2br w:val="nil"/>
              <w:tr2bl w:val="nil"/>
            </w:tcBorders>
            <w:shd w:val="clear" w:color="auto" w:fill="auto"/>
            <w:vAlign w:val="center"/>
          </w:tcPr>
          <w:p w14:paraId="35046A2C">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11</w:t>
            </w:r>
            <w:r>
              <w:rPr>
                <w:rFonts w:hint="eastAsia"/>
                <w:color w:val="auto"/>
                <w:sz w:val="24"/>
                <w:szCs w:val="24"/>
              </w:rPr>
              <w:t>排气筒（造粒、挤出、挤管</w:t>
            </w:r>
            <w:r>
              <w:rPr>
                <w:rFonts w:hint="eastAsia"/>
                <w:color w:val="auto"/>
                <w:sz w:val="24"/>
                <w:szCs w:val="24"/>
                <w:lang w:val="en-US" w:eastAsia="zh-CN"/>
              </w:rPr>
              <w:t>废气</w:t>
            </w:r>
            <w:r>
              <w:rPr>
                <w:rFonts w:hint="eastAsia"/>
                <w:color w:val="auto"/>
                <w:sz w:val="24"/>
                <w:szCs w:val="24"/>
              </w:rPr>
              <w:t>）</w:t>
            </w:r>
          </w:p>
        </w:tc>
        <w:tc>
          <w:tcPr>
            <w:tcW w:w="1365" w:type="dxa"/>
            <w:tcBorders>
              <w:tl2br w:val="nil"/>
              <w:tr2bl w:val="nil"/>
            </w:tcBorders>
            <w:shd w:val="clear" w:color="auto" w:fill="auto"/>
            <w:vAlign w:val="center"/>
          </w:tcPr>
          <w:p w14:paraId="17A07B3C">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非甲烷总烃、臭气浓度</w:t>
            </w:r>
          </w:p>
        </w:tc>
        <w:tc>
          <w:tcPr>
            <w:tcW w:w="1905" w:type="dxa"/>
            <w:tcBorders>
              <w:tl2br w:val="nil"/>
              <w:tr2bl w:val="nil"/>
            </w:tcBorders>
            <w:shd w:val="clear" w:color="auto" w:fill="auto"/>
            <w:vAlign w:val="center"/>
          </w:tcPr>
          <w:p w14:paraId="7C44802C">
            <w:pPr>
              <w:adjustRightInd w:val="0"/>
              <w:snapToGrid w:val="0"/>
              <w:jc w:val="center"/>
              <w:rPr>
                <w:rFonts w:hint="eastAsia"/>
                <w:color w:val="auto"/>
                <w:sz w:val="24"/>
                <w:szCs w:val="24"/>
              </w:rPr>
            </w:pPr>
            <w:r>
              <w:rPr>
                <w:rFonts w:hint="eastAsia"/>
                <w:color w:val="auto"/>
                <w:sz w:val="24"/>
                <w:szCs w:val="24"/>
                <w:lang w:val="en-US" w:eastAsia="zh-CN"/>
              </w:rPr>
              <w:t>活性炭吸附</w:t>
            </w:r>
            <w:r>
              <w:rPr>
                <w:rFonts w:hint="eastAsia"/>
                <w:color w:val="auto"/>
                <w:sz w:val="24"/>
                <w:szCs w:val="24"/>
              </w:rPr>
              <w:t>处理，通过1根15</w:t>
            </w:r>
            <w:r>
              <w:rPr>
                <w:color w:val="auto"/>
                <w:sz w:val="24"/>
                <w:szCs w:val="24"/>
              </w:rPr>
              <w:t>m</w:t>
            </w:r>
            <w:r>
              <w:rPr>
                <w:rFonts w:hint="eastAsia"/>
                <w:color w:val="auto"/>
                <w:sz w:val="24"/>
                <w:szCs w:val="24"/>
              </w:rPr>
              <w:t>高排气筒排放</w:t>
            </w:r>
          </w:p>
        </w:tc>
        <w:tc>
          <w:tcPr>
            <w:tcW w:w="2460" w:type="dxa"/>
            <w:vMerge w:val="continue"/>
            <w:tcBorders>
              <w:tl2br w:val="nil"/>
              <w:tr2bl w:val="nil"/>
            </w:tcBorders>
            <w:shd w:val="clear" w:color="auto" w:fill="auto"/>
            <w:vAlign w:val="center"/>
          </w:tcPr>
          <w:p w14:paraId="330ED83A">
            <w:pPr>
              <w:adjustRightInd w:val="0"/>
              <w:snapToGrid w:val="0"/>
              <w:jc w:val="center"/>
              <w:rPr>
                <w:rFonts w:hint="eastAsia"/>
                <w:color w:val="auto"/>
                <w:kern w:val="0"/>
                <w:sz w:val="24"/>
                <w:szCs w:val="24"/>
                <w:lang w:val="en-US" w:eastAsia="zh-CN"/>
              </w:rPr>
            </w:pPr>
          </w:p>
        </w:tc>
      </w:tr>
      <w:tr w14:paraId="3D96E0DA">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1DD0B1BF">
            <w:pPr>
              <w:adjustRightInd w:val="0"/>
              <w:snapToGrid w:val="0"/>
              <w:jc w:val="center"/>
              <w:rPr>
                <w:color w:val="auto"/>
                <w:sz w:val="24"/>
                <w:szCs w:val="24"/>
              </w:rPr>
            </w:pPr>
          </w:p>
        </w:tc>
        <w:tc>
          <w:tcPr>
            <w:tcW w:w="2130" w:type="dxa"/>
            <w:tcBorders>
              <w:tl2br w:val="nil"/>
              <w:tr2bl w:val="nil"/>
            </w:tcBorders>
            <w:shd w:val="clear" w:color="auto" w:fill="auto"/>
            <w:vAlign w:val="center"/>
          </w:tcPr>
          <w:p w14:paraId="5E13765B">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12</w:t>
            </w:r>
            <w:r>
              <w:rPr>
                <w:rFonts w:hint="eastAsia"/>
                <w:color w:val="auto"/>
                <w:sz w:val="24"/>
                <w:szCs w:val="24"/>
              </w:rPr>
              <w:t>排气筒</w:t>
            </w:r>
            <w:r>
              <w:rPr>
                <w:rFonts w:hint="eastAsia"/>
                <w:color w:val="auto"/>
                <w:sz w:val="24"/>
                <w:szCs w:val="24"/>
                <w:lang w:eastAsia="zh-CN"/>
              </w:rPr>
              <w:t>（锅炉废气</w:t>
            </w:r>
            <w:r>
              <w:rPr>
                <w:rFonts w:hint="eastAsia"/>
                <w:color w:val="auto"/>
                <w:sz w:val="24"/>
                <w:szCs w:val="24"/>
              </w:rPr>
              <w:t>）</w:t>
            </w:r>
          </w:p>
        </w:tc>
        <w:tc>
          <w:tcPr>
            <w:tcW w:w="1365" w:type="dxa"/>
            <w:tcBorders>
              <w:tl2br w:val="nil"/>
              <w:tr2bl w:val="nil"/>
            </w:tcBorders>
            <w:shd w:val="clear" w:color="auto" w:fill="auto"/>
            <w:vAlign w:val="center"/>
          </w:tcPr>
          <w:p w14:paraId="7FE6DFF0">
            <w:pPr>
              <w:adjustRightInd w:val="0"/>
              <w:snapToGrid w:val="0"/>
              <w:jc w:val="center"/>
              <w:rPr>
                <w:rFonts w:hint="eastAsia"/>
                <w:color w:val="auto"/>
                <w:sz w:val="24"/>
                <w:szCs w:val="24"/>
              </w:rPr>
            </w:pPr>
            <w:r>
              <w:rPr>
                <w:rFonts w:hint="eastAsia"/>
                <w:color w:val="auto"/>
                <w:sz w:val="24"/>
                <w:szCs w:val="24"/>
                <w:lang w:val="en-US" w:eastAsia="zh-CN"/>
              </w:rPr>
              <w:t>颗粒物、二氧化硫、氮氧化物、烟气黑度</w:t>
            </w:r>
          </w:p>
        </w:tc>
        <w:tc>
          <w:tcPr>
            <w:tcW w:w="1905" w:type="dxa"/>
            <w:tcBorders>
              <w:tl2br w:val="nil"/>
              <w:tr2bl w:val="nil"/>
            </w:tcBorders>
            <w:shd w:val="clear" w:color="auto" w:fill="auto"/>
            <w:vAlign w:val="center"/>
          </w:tcPr>
          <w:p w14:paraId="517DB40B">
            <w:pPr>
              <w:adjustRightInd w:val="0"/>
              <w:snapToGrid w:val="0"/>
              <w:jc w:val="center"/>
              <w:rPr>
                <w:rFonts w:hint="eastAsia"/>
                <w:color w:val="auto"/>
                <w:sz w:val="24"/>
                <w:szCs w:val="24"/>
              </w:rPr>
            </w:pPr>
            <w:r>
              <w:rPr>
                <w:rFonts w:hint="eastAsia"/>
                <w:color w:val="auto"/>
                <w:sz w:val="24"/>
                <w:szCs w:val="24"/>
              </w:rPr>
              <w:t>通过1根15</w:t>
            </w:r>
            <w:r>
              <w:rPr>
                <w:color w:val="auto"/>
                <w:sz w:val="24"/>
                <w:szCs w:val="24"/>
              </w:rPr>
              <w:t>m</w:t>
            </w:r>
            <w:r>
              <w:rPr>
                <w:rFonts w:hint="eastAsia"/>
                <w:color w:val="auto"/>
                <w:sz w:val="24"/>
                <w:szCs w:val="24"/>
              </w:rPr>
              <w:t>高排气筒排放</w:t>
            </w:r>
          </w:p>
        </w:tc>
        <w:tc>
          <w:tcPr>
            <w:tcW w:w="2460" w:type="dxa"/>
            <w:tcBorders>
              <w:tl2br w:val="nil"/>
              <w:tr2bl w:val="nil"/>
            </w:tcBorders>
            <w:shd w:val="clear" w:color="auto" w:fill="auto"/>
            <w:vAlign w:val="center"/>
          </w:tcPr>
          <w:p w14:paraId="4B02873F">
            <w:pPr>
              <w:adjustRightInd w:val="0"/>
              <w:snapToGrid w:val="0"/>
              <w:jc w:val="center"/>
              <w:rPr>
                <w:rFonts w:hint="eastAsia"/>
                <w:color w:val="auto"/>
                <w:kern w:val="0"/>
                <w:sz w:val="24"/>
                <w:szCs w:val="24"/>
                <w:lang w:val="en-US" w:eastAsia="zh-CN"/>
              </w:rPr>
            </w:pPr>
            <w:r>
              <w:rPr>
                <w:rFonts w:hint="eastAsia"/>
                <w:color w:val="auto"/>
                <w:sz w:val="24"/>
                <w:szCs w:val="24"/>
                <w:highlight w:val="none"/>
                <w:lang w:val="en-US" w:eastAsia="zh-CN"/>
              </w:rPr>
              <w:t>《锅炉大气污染物排放标准》（GB13271-2014）表2标准</w:t>
            </w:r>
          </w:p>
        </w:tc>
      </w:tr>
      <w:tr w14:paraId="57AF3F3E">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7A97AF5D">
            <w:pPr>
              <w:adjustRightInd w:val="0"/>
              <w:snapToGrid w:val="0"/>
              <w:jc w:val="center"/>
              <w:rPr>
                <w:color w:val="auto"/>
                <w:sz w:val="24"/>
                <w:szCs w:val="24"/>
              </w:rPr>
            </w:pPr>
          </w:p>
        </w:tc>
        <w:tc>
          <w:tcPr>
            <w:tcW w:w="2130" w:type="dxa"/>
            <w:tcBorders>
              <w:tl2br w:val="nil"/>
              <w:tr2bl w:val="nil"/>
            </w:tcBorders>
            <w:shd w:val="clear" w:color="auto" w:fill="auto"/>
            <w:vAlign w:val="center"/>
          </w:tcPr>
          <w:p w14:paraId="1D30D65D">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13</w:t>
            </w:r>
            <w:r>
              <w:rPr>
                <w:rFonts w:hint="eastAsia"/>
                <w:color w:val="auto"/>
                <w:sz w:val="24"/>
                <w:szCs w:val="24"/>
              </w:rPr>
              <w:t>排气筒（红冲加热炉</w:t>
            </w:r>
            <w:r>
              <w:rPr>
                <w:rFonts w:hint="eastAsia"/>
                <w:color w:val="auto"/>
                <w:sz w:val="24"/>
                <w:szCs w:val="24"/>
                <w:lang w:val="en-US" w:eastAsia="zh-CN"/>
              </w:rPr>
              <w:t>废气</w:t>
            </w:r>
            <w:r>
              <w:rPr>
                <w:rFonts w:hint="eastAsia"/>
                <w:color w:val="auto"/>
                <w:sz w:val="24"/>
                <w:szCs w:val="24"/>
              </w:rPr>
              <w:t>）</w:t>
            </w:r>
          </w:p>
        </w:tc>
        <w:tc>
          <w:tcPr>
            <w:tcW w:w="1365" w:type="dxa"/>
            <w:tcBorders>
              <w:tl2br w:val="nil"/>
              <w:tr2bl w:val="nil"/>
            </w:tcBorders>
            <w:shd w:val="clear" w:color="auto" w:fill="auto"/>
            <w:vAlign w:val="center"/>
          </w:tcPr>
          <w:p w14:paraId="1352FFBC">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颗粒物、二氧化硫、氮氧化物</w:t>
            </w:r>
          </w:p>
        </w:tc>
        <w:tc>
          <w:tcPr>
            <w:tcW w:w="1905" w:type="dxa"/>
            <w:tcBorders>
              <w:tl2br w:val="nil"/>
              <w:tr2bl w:val="nil"/>
            </w:tcBorders>
            <w:shd w:val="clear" w:color="auto" w:fill="auto"/>
            <w:vAlign w:val="center"/>
          </w:tcPr>
          <w:p w14:paraId="7B02DE07">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通过1根15</w:t>
            </w:r>
            <w:r>
              <w:rPr>
                <w:color w:val="auto"/>
                <w:sz w:val="24"/>
                <w:szCs w:val="24"/>
              </w:rPr>
              <w:t>m</w:t>
            </w:r>
            <w:r>
              <w:rPr>
                <w:rFonts w:hint="eastAsia"/>
                <w:color w:val="auto"/>
                <w:sz w:val="24"/>
                <w:szCs w:val="24"/>
              </w:rPr>
              <w:t>高排气筒排放</w:t>
            </w:r>
          </w:p>
        </w:tc>
        <w:tc>
          <w:tcPr>
            <w:tcW w:w="2460" w:type="dxa"/>
            <w:tcBorders>
              <w:tl2br w:val="nil"/>
              <w:tr2bl w:val="nil"/>
            </w:tcBorders>
            <w:shd w:val="clear" w:color="auto" w:fill="auto"/>
            <w:vAlign w:val="center"/>
          </w:tcPr>
          <w:p w14:paraId="41EA4039">
            <w:pPr>
              <w:adjustRightInd w:val="0"/>
              <w:snapToGrid w:val="0"/>
              <w:jc w:val="center"/>
              <w:rPr>
                <w:rFonts w:hint="eastAsia"/>
                <w:color w:val="auto"/>
                <w:kern w:val="0"/>
                <w:sz w:val="24"/>
                <w:szCs w:val="24"/>
                <w:lang w:val="en-US" w:eastAsia="zh-CN"/>
              </w:rPr>
            </w:pPr>
            <w:r>
              <w:rPr>
                <w:rFonts w:hint="eastAsia"/>
                <w:color w:val="auto"/>
                <w:kern w:val="0"/>
                <w:sz w:val="24"/>
                <w:szCs w:val="24"/>
                <w:lang w:val="en-US" w:eastAsia="zh-CN"/>
              </w:rPr>
              <w:t>《福建省工业炉窑大气污染综合治理方案》中鼓励采用的排放限值</w:t>
            </w:r>
          </w:p>
        </w:tc>
      </w:tr>
      <w:tr w14:paraId="7B318D62">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vAlign w:val="center"/>
          </w:tcPr>
          <w:p w14:paraId="6E39695E">
            <w:pPr>
              <w:adjustRightInd w:val="0"/>
              <w:snapToGrid w:val="0"/>
              <w:jc w:val="center"/>
              <w:rPr>
                <w:color w:val="auto"/>
                <w:sz w:val="24"/>
                <w:szCs w:val="24"/>
              </w:rPr>
            </w:pPr>
          </w:p>
        </w:tc>
        <w:tc>
          <w:tcPr>
            <w:tcW w:w="2130" w:type="dxa"/>
            <w:tcBorders>
              <w:tl2br w:val="nil"/>
              <w:tr2bl w:val="nil"/>
            </w:tcBorders>
            <w:shd w:val="clear" w:color="auto" w:fill="auto"/>
            <w:vAlign w:val="center"/>
          </w:tcPr>
          <w:p w14:paraId="5AD38032">
            <w:pPr>
              <w:adjustRightInd w:val="0"/>
              <w:snapToGrid w:val="0"/>
              <w:jc w:val="center"/>
              <w:rPr>
                <w:rFonts w:ascii="Times New Roman" w:hAnsi="Times New Roman" w:eastAsia="宋体" w:cs="Times New Roman"/>
                <w:b/>
                <w:bCs/>
                <w:color w:val="auto"/>
                <w:kern w:val="2"/>
                <w:sz w:val="24"/>
                <w:szCs w:val="24"/>
                <w:lang w:val="en-US" w:eastAsia="zh-CN" w:bidi="ar-SA"/>
              </w:rPr>
            </w:pPr>
            <w:r>
              <w:rPr>
                <w:color w:val="auto"/>
                <w:sz w:val="24"/>
                <w:szCs w:val="24"/>
              </w:rPr>
              <w:t>DA0</w:t>
            </w:r>
            <w:r>
              <w:rPr>
                <w:rFonts w:hint="eastAsia"/>
                <w:color w:val="auto"/>
                <w:sz w:val="24"/>
                <w:szCs w:val="24"/>
                <w:lang w:val="en-US" w:eastAsia="zh-CN"/>
              </w:rPr>
              <w:t>14</w:t>
            </w:r>
            <w:r>
              <w:rPr>
                <w:rFonts w:hint="eastAsia"/>
                <w:color w:val="auto"/>
                <w:sz w:val="24"/>
                <w:szCs w:val="24"/>
              </w:rPr>
              <w:t>排气筒</w:t>
            </w:r>
            <w:r>
              <w:rPr>
                <w:rFonts w:hint="eastAsia"/>
                <w:color w:val="auto"/>
                <w:sz w:val="24"/>
                <w:szCs w:val="24"/>
                <w:lang w:eastAsia="zh-CN"/>
              </w:rPr>
              <w:t>（红冲工件</w:t>
            </w:r>
            <w:r>
              <w:rPr>
                <w:rFonts w:hint="eastAsia"/>
                <w:color w:val="auto"/>
                <w:sz w:val="24"/>
                <w:szCs w:val="24"/>
                <w:lang w:val="en-US" w:eastAsia="zh-CN"/>
              </w:rPr>
              <w:t>冲压、</w:t>
            </w:r>
            <w:r>
              <w:rPr>
                <w:rFonts w:hint="eastAsia"/>
                <w:color w:val="auto"/>
                <w:sz w:val="24"/>
                <w:szCs w:val="24"/>
                <w:lang w:eastAsia="zh-CN"/>
              </w:rPr>
              <w:t>抛丸</w:t>
            </w:r>
            <w:r>
              <w:rPr>
                <w:rFonts w:hint="eastAsia"/>
                <w:color w:val="auto"/>
                <w:sz w:val="24"/>
                <w:szCs w:val="24"/>
                <w:lang w:val="en-US" w:eastAsia="zh-CN"/>
              </w:rPr>
              <w:t>废气+铝锭</w:t>
            </w:r>
            <w:r>
              <w:rPr>
                <w:rFonts w:hint="eastAsia"/>
                <w:color w:val="auto"/>
                <w:sz w:val="24"/>
                <w:szCs w:val="24"/>
              </w:rPr>
              <w:t>熔化、压铸、打磨</w:t>
            </w:r>
            <w:r>
              <w:rPr>
                <w:rFonts w:hint="eastAsia"/>
                <w:color w:val="auto"/>
                <w:sz w:val="24"/>
                <w:szCs w:val="24"/>
                <w:lang w:val="en-US" w:eastAsia="zh-CN"/>
              </w:rPr>
              <w:t>废气</w:t>
            </w:r>
            <w:r>
              <w:rPr>
                <w:rFonts w:hint="eastAsia"/>
                <w:color w:val="auto"/>
                <w:sz w:val="24"/>
                <w:szCs w:val="24"/>
              </w:rPr>
              <w:t>）</w:t>
            </w:r>
          </w:p>
        </w:tc>
        <w:tc>
          <w:tcPr>
            <w:tcW w:w="1365" w:type="dxa"/>
            <w:tcBorders>
              <w:tl2br w:val="nil"/>
              <w:tr2bl w:val="nil"/>
            </w:tcBorders>
            <w:shd w:val="clear" w:color="auto" w:fill="auto"/>
            <w:vAlign w:val="center"/>
          </w:tcPr>
          <w:p w14:paraId="6D2DF4D2">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颗粒物</w:t>
            </w:r>
          </w:p>
        </w:tc>
        <w:tc>
          <w:tcPr>
            <w:tcW w:w="1905" w:type="dxa"/>
            <w:tcBorders>
              <w:tl2br w:val="nil"/>
              <w:tr2bl w:val="nil"/>
            </w:tcBorders>
            <w:shd w:val="clear" w:color="auto" w:fill="auto"/>
            <w:vAlign w:val="center"/>
          </w:tcPr>
          <w:p w14:paraId="5C559356">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抛丸废气经设备自带除尘器处理后，冲压、打磨废气配备一套袋式除尘器</w:t>
            </w:r>
            <w:r>
              <w:rPr>
                <w:rFonts w:hint="eastAsia" w:cs="Times New Roman"/>
                <w:color w:val="auto"/>
                <w:kern w:val="2"/>
                <w:sz w:val="24"/>
                <w:szCs w:val="24"/>
                <w:lang w:val="en-US" w:eastAsia="zh-CN" w:bidi="ar-SA"/>
              </w:rPr>
              <w:t>处理，</w:t>
            </w:r>
            <w:r>
              <w:rPr>
                <w:rFonts w:hint="eastAsia" w:ascii="Times New Roman" w:hAnsi="Times New Roman" w:eastAsia="宋体" w:cs="Times New Roman"/>
                <w:color w:val="auto"/>
                <w:kern w:val="2"/>
                <w:sz w:val="24"/>
                <w:szCs w:val="24"/>
                <w:lang w:val="en-US" w:eastAsia="zh-CN" w:bidi="ar-SA"/>
              </w:rPr>
              <w:t>熔化和压铸废气配备一套袋式除尘器处理后，再汇集至一根</w:t>
            </w:r>
            <w:r>
              <w:rPr>
                <w:rFonts w:hint="eastAsia" w:cs="Times New Roman"/>
                <w:color w:val="auto"/>
                <w:kern w:val="2"/>
                <w:sz w:val="24"/>
                <w:szCs w:val="24"/>
                <w:lang w:val="en-US" w:eastAsia="zh-CN" w:bidi="ar-SA"/>
              </w:rPr>
              <w:t>15m</w:t>
            </w:r>
            <w:r>
              <w:rPr>
                <w:rFonts w:hint="eastAsia" w:ascii="Times New Roman" w:hAnsi="Times New Roman" w:eastAsia="宋体" w:cs="Times New Roman"/>
                <w:color w:val="auto"/>
                <w:kern w:val="2"/>
                <w:sz w:val="24"/>
                <w:szCs w:val="24"/>
                <w:lang w:val="en-US" w:eastAsia="zh-CN" w:bidi="ar-SA"/>
              </w:rPr>
              <w:t>排气筒排放</w:t>
            </w:r>
          </w:p>
        </w:tc>
        <w:tc>
          <w:tcPr>
            <w:tcW w:w="2460" w:type="dxa"/>
            <w:tcBorders>
              <w:tl2br w:val="nil"/>
              <w:tr2bl w:val="nil"/>
            </w:tcBorders>
            <w:shd w:val="clear" w:color="auto" w:fill="auto"/>
            <w:vAlign w:val="center"/>
          </w:tcPr>
          <w:p w14:paraId="796A85A6">
            <w:pPr>
              <w:adjustRightInd w:val="0"/>
              <w:snapToGrid w:val="0"/>
              <w:jc w:val="center"/>
              <w:rPr>
                <w:rFonts w:hint="eastAsia"/>
                <w:color w:val="auto"/>
                <w:kern w:val="0"/>
                <w:sz w:val="24"/>
                <w:szCs w:val="24"/>
                <w:lang w:val="en-US" w:eastAsia="zh-CN"/>
              </w:rPr>
            </w:pPr>
            <w:r>
              <w:rPr>
                <w:rFonts w:hint="eastAsia"/>
                <w:color w:val="auto"/>
                <w:sz w:val="24"/>
                <w:szCs w:val="24"/>
              </w:rPr>
              <w:t>《铸造工业大气污染物排放标准》（GB39726-2020）表1标准</w:t>
            </w:r>
          </w:p>
        </w:tc>
      </w:tr>
      <w:tr w14:paraId="0267891E">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tcPr>
          <w:p w14:paraId="5699D6AF">
            <w:pPr>
              <w:adjustRightInd w:val="0"/>
              <w:snapToGrid w:val="0"/>
              <w:rPr>
                <w:b/>
                <w:bCs/>
                <w:color w:val="auto"/>
                <w:sz w:val="24"/>
                <w:szCs w:val="24"/>
              </w:rPr>
            </w:pPr>
          </w:p>
        </w:tc>
        <w:tc>
          <w:tcPr>
            <w:tcW w:w="2130" w:type="dxa"/>
            <w:tcBorders>
              <w:bottom w:val="single" w:color="auto" w:sz="4" w:space="0"/>
              <w:tl2br w:val="nil"/>
              <w:tr2bl w:val="nil"/>
            </w:tcBorders>
            <w:vAlign w:val="center"/>
          </w:tcPr>
          <w:p w14:paraId="0F13EC35">
            <w:pPr>
              <w:adjustRightInd w:val="0"/>
              <w:snapToGrid w:val="0"/>
              <w:jc w:val="center"/>
              <w:rPr>
                <w:b/>
                <w:bCs/>
                <w:color w:val="auto"/>
                <w:sz w:val="24"/>
                <w:szCs w:val="24"/>
              </w:rPr>
            </w:pPr>
            <w:r>
              <w:rPr>
                <w:rFonts w:hint="eastAsia"/>
                <w:color w:val="auto"/>
                <w:sz w:val="24"/>
                <w:szCs w:val="24"/>
              </w:rPr>
              <w:t>厂界无组织</w:t>
            </w:r>
          </w:p>
        </w:tc>
        <w:tc>
          <w:tcPr>
            <w:tcW w:w="1365" w:type="dxa"/>
            <w:tcBorders>
              <w:bottom w:val="single" w:color="auto" w:sz="4" w:space="0"/>
              <w:tl2br w:val="nil"/>
              <w:tr2bl w:val="nil"/>
            </w:tcBorders>
            <w:vAlign w:val="center"/>
          </w:tcPr>
          <w:p w14:paraId="0A596D3F">
            <w:pPr>
              <w:adjustRightInd w:val="0"/>
              <w:snapToGrid w:val="0"/>
              <w:jc w:val="center"/>
              <w:rPr>
                <w:rFonts w:hint="default" w:eastAsia="宋体"/>
                <w:b/>
                <w:bCs/>
                <w:color w:val="auto"/>
                <w:sz w:val="24"/>
                <w:szCs w:val="24"/>
                <w:lang w:val="en-US" w:eastAsia="zh-CN"/>
              </w:rPr>
            </w:pPr>
            <w:r>
              <w:rPr>
                <w:rFonts w:hint="eastAsia"/>
                <w:color w:val="auto"/>
                <w:sz w:val="24"/>
                <w:szCs w:val="24"/>
              </w:rPr>
              <w:t>非甲烷总烃、颗粒物</w:t>
            </w:r>
            <w:r>
              <w:rPr>
                <w:rFonts w:hint="eastAsia"/>
                <w:color w:val="auto"/>
                <w:sz w:val="24"/>
                <w:szCs w:val="24"/>
                <w:lang w:eastAsia="zh-CN"/>
              </w:rPr>
              <w:t>、</w:t>
            </w:r>
            <w:r>
              <w:rPr>
                <w:rFonts w:hint="eastAsia"/>
                <w:color w:val="auto"/>
                <w:sz w:val="24"/>
                <w:szCs w:val="24"/>
                <w:lang w:val="en-US" w:eastAsia="zh-CN"/>
              </w:rPr>
              <w:t>臭气浓度</w:t>
            </w:r>
          </w:p>
        </w:tc>
        <w:tc>
          <w:tcPr>
            <w:tcW w:w="1905" w:type="dxa"/>
            <w:vMerge w:val="restart"/>
            <w:tcBorders>
              <w:tl2br w:val="nil"/>
              <w:tr2bl w:val="nil"/>
            </w:tcBorders>
            <w:vAlign w:val="center"/>
          </w:tcPr>
          <w:p w14:paraId="23C0C203">
            <w:pPr>
              <w:adjustRightInd w:val="0"/>
              <w:snapToGrid w:val="0"/>
              <w:jc w:val="center"/>
              <w:rPr>
                <w:rFonts w:hint="default"/>
                <w:b/>
                <w:bCs/>
                <w:color w:val="auto"/>
                <w:sz w:val="24"/>
                <w:szCs w:val="24"/>
                <w:lang w:val="en-US"/>
              </w:rPr>
            </w:pPr>
            <w:r>
              <w:rPr>
                <w:rFonts w:hint="eastAsia"/>
                <w:color w:val="auto"/>
                <w:sz w:val="24"/>
                <w:szCs w:val="24"/>
                <w:highlight w:val="none"/>
                <w:lang w:val="en-US" w:eastAsia="zh-CN"/>
              </w:rPr>
              <w:t>焊接烟尘、激光切割烟尘采用移动式烟尘净化器处理，产生有机废气、臭气浓度等工序采用设备密闭或局部收集的方式，减少废物无组织排放。</w:t>
            </w:r>
          </w:p>
        </w:tc>
        <w:tc>
          <w:tcPr>
            <w:tcW w:w="2460" w:type="dxa"/>
            <w:tcBorders>
              <w:tl2br w:val="nil"/>
              <w:tr2bl w:val="nil"/>
            </w:tcBorders>
            <w:vAlign w:val="center"/>
          </w:tcPr>
          <w:p w14:paraId="34DFA271">
            <w:pPr>
              <w:adjustRightInd w:val="0"/>
              <w:snapToGrid w:val="0"/>
              <w:jc w:val="center"/>
              <w:rPr>
                <w:rFonts w:hint="eastAsia" w:eastAsia="宋体"/>
                <w:b/>
                <w:bCs/>
                <w:color w:val="auto"/>
                <w:sz w:val="24"/>
                <w:szCs w:val="24"/>
                <w:lang w:eastAsia="zh-CN"/>
              </w:rPr>
            </w:pPr>
            <w:r>
              <w:rPr>
                <w:rFonts w:hint="eastAsia"/>
                <w:color w:val="auto"/>
                <w:kern w:val="0"/>
                <w:sz w:val="24"/>
                <w:szCs w:val="24"/>
                <w:lang w:val="en-US" w:eastAsia="zh-CN"/>
              </w:rPr>
              <w:t>厂界颗粒物、非甲烷总烃</w:t>
            </w:r>
            <w:r>
              <w:rPr>
                <w:rFonts w:hint="eastAsia"/>
                <w:color w:val="auto"/>
                <w:kern w:val="0"/>
                <w:sz w:val="24"/>
                <w:szCs w:val="24"/>
              </w:rPr>
              <w:t>执行</w:t>
            </w:r>
            <w:r>
              <w:rPr>
                <w:color w:val="auto"/>
                <w:sz w:val="24"/>
                <w:szCs w:val="24"/>
              </w:rPr>
              <w:t>《大气污染物综合排放标准》（GB16297-1996）</w:t>
            </w:r>
            <w:r>
              <w:rPr>
                <w:rFonts w:hint="eastAsia"/>
                <w:color w:val="auto"/>
                <w:sz w:val="24"/>
                <w:szCs w:val="24"/>
              </w:rPr>
              <w:t>表2中无组织排放监控浓度限值</w:t>
            </w:r>
            <w:r>
              <w:rPr>
                <w:rFonts w:hint="eastAsia"/>
                <w:color w:val="auto"/>
                <w:sz w:val="24"/>
                <w:szCs w:val="24"/>
                <w:lang w:val="en-US" w:eastAsia="zh-CN"/>
              </w:rPr>
              <w:t>和</w:t>
            </w:r>
            <w:r>
              <w:rPr>
                <w:rFonts w:hint="eastAsia"/>
                <w:color w:val="auto"/>
                <w:sz w:val="24"/>
                <w:szCs w:val="24"/>
                <w:lang w:eastAsia="zh-CN"/>
              </w:rPr>
              <w:t>《工业涂装工序挥发性有机物排放标准》（DB35/1783</w:t>
            </w:r>
            <w:r>
              <w:rPr>
                <w:rFonts w:hint="eastAsia"/>
                <w:color w:val="auto"/>
                <w:sz w:val="24"/>
                <w:szCs w:val="24"/>
                <w:lang w:val="en-US" w:eastAsia="zh-CN"/>
              </w:rPr>
              <w:t>-</w:t>
            </w:r>
            <w:r>
              <w:rPr>
                <w:rFonts w:hint="eastAsia"/>
                <w:color w:val="auto"/>
                <w:sz w:val="24"/>
                <w:szCs w:val="24"/>
                <w:lang w:eastAsia="zh-CN"/>
              </w:rPr>
              <w:t>2018）</w:t>
            </w:r>
            <w:r>
              <w:rPr>
                <w:rFonts w:hint="eastAsia"/>
                <w:color w:val="auto"/>
                <w:sz w:val="24"/>
                <w:szCs w:val="24"/>
                <w:lang w:val="en-US" w:eastAsia="zh-CN"/>
              </w:rPr>
              <w:t>表4标准限值，臭气浓度执行</w:t>
            </w:r>
            <w:r>
              <w:rPr>
                <w:rFonts w:hint="eastAsia"/>
                <w:color w:val="auto"/>
                <w:sz w:val="24"/>
                <w:szCs w:val="24"/>
                <w:lang w:eastAsia="zh-CN"/>
              </w:rPr>
              <w:t>《恶臭污染物排放标准》（GB14554-1993）</w:t>
            </w:r>
          </w:p>
        </w:tc>
      </w:tr>
      <w:tr w14:paraId="7D6129A0">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vMerge w:val="continue"/>
            <w:tcBorders>
              <w:tl2br w:val="nil"/>
              <w:tr2bl w:val="nil"/>
            </w:tcBorders>
          </w:tcPr>
          <w:p w14:paraId="590402FD">
            <w:pPr>
              <w:adjustRightInd w:val="0"/>
              <w:snapToGrid w:val="0"/>
              <w:rPr>
                <w:b/>
                <w:bCs/>
                <w:color w:val="auto"/>
                <w:sz w:val="24"/>
                <w:szCs w:val="24"/>
              </w:rPr>
            </w:pPr>
          </w:p>
        </w:tc>
        <w:tc>
          <w:tcPr>
            <w:tcW w:w="2130" w:type="dxa"/>
            <w:tcBorders>
              <w:top w:val="single" w:color="auto" w:sz="4" w:space="0"/>
              <w:tl2br w:val="nil"/>
              <w:tr2bl w:val="nil"/>
            </w:tcBorders>
            <w:vAlign w:val="center"/>
          </w:tcPr>
          <w:p w14:paraId="09F37B82">
            <w:pPr>
              <w:adjustRightInd w:val="0"/>
              <w:snapToGrid w:val="0"/>
              <w:jc w:val="center"/>
              <w:rPr>
                <w:color w:val="auto"/>
                <w:sz w:val="24"/>
                <w:szCs w:val="24"/>
              </w:rPr>
            </w:pPr>
            <w:r>
              <w:rPr>
                <w:rFonts w:hint="eastAsia"/>
                <w:color w:val="auto"/>
                <w:sz w:val="24"/>
                <w:szCs w:val="24"/>
              </w:rPr>
              <w:t>厂区内厂房外无组织</w:t>
            </w:r>
          </w:p>
        </w:tc>
        <w:tc>
          <w:tcPr>
            <w:tcW w:w="1365" w:type="dxa"/>
            <w:tcBorders>
              <w:top w:val="single" w:color="auto" w:sz="4" w:space="0"/>
              <w:tl2br w:val="nil"/>
              <w:tr2bl w:val="nil"/>
            </w:tcBorders>
            <w:vAlign w:val="center"/>
          </w:tcPr>
          <w:p w14:paraId="5CD5DB4E">
            <w:pPr>
              <w:adjustRightInd w:val="0"/>
              <w:snapToGrid w:val="0"/>
              <w:jc w:val="center"/>
              <w:rPr>
                <w:rFonts w:hint="default" w:eastAsia="宋体"/>
                <w:color w:val="auto"/>
                <w:sz w:val="24"/>
                <w:szCs w:val="24"/>
                <w:lang w:val="en-US" w:eastAsia="zh-CN"/>
              </w:rPr>
            </w:pPr>
            <w:r>
              <w:rPr>
                <w:rFonts w:hint="eastAsia"/>
                <w:color w:val="auto"/>
                <w:sz w:val="24"/>
                <w:szCs w:val="24"/>
              </w:rPr>
              <w:t>非甲烷总烃</w:t>
            </w:r>
            <w:r>
              <w:rPr>
                <w:rFonts w:hint="eastAsia"/>
                <w:color w:val="auto"/>
                <w:sz w:val="24"/>
                <w:szCs w:val="24"/>
                <w:lang w:eastAsia="zh-CN"/>
              </w:rPr>
              <w:t>、</w:t>
            </w:r>
            <w:r>
              <w:rPr>
                <w:rFonts w:hint="eastAsia"/>
                <w:color w:val="auto"/>
                <w:sz w:val="24"/>
                <w:szCs w:val="24"/>
              </w:rPr>
              <w:t>颗粒物</w:t>
            </w:r>
          </w:p>
        </w:tc>
        <w:tc>
          <w:tcPr>
            <w:tcW w:w="1905" w:type="dxa"/>
            <w:vMerge w:val="continue"/>
            <w:tcBorders>
              <w:tl2br w:val="nil"/>
              <w:tr2bl w:val="nil"/>
            </w:tcBorders>
            <w:vAlign w:val="center"/>
          </w:tcPr>
          <w:p w14:paraId="134B1834">
            <w:pPr>
              <w:adjustRightInd w:val="0"/>
              <w:snapToGrid w:val="0"/>
              <w:jc w:val="center"/>
              <w:rPr>
                <w:b/>
                <w:bCs/>
                <w:color w:val="auto"/>
                <w:sz w:val="24"/>
                <w:szCs w:val="24"/>
              </w:rPr>
            </w:pPr>
          </w:p>
        </w:tc>
        <w:tc>
          <w:tcPr>
            <w:tcW w:w="2460" w:type="dxa"/>
            <w:tcBorders>
              <w:tl2br w:val="nil"/>
              <w:tr2bl w:val="nil"/>
            </w:tcBorders>
            <w:vAlign w:val="center"/>
          </w:tcPr>
          <w:p w14:paraId="42EC46B3">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颗粒物</w:t>
            </w:r>
            <w:r>
              <w:rPr>
                <w:color w:val="auto"/>
                <w:sz w:val="24"/>
                <w:szCs w:val="24"/>
              </w:rPr>
              <w:t>厂内监控</w:t>
            </w:r>
            <w:r>
              <w:rPr>
                <w:rFonts w:hint="eastAsia"/>
                <w:color w:val="auto"/>
                <w:sz w:val="24"/>
                <w:szCs w:val="24"/>
                <w:lang w:val="en-US" w:eastAsia="zh-CN"/>
              </w:rPr>
              <w:t>点</w:t>
            </w:r>
            <w:r>
              <w:rPr>
                <w:rFonts w:hint="eastAsia"/>
                <w:color w:val="auto"/>
                <w:sz w:val="24"/>
                <w:szCs w:val="24"/>
              </w:rPr>
              <w:t>执行《铸造工业大气污染物排放标准》（GB39726-2020）表</w:t>
            </w:r>
            <w:r>
              <w:rPr>
                <w:rFonts w:hint="eastAsia"/>
                <w:color w:val="auto"/>
                <w:sz w:val="24"/>
                <w:szCs w:val="24"/>
                <w:lang w:val="en-US" w:eastAsia="zh-CN"/>
              </w:rPr>
              <w:t>A.</w:t>
            </w:r>
            <w:r>
              <w:rPr>
                <w:rFonts w:hint="eastAsia"/>
                <w:color w:val="auto"/>
                <w:sz w:val="24"/>
                <w:szCs w:val="24"/>
              </w:rPr>
              <w:t>1标准</w:t>
            </w:r>
            <w:r>
              <w:rPr>
                <w:rFonts w:hint="eastAsia"/>
                <w:color w:val="auto"/>
                <w:sz w:val="24"/>
                <w:szCs w:val="24"/>
                <w:lang w:val="en-US" w:eastAsia="zh-CN"/>
              </w:rPr>
              <w:t>，</w:t>
            </w:r>
            <w:r>
              <w:rPr>
                <w:color w:val="auto"/>
                <w:sz w:val="24"/>
                <w:szCs w:val="24"/>
              </w:rPr>
              <w:t>非甲烷总烃</w:t>
            </w:r>
            <w:r>
              <w:rPr>
                <w:rFonts w:hint="eastAsia"/>
                <w:color w:val="auto"/>
                <w:sz w:val="24"/>
                <w:szCs w:val="24"/>
                <w:lang w:val="en-US" w:eastAsia="zh-CN"/>
              </w:rPr>
              <w:t>厂区内监控点执行</w:t>
            </w:r>
            <w:r>
              <w:rPr>
                <w:rFonts w:hint="eastAsia"/>
                <w:color w:val="auto"/>
                <w:sz w:val="24"/>
                <w:szCs w:val="24"/>
              </w:rPr>
              <w:t>《工业涂装工序挥发性有机物排放标准》（DB35/1783-2018）表3</w:t>
            </w:r>
            <w:r>
              <w:rPr>
                <w:rFonts w:hint="eastAsia"/>
                <w:color w:val="auto"/>
                <w:sz w:val="24"/>
                <w:szCs w:val="24"/>
                <w:lang w:val="en-US" w:eastAsia="zh-CN"/>
              </w:rPr>
              <w:t>标准限值、任意一次值执行《铸造工业大气污染物排放标准》（GB39726-2020）表A.1标准限值。</w:t>
            </w:r>
          </w:p>
        </w:tc>
      </w:tr>
      <w:tr w14:paraId="6B11BDB8">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425" w:hRule="atLeast"/>
          <w:jc w:val="center"/>
        </w:trPr>
        <w:tc>
          <w:tcPr>
            <w:tcW w:w="1200" w:type="dxa"/>
            <w:tcBorders>
              <w:tl2br w:val="nil"/>
              <w:tr2bl w:val="nil"/>
            </w:tcBorders>
            <w:vAlign w:val="center"/>
          </w:tcPr>
          <w:p w14:paraId="1386CED9">
            <w:pPr>
              <w:adjustRightInd w:val="0"/>
              <w:snapToGrid w:val="0"/>
              <w:jc w:val="center"/>
              <w:rPr>
                <w:color w:val="auto"/>
                <w:sz w:val="24"/>
                <w:szCs w:val="24"/>
              </w:rPr>
            </w:pPr>
            <w:r>
              <w:rPr>
                <w:color w:val="auto"/>
                <w:sz w:val="24"/>
                <w:szCs w:val="24"/>
              </w:rPr>
              <w:t>地表水环境</w:t>
            </w:r>
          </w:p>
        </w:tc>
        <w:tc>
          <w:tcPr>
            <w:tcW w:w="2130" w:type="dxa"/>
            <w:tcBorders>
              <w:tl2br w:val="nil"/>
              <w:tr2bl w:val="nil"/>
            </w:tcBorders>
            <w:vAlign w:val="center"/>
          </w:tcPr>
          <w:p w14:paraId="35BA07B7">
            <w:pPr>
              <w:snapToGrid w:val="0"/>
              <w:jc w:val="center"/>
              <w:textAlignment w:val="baseline"/>
              <w:rPr>
                <w:color w:val="auto"/>
                <w:sz w:val="24"/>
                <w:szCs w:val="24"/>
              </w:rPr>
            </w:pPr>
            <w:r>
              <w:rPr>
                <w:rFonts w:hint="eastAsia"/>
                <w:color w:val="auto"/>
                <w:sz w:val="24"/>
                <w:szCs w:val="24"/>
              </w:rPr>
              <w:t>生活污水</w:t>
            </w:r>
          </w:p>
        </w:tc>
        <w:tc>
          <w:tcPr>
            <w:tcW w:w="1365" w:type="dxa"/>
            <w:tcBorders>
              <w:tl2br w:val="nil"/>
              <w:tr2bl w:val="nil"/>
            </w:tcBorders>
            <w:vAlign w:val="center"/>
          </w:tcPr>
          <w:p w14:paraId="3CC6C9C1">
            <w:pPr>
              <w:ind w:right="170"/>
              <w:jc w:val="center"/>
              <w:rPr>
                <w:color w:val="auto"/>
                <w:sz w:val="24"/>
                <w:szCs w:val="24"/>
              </w:rPr>
            </w:pPr>
            <w:r>
              <w:rPr>
                <w:rFonts w:hint="eastAsia"/>
                <w:color w:val="auto"/>
                <w:sz w:val="24"/>
                <w:szCs w:val="24"/>
                <w:lang w:val="en-US" w:eastAsia="zh-CN"/>
              </w:rPr>
              <w:t>pH、</w:t>
            </w:r>
            <w:r>
              <w:rPr>
                <w:color w:val="auto"/>
                <w:sz w:val="24"/>
                <w:szCs w:val="24"/>
              </w:rPr>
              <w:t>SS</w:t>
            </w:r>
            <w:r>
              <w:rPr>
                <w:rFonts w:hint="eastAsia"/>
                <w:color w:val="auto"/>
                <w:sz w:val="24"/>
                <w:szCs w:val="24"/>
              </w:rPr>
              <w:t>、CODcr、</w:t>
            </w:r>
            <w:r>
              <w:rPr>
                <w:color w:val="auto"/>
                <w:sz w:val="24"/>
                <w:szCs w:val="24"/>
              </w:rPr>
              <w:t>BOD</w:t>
            </w:r>
            <w:r>
              <w:rPr>
                <w:rFonts w:hint="eastAsia"/>
                <w:color w:val="auto"/>
                <w:sz w:val="24"/>
                <w:szCs w:val="24"/>
                <w:vertAlign w:val="subscript"/>
              </w:rPr>
              <w:t>5</w:t>
            </w:r>
            <w:r>
              <w:rPr>
                <w:rFonts w:hint="eastAsia"/>
                <w:color w:val="auto"/>
                <w:sz w:val="24"/>
                <w:szCs w:val="24"/>
              </w:rPr>
              <w:t>、NH</w:t>
            </w:r>
            <w:r>
              <w:rPr>
                <w:rFonts w:hint="eastAsia"/>
                <w:color w:val="auto"/>
                <w:sz w:val="24"/>
                <w:szCs w:val="24"/>
                <w:vertAlign w:val="subscript"/>
              </w:rPr>
              <w:t>3</w:t>
            </w:r>
            <w:r>
              <w:rPr>
                <w:rFonts w:hint="eastAsia"/>
                <w:color w:val="auto"/>
                <w:sz w:val="24"/>
                <w:szCs w:val="24"/>
              </w:rPr>
              <w:t>-N、TP、TN</w:t>
            </w:r>
          </w:p>
        </w:tc>
        <w:tc>
          <w:tcPr>
            <w:tcW w:w="1905" w:type="dxa"/>
            <w:tcBorders>
              <w:tl2br w:val="nil"/>
              <w:tr2bl w:val="nil"/>
            </w:tcBorders>
            <w:vAlign w:val="center"/>
          </w:tcPr>
          <w:p w14:paraId="3136B586">
            <w:pPr>
              <w:snapToGrid w:val="0"/>
              <w:jc w:val="center"/>
              <w:textAlignment w:val="baseline"/>
              <w:rPr>
                <w:rFonts w:hint="default"/>
                <w:color w:val="auto"/>
                <w:sz w:val="24"/>
                <w:szCs w:val="24"/>
                <w:lang w:val="en-US"/>
              </w:rPr>
            </w:pPr>
            <w:r>
              <w:rPr>
                <w:rFonts w:hint="eastAsia"/>
                <w:color w:val="auto"/>
                <w:sz w:val="24"/>
                <w:szCs w:val="24"/>
              </w:rPr>
              <w:t>化粪池预处理后通过污水管网</w:t>
            </w:r>
            <w:r>
              <w:rPr>
                <w:rFonts w:hint="eastAsia"/>
                <w:color w:val="auto"/>
                <w:sz w:val="24"/>
                <w:szCs w:val="24"/>
                <w:lang w:val="en-US" w:eastAsia="zh-CN"/>
              </w:rPr>
              <w:t>汇</w:t>
            </w:r>
            <w:r>
              <w:rPr>
                <w:rFonts w:hint="eastAsia"/>
                <w:color w:val="auto"/>
                <w:sz w:val="24"/>
                <w:szCs w:val="24"/>
              </w:rPr>
              <w:t>入</w:t>
            </w:r>
            <w:r>
              <w:rPr>
                <w:rFonts w:hint="eastAsia"/>
                <w:color w:val="auto"/>
                <w:sz w:val="24"/>
                <w:szCs w:val="24"/>
                <w:lang w:val="en-US" w:eastAsia="zh-CN"/>
              </w:rPr>
              <w:t>大田经济开发区上京工业园污水处理厂进一步处理</w:t>
            </w:r>
          </w:p>
        </w:tc>
        <w:tc>
          <w:tcPr>
            <w:tcW w:w="2460" w:type="dxa"/>
            <w:tcBorders>
              <w:tl2br w:val="nil"/>
              <w:tr2bl w:val="nil"/>
            </w:tcBorders>
            <w:vAlign w:val="center"/>
          </w:tcPr>
          <w:p w14:paraId="1ADEA94D">
            <w:pPr>
              <w:pStyle w:val="50"/>
              <w:rPr>
                <w:color w:val="auto"/>
                <w:sz w:val="24"/>
                <w:szCs w:val="24"/>
              </w:rPr>
            </w:pPr>
            <w:r>
              <w:rPr>
                <w:color w:val="auto"/>
                <w:sz w:val="24"/>
                <w:szCs w:val="24"/>
              </w:rPr>
              <w:t>《污水综合排放标准》（GB8978-1996）中三级标准</w:t>
            </w:r>
            <w:r>
              <w:rPr>
                <w:rFonts w:hint="eastAsia"/>
                <w:color w:val="auto"/>
                <w:sz w:val="24"/>
                <w:szCs w:val="24"/>
              </w:rPr>
              <w:t>及</w:t>
            </w:r>
            <w:r>
              <w:rPr>
                <w:color w:val="auto"/>
                <w:sz w:val="24"/>
                <w:szCs w:val="24"/>
              </w:rPr>
              <w:t>污水处理厂接管标准</w:t>
            </w:r>
            <w:r>
              <w:rPr>
                <w:rFonts w:hint="eastAsia"/>
                <w:color w:val="auto"/>
                <w:sz w:val="24"/>
                <w:szCs w:val="24"/>
              </w:rPr>
              <w:t>，</w:t>
            </w:r>
            <w:r>
              <w:rPr>
                <w:color w:val="auto"/>
                <w:sz w:val="24"/>
                <w:szCs w:val="24"/>
              </w:rPr>
              <w:t>NH</w:t>
            </w:r>
            <w:r>
              <w:rPr>
                <w:color w:val="auto"/>
                <w:sz w:val="24"/>
                <w:szCs w:val="24"/>
                <w:vertAlign w:val="subscript"/>
              </w:rPr>
              <w:t>3</w:t>
            </w:r>
            <w:r>
              <w:rPr>
                <w:color w:val="auto"/>
                <w:sz w:val="24"/>
                <w:szCs w:val="24"/>
              </w:rPr>
              <w:t>-N</w:t>
            </w:r>
            <w:r>
              <w:rPr>
                <w:rFonts w:hint="eastAsia"/>
                <w:color w:val="auto"/>
                <w:sz w:val="24"/>
                <w:szCs w:val="24"/>
                <w:lang w:eastAsia="zh-CN"/>
              </w:rPr>
              <w:t>、</w:t>
            </w:r>
            <w:r>
              <w:rPr>
                <w:rFonts w:hint="eastAsia"/>
                <w:color w:val="auto"/>
                <w:sz w:val="24"/>
                <w:szCs w:val="24"/>
              </w:rPr>
              <w:t>TP、TN</w:t>
            </w:r>
            <w:r>
              <w:rPr>
                <w:color w:val="auto"/>
                <w:sz w:val="24"/>
                <w:szCs w:val="24"/>
              </w:rPr>
              <w:t>排放浓度达到《污水排入城镇下水道水质标准》（GB/T31962-2015）中B级标准</w:t>
            </w:r>
          </w:p>
        </w:tc>
      </w:tr>
      <w:tr w14:paraId="0D0B3C71">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1073" w:hRule="atLeast"/>
          <w:jc w:val="center"/>
        </w:trPr>
        <w:tc>
          <w:tcPr>
            <w:tcW w:w="1200" w:type="dxa"/>
            <w:tcBorders>
              <w:tl2br w:val="nil"/>
              <w:tr2bl w:val="nil"/>
            </w:tcBorders>
            <w:vAlign w:val="center"/>
          </w:tcPr>
          <w:p w14:paraId="22A83860">
            <w:pPr>
              <w:adjustRightInd w:val="0"/>
              <w:snapToGrid w:val="0"/>
              <w:jc w:val="center"/>
              <w:rPr>
                <w:color w:val="auto"/>
                <w:sz w:val="24"/>
                <w:szCs w:val="24"/>
              </w:rPr>
            </w:pPr>
            <w:r>
              <w:rPr>
                <w:color w:val="auto"/>
                <w:sz w:val="24"/>
                <w:szCs w:val="24"/>
              </w:rPr>
              <w:t>声环境</w:t>
            </w:r>
          </w:p>
        </w:tc>
        <w:tc>
          <w:tcPr>
            <w:tcW w:w="2130" w:type="dxa"/>
            <w:tcBorders>
              <w:tl2br w:val="nil"/>
              <w:tr2bl w:val="nil"/>
            </w:tcBorders>
            <w:vAlign w:val="center"/>
          </w:tcPr>
          <w:p w14:paraId="2A879085">
            <w:pPr>
              <w:adjustRightInd w:val="0"/>
              <w:snapToGrid w:val="0"/>
              <w:jc w:val="center"/>
              <w:rPr>
                <w:color w:val="auto"/>
                <w:sz w:val="24"/>
                <w:szCs w:val="24"/>
              </w:rPr>
            </w:pPr>
            <w:r>
              <w:rPr>
                <w:color w:val="auto"/>
                <w:sz w:val="24"/>
                <w:szCs w:val="24"/>
              </w:rPr>
              <w:t>生产设备</w:t>
            </w:r>
          </w:p>
        </w:tc>
        <w:tc>
          <w:tcPr>
            <w:tcW w:w="1365" w:type="dxa"/>
            <w:tcBorders>
              <w:tl2br w:val="nil"/>
              <w:tr2bl w:val="nil"/>
            </w:tcBorders>
            <w:vAlign w:val="center"/>
          </w:tcPr>
          <w:p w14:paraId="2DC00965">
            <w:pPr>
              <w:adjustRightInd w:val="0"/>
              <w:snapToGrid w:val="0"/>
              <w:jc w:val="center"/>
              <w:rPr>
                <w:color w:val="auto"/>
                <w:sz w:val="24"/>
                <w:szCs w:val="24"/>
              </w:rPr>
            </w:pPr>
            <w:r>
              <w:rPr>
                <w:color w:val="auto"/>
                <w:sz w:val="24"/>
                <w:szCs w:val="24"/>
              </w:rPr>
              <w:t>等效A声级</w:t>
            </w:r>
          </w:p>
        </w:tc>
        <w:tc>
          <w:tcPr>
            <w:tcW w:w="1905" w:type="dxa"/>
            <w:tcBorders>
              <w:tl2br w:val="nil"/>
              <w:tr2bl w:val="nil"/>
            </w:tcBorders>
            <w:vAlign w:val="center"/>
          </w:tcPr>
          <w:p w14:paraId="3B3541AE">
            <w:pPr>
              <w:adjustRightInd w:val="0"/>
              <w:snapToGrid w:val="0"/>
              <w:jc w:val="center"/>
              <w:rPr>
                <w:color w:val="auto"/>
                <w:sz w:val="24"/>
                <w:szCs w:val="24"/>
              </w:rPr>
            </w:pPr>
            <w:r>
              <w:rPr>
                <w:color w:val="auto"/>
                <w:sz w:val="24"/>
                <w:szCs w:val="24"/>
              </w:rPr>
              <w:t>建筑隔声、减</w:t>
            </w:r>
            <w:r>
              <w:rPr>
                <w:rFonts w:hint="eastAsia"/>
                <w:color w:val="auto"/>
                <w:sz w:val="24"/>
                <w:szCs w:val="24"/>
                <w:lang w:val="en-US" w:eastAsia="zh-CN"/>
              </w:rPr>
              <w:t>振</w:t>
            </w:r>
            <w:r>
              <w:rPr>
                <w:color w:val="auto"/>
                <w:sz w:val="24"/>
                <w:szCs w:val="24"/>
              </w:rPr>
              <w:t>、合理布局</w:t>
            </w:r>
          </w:p>
        </w:tc>
        <w:tc>
          <w:tcPr>
            <w:tcW w:w="2460" w:type="dxa"/>
            <w:tcBorders>
              <w:tl2br w:val="nil"/>
              <w:tr2bl w:val="nil"/>
            </w:tcBorders>
            <w:vAlign w:val="center"/>
          </w:tcPr>
          <w:p w14:paraId="05258FD3">
            <w:pPr>
              <w:adjustRightInd w:val="0"/>
              <w:snapToGrid w:val="0"/>
              <w:jc w:val="center"/>
              <w:rPr>
                <w:color w:val="auto"/>
                <w:sz w:val="24"/>
                <w:szCs w:val="24"/>
              </w:rPr>
            </w:pPr>
            <w:r>
              <w:rPr>
                <w:color w:val="auto"/>
                <w:sz w:val="24"/>
                <w:szCs w:val="24"/>
              </w:rPr>
              <w:t>《工业企业厂界环境噪声排放标准》（GB12348-2008）中3类标准</w:t>
            </w:r>
          </w:p>
        </w:tc>
      </w:tr>
      <w:tr w14:paraId="6D0605B9">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517" w:hRule="atLeast"/>
          <w:jc w:val="center"/>
        </w:trPr>
        <w:tc>
          <w:tcPr>
            <w:tcW w:w="1200" w:type="dxa"/>
            <w:tcBorders>
              <w:tl2br w:val="nil"/>
              <w:tr2bl w:val="nil"/>
            </w:tcBorders>
            <w:vAlign w:val="center"/>
          </w:tcPr>
          <w:p w14:paraId="031A63AA">
            <w:pPr>
              <w:adjustRightInd w:val="0"/>
              <w:snapToGrid w:val="0"/>
              <w:jc w:val="center"/>
              <w:rPr>
                <w:color w:val="auto"/>
                <w:sz w:val="24"/>
                <w:szCs w:val="24"/>
              </w:rPr>
            </w:pPr>
            <w:r>
              <w:rPr>
                <w:color w:val="auto"/>
                <w:sz w:val="24"/>
                <w:szCs w:val="24"/>
              </w:rPr>
              <w:t>电磁辐射</w:t>
            </w:r>
          </w:p>
        </w:tc>
        <w:tc>
          <w:tcPr>
            <w:tcW w:w="7860" w:type="dxa"/>
            <w:gridSpan w:val="4"/>
            <w:tcBorders>
              <w:tl2br w:val="nil"/>
              <w:tr2bl w:val="nil"/>
            </w:tcBorders>
            <w:vAlign w:val="center"/>
          </w:tcPr>
          <w:p w14:paraId="266E3578">
            <w:pPr>
              <w:adjustRightInd w:val="0"/>
              <w:snapToGrid w:val="0"/>
              <w:jc w:val="center"/>
              <w:rPr>
                <w:color w:val="auto"/>
                <w:sz w:val="24"/>
                <w:szCs w:val="24"/>
              </w:rPr>
            </w:pPr>
            <w:r>
              <w:rPr>
                <w:color w:val="auto"/>
                <w:sz w:val="24"/>
                <w:szCs w:val="24"/>
              </w:rPr>
              <w:t>无</w:t>
            </w:r>
          </w:p>
        </w:tc>
      </w:tr>
      <w:tr w14:paraId="494C42BA">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781" w:hRule="atLeast"/>
          <w:jc w:val="center"/>
        </w:trPr>
        <w:tc>
          <w:tcPr>
            <w:tcW w:w="1200" w:type="dxa"/>
            <w:tcBorders>
              <w:tl2br w:val="nil"/>
              <w:tr2bl w:val="nil"/>
            </w:tcBorders>
            <w:vAlign w:val="center"/>
          </w:tcPr>
          <w:p w14:paraId="1B1685D7">
            <w:pPr>
              <w:adjustRightInd w:val="0"/>
              <w:snapToGrid w:val="0"/>
              <w:jc w:val="center"/>
              <w:rPr>
                <w:color w:val="auto"/>
                <w:sz w:val="24"/>
                <w:szCs w:val="24"/>
              </w:rPr>
            </w:pPr>
            <w:r>
              <w:rPr>
                <w:color w:val="auto"/>
                <w:sz w:val="24"/>
                <w:szCs w:val="24"/>
              </w:rPr>
              <w:t>固体废物</w:t>
            </w:r>
          </w:p>
        </w:tc>
        <w:tc>
          <w:tcPr>
            <w:tcW w:w="7860" w:type="dxa"/>
            <w:gridSpan w:val="4"/>
            <w:tcBorders>
              <w:tl2br w:val="nil"/>
              <w:tr2bl w:val="nil"/>
            </w:tcBorders>
            <w:vAlign w:val="center"/>
          </w:tcPr>
          <w:p w14:paraId="7A8D5CC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left"/>
              <w:textAlignment w:val="auto"/>
              <w:rPr>
                <w:rFonts w:hint="eastAsia"/>
                <w:color w:val="auto"/>
                <w:sz w:val="24"/>
                <w:szCs w:val="24"/>
                <w:lang w:val="en-US" w:eastAsia="zh-CN"/>
              </w:rPr>
            </w:pPr>
            <w:r>
              <w:rPr>
                <w:rFonts w:hint="eastAsia"/>
                <w:color w:val="auto"/>
                <w:sz w:val="24"/>
                <w:szCs w:val="24"/>
                <w:lang w:val="en-US" w:eastAsia="zh-CN"/>
              </w:rPr>
              <w:t>①生活垃圾：厂区内设置生活垃圾桶，统一收集后由环卫部门每日清运处理。</w:t>
            </w:r>
          </w:p>
          <w:p w14:paraId="4A4F74C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color w:val="auto"/>
                <w:sz w:val="24"/>
                <w:szCs w:val="24"/>
                <w:lang w:val="en-US" w:eastAsia="zh-CN"/>
              </w:rPr>
            </w:pPr>
            <w:r>
              <w:rPr>
                <w:rFonts w:hint="eastAsia"/>
                <w:color w:val="auto"/>
                <w:sz w:val="24"/>
                <w:szCs w:val="24"/>
                <w:lang w:val="en-US" w:eastAsia="zh-CN"/>
              </w:rPr>
              <w:t>②一般工业性固体废物：一般固废外售相关企业综合利用。一般固废暂存库面积130m³，按《一般工业固体废物贮存和填埋污染控制标准》(GB18599-2020)中标准要求进行建设。</w:t>
            </w:r>
          </w:p>
          <w:p w14:paraId="177DA01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olor w:val="auto"/>
                <w:sz w:val="24"/>
                <w:szCs w:val="24"/>
                <w:lang w:val="en-US" w:eastAsia="zh-CN"/>
              </w:rPr>
            </w:pPr>
            <w:r>
              <w:rPr>
                <w:rFonts w:hint="eastAsia"/>
                <w:color w:val="auto"/>
                <w:sz w:val="24"/>
                <w:szCs w:val="24"/>
                <w:lang w:val="en-US" w:eastAsia="zh-CN"/>
              </w:rPr>
              <w:t>③危险固体废物：危险废物分类收集后暂存于危废贮存库内，委托有资质单位定期处置。</w:t>
            </w:r>
          </w:p>
          <w:p w14:paraId="4A1957D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color w:val="auto"/>
                <w:sz w:val="24"/>
                <w:szCs w:val="24"/>
              </w:rPr>
            </w:pPr>
            <w:r>
              <w:rPr>
                <w:rFonts w:hint="eastAsia"/>
                <w:color w:val="auto"/>
                <w:sz w:val="24"/>
                <w:szCs w:val="24"/>
                <w:lang w:val="en-US" w:eastAsia="zh-CN"/>
              </w:rPr>
              <w:t>危废贮存库面积125m</w:t>
            </w:r>
            <w:r>
              <w:rPr>
                <w:rFonts w:hint="eastAsia"/>
                <w:color w:val="auto"/>
                <w:sz w:val="24"/>
                <w:szCs w:val="24"/>
                <w:vertAlign w:val="superscript"/>
                <w:lang w:val="en-US" w:eastAsia="zh-CN"/>
              </w:rPr>
              <w:t>2</w:t>
            </w:r>
            <w:r>
              <w:rPr>
                <w:rFonts w:hint="eastAsia"/>
                <w:color w:val="auto"/>
                <w:sz w:val="24"/>
                <w:szCs w:val="24"/>
                <w:lang w:val="en-US" w:eastAsia="zh-CN"/>
              </w:rPr>
              <w:t>，按《危险废物贮存污染控制标准》(GB18597-2023)要求进行建设；危废贮存库运行按照《危险废物贮存污染控制标准》(GB18597-2023)的规定执行；危险废物识别标志的设置按照《危险废物识别标志设置技术规范》（HJ1276-2022）的规定执行；危险废物管理计划和台账制定按照《危险废物管理计划和台账制定技术导则》（HJ1259-2022）的规定执行。</w:t>
            </w:r>
          </w:p>
        </w:tc>
      </w:tr>
      <w:tr w14:paraId="71457163">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606" w:hRule="atLeast"/>
          <w:jc w:val="center"/>
        </w:trPr>
        <w:tc>
          <w:tcPr>
            <w:tcW w:w="1200" w:type="dxa"/>
            <w:tcBorders>
              <w:tl2br w:val="nil"/>
              <w:tr2bl w:val="nil"/>
            </w:tcBorders>
            <w:vAlign w:val="center"/>
          </w:tcPr>
          <w:p w14:paraId="0DA8AF11">
            <w:pPr>
              <w:adjustRightInd w:val="0"/>
              <w:snapToGrid w:val="0"/>
              <w:jc w:val="center"/>
              <w:rPr>
                <w:color w:val="auto"/>
                <w:sz w:val="24"/>
                <w:szCs w:val="24"/>
              </w:rPr>
            </w:pPr>
            <w:r>
              <w:rPr>
                <w:color w:val="auto"/>
                <w:sz w:val="24"/>
                <w:szCs w:val="24"/>
              </w:rPr>
              <w:t>土壤及地下水污染防治措施</w:t>
            </w:r>
          </w:p>
        </w:tc>
        <w:tc>
          <w:tcPr>
            <w:tcW w:w="7860" w:type="dxa"/>
            <w:gridSpan w:val="4"/>
            <w:tcBorders>
              <w:tl2br w:val="nil"/>
              <w:tr2bl w:val="nil"/>
            </w:tcBorders>
            <w:vAlign w:val="center"/>
          </w:tcPr>
          <w:p w14:paraId="7A5D88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hint="eastAsia"/>
                <w:color w:val="auto"/>
                <w:sz w:val="24"/>
                <w:szCs w:val="24"/>
              </w:rPr>
              <w:t>企业需按照环评要求做好地面硬化和分区防渗、固废收集处置，并定期巡查防止事故发生。</w:t>
            </w:r>
          </w:p>
        </w:tc>
      </w:tr>
      <w:tr w14:paraId="556A83EE">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550" w:hRule="atLeast"/>
          <w:jc w:val="center"/>
        </w:trPr>
        <w:tc>
          <w:tcPr>
            <w:tcW w:w="1200" w:type="dxa"/>
            <w:tcBorders>
              <w:tl2br w:val="nil"/>
              <w:tr2bl w:val="nil"/>
            </w:tcBorders>
            <w:vAlign w:val="center"/>
          </w:tcPr>
          <w:p w14:paraId="101BCAE5">
            <w:pPr>
              <w:adjustRightInd w:val="0"/>
              <w:snapToGrid w:val="0"/>
              <w:jc w:val="center"/>
              <w:rPr>
                <w:color w:val="auto"/>
                <w:sz w:val="24"/>
                <w:szCs w:val="24"/>
              </w:rPr>
            </w:pPr>
            <w:r>
              <w:rPr>
                <w:color w:val="auto"/>
                <w:sz w:val="24"/>
                <w:szCs w:val="24"/>
              </w:rPr>
              <w:t>生态保护措施</w:t>
            </w:r>
          </w:p>
        </w:tc>
        <w:tc>
          <w:tcPr>
            <w:tcW w:w="7860" w:type="dxa"/>
            <w:gridSpan w:val="4"/>
            <w:tcBorders>
              <w:tl2br w:val="nil"/>
              <w:tr2bl w:val="nil"/>
            </w:tcBorders>
            <w:vAlign w:val="center"/>
          </w:tcPr>
          <w:p w14:paraId="1543644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无</w:t>
            </w:r>
          </w:p>
        </w:tc>
      </w:tr>
      <w:tr w14:paraId="3299384F">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626" w:hRule="atLeast"/>
          <w:jc w:val="center"/>
        </w:trPr>
        <w:tc>
          <w:tcPr>
            <w:tcW w:w="1200" w:type="dxa"/>
            <w:tcBorders>
              <w:tl2br w:val="nil"/>
              <w:tr2bl w:val="nil"/>
            </w:tcBorders>
            <w:vAlign w:val="center"/>
          </w:tcPr>
          <w:p w14:paraId="72542BA2">
            <w:pPr>
              <w:adjustRightInd w:val="0"/>
              <w:snapToGrid w:val="0"/>
              <w:jc w:val="center"/>
              <w:rPr>
                <w:color w:val="auto"/>
                <w:spacing w:val="-8"/>
                <w:sz w:val="24"/>
                <w:szCs w:val="24"/>
              </w:rPr>
            </w:pPr>
            <w:r>
              <w:rPr>
                <w:color w:val="auto"/>
                <w:spacing w:val="-8"/>
                <w:sz w:val="24"/>
                <w:szCs w:val="24"/>
              </w:rPr>
              <w:t>环境风险</w:t>
            </w:r>
          </w:p>
          <w:p w14:paraId="221ACE74">
            <w:pPr>
              <w:adjustRightInd w:val="0"/>
              <w:snapToGrid w:val="0"/>
              <w:jc w:val="center"/>
              <w:rPr>
                <w:color w:val="auto"/>
                <w:spacing w:val="-8"/>
                <w:sz w:val="24"/>
                <w:szCs w:val="24"/>
              </w:rPr>
            </w:pPr>
            <w:r>
              <w:rPr>
                <w:color w:val="auto"/>
                <w:spacing w:val="-8"/>
                <w:sz w:val="24"/>
                <w:szCs w:val="24"/>
              </w:rPr>
              <w:t>防范措施</w:t>
            </w:r>
          </w:p>
        </w:tc>
        <w:tc>
          <w:tcPr>
            <w:tcW w:w="7860" w:type="dxa"/>
            <w:gridSpan w:val="4"/>
            <w:tcBorders>
              <w:tl2br w:val="nil"/>
              <w:tr2bl w:val="nil"/>
            </w:tcBorders>
            <w:vAlign w:val="center"/>
          </w:tcPr>
          <w:p w14:paraId="6EAF6D8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sz w:val="24"/>
                <w:szCs w:val="24"/>
              </w:rPr>
            </w:pPr>
            <w:r>
              <w:rPr>
                <w:rFonts w:hint="eastAsia"/>
                <w:color w:val="auto"/>
                <w:sz w:val="24"/>
                <w:szCs w:val="24"/>
              </w:rPr>
              <w:t>（1）泄漏风险防范措施</w:t>
            </w:r>
          </w:p>
          <w:p w14:paraId="2E41966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sz w:val="24"/>
                <w:szCs w:val="24"/>
              </w:rPr>
            </w:pPr>
            <w:r>
              <w:rPr>
                <w:rFonts w:hint="eastAsia"/>
                <w:color w:val="auto"/>
                <w:sz w:val="24"/>
                <w:szCs w:val="24"/>
              </w:rPr>
              <w:t>1、原料仓库、危废间采取耐腐蚀的硬化地面等防范措施，同时</w:t>
            </w:r>
            <w:r>
              <w:rPr>
                <w:rFonts w:hint="eastAsia"/>
                <w:color w:val="auto"/>
                <w:sz w:val="24"/>
                <w:szCs w:val="24"/>
                <w:lang w:val="en-US" w:eastAsia="zh-CN"/>
              </w:rPr>
              <w:t>确</w:t>
            </w:r>
            <w:r>
              <w:rPr>
                <w:rFonts w:hint="eastAsia"/>
                <w:color w:val="auto"/>
                <w:sz w:val="24"/>
                <w:szCs w:val="24"/>
              </w:rPr>
              <w:t>保DOP增塑剂</w:t>
            </w:r>
            <w:r>
              <w:rPr>
                <w:rFonts w:hint="eastAsia"/>
                <w:color w:val="auto"/>
                <w:sz w:val="24"/>
                <w:szCs w:val="24"/>
                <w:lang w:eastAsia="zh-CN"/>
              </w:rPr>
              <w:t>、</w:t>
            </w:r>
            <w:r>
              <w:rPr>
                <w:rFonts w:hint="eastAsia"/>
                <w:color w:val="auto"/>
                <w:sz w:val="24"/>
                <w:szCs w:val="24"/>
              </w:rPr>
              <w:t>液压油</w:t>
            </w:r>
            <w:r>
              <w:rPr>
                <w:rFonts w:hint="eastAsia"/>
                <w:color w:val="auto"/>
                <w:sz w:val="24"/>
                <w:szCs w:val="24"/>
                <w:lang w:eastAsia="zh-CN"/>
              </w:rPr>
              <w:t>、</w:t>
            </w:r>
            <w:r>
              <w:rPr>
                <w:rFonts w:hint="eastAsia"/>
                <w:color w:val="auto"/>
                <w:sz w:val="24"/>
                <w:szCs w:val="24"/>
                <w:lang w:val="en-US" w:eastAsia="zh-CN"/>
              </w:rPr>
              <w:t>三乙胺</w:t>
            </w:r>
            <w:r>
              <w:rPr>
                <w:rFonts w:hint="eastAsia"/>
                <w:color w:val="auto"/>
                <w:sz w:val="24"/>
                <w:szCs w:val="24"/>
              </w:rPr>
              <w:t>等包装桶的完整性，并放置在托盘上，确保一旦发生包装桶破损泄漏，可及时收集截留。</w:t>
            </w:r>
          </w:p>
          <w:p w14:paraId="7D111A6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sz w:val="24"/>
                <w:szCs w:val="24"/>
              </w:rPr>
            </w:pPr>
            <w:r>
              <w:rPr>
                <w:rFonts w:hint="eastAsia"/>
                <w:color w:val="auto"/>
                <w:sz w:val="24"/>
                <w:szCs w:val="24"/>
              </w:rPr>
              <w:t>2、生产车间安装</w:t>
            </w:r>
            <w:r>
              <w:rPr>
                <w:rFonts w:hint="eastAsia"/>
                <w:color w:val="auto"/>
                <w:sz w:val="24"/>
                <w:szCs w:val="24"/>
                <w:lang w:val="en-US" w:eastAsia="zh-CN"/>
              </w:rPr>
              <w:t>可燃气体</w:t>
            </w:r>
            <w:r>
              <w:rPr>
                <w:rFonts w:hint="eastAsia"/>
                <w:color w:val="auto"/>
                <w:sz w:val="24"/>
                <w:szCs w:val="24"/>
              </w:rPr>
              <w:t>报警仪。</w:t>
            </w:r>
          </w:p>
          <w:p w14:paraId="2CA54F6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sz w:val="24"/>
                <w:szCs w:val="24"/>
              </w:rPr>
            </w:pPr>
            <w:r>
              <w:rPr>
                <w:rFonts w:hint="eastAsia"/>
                <w:color w:val="auto"/>
                <w:sz w:val="24"/>
                <w:szCs w:val="24"/>
              </w:rPr>
              <w:t>（2）火灾事故风险防范措施</w:t>
            </w:r>
          </w:p>
          <w:p w14:paraId="220F0A4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sz w:val="24"/>
                <w:szCs w:val="24"/>
              </w:rPr>
            </w:pPr>
            <w:r>
              <w:rPr>
                <w:rFonts w:hint="eastAsia"/>
                <w:color w:val="auto"/>
                <w:sz w:val="24"/>
                <w:szCs w:val="24"/>
              </w:rPr>
              <w:t>1、配备消防器材，做好防火，严禁在生产车间和危废暂存间吸烟、动用明火。</w:t>
            </w:r>
          </w:p>
          <w:p w14:paraId="796F017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sz w:val="24"/>
                <w:szCs w:val="24"/>
              </w:rPr>
            </w:pPr>
            <w:r>
              <w:rPr>
                <w:rFonts w:hint="eastAsia"/>
                <w:color w:val="auto"/>
                <w:sz w:val="24"/>
                <w:szCs w:val="24"/>
              </w:rPr>
              <w:t>2、进行职工安全教育，提高职工安全环保意识，提高技术素质，消除主客观危害因素。</w:t>
            </w:r>
          </w:p>
          <w:p w14:paraId="16C5CA7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olor w:val="auto"/>
                <w:sz w:val="24"/>
                <w:szCs w:val="24"/>
                <w:lang w:val="en-US" w:eastAsia="zh-CN"/>
              </w:rPr>
            </w:pPr>
            <w:r>
              <w:rPr>
                <w:rFonts w:hint="eastAsia"/>
                <w:color w:val="auto"/>
                <w:sz w:val="24"/>
                <w:szCs w:val="24"/>
                <w:lang w:val="en-US" w:eastAsia="zh-CN"/>
              </w:rPr>
              <w:t>3、厂区建设不小于133.9m³事故应急池，厂区雨水排放口设切换阀门。</w:t>
            </w:r>
          </w:p>
          <w:p w14:paraId="4199924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color w:val="auto"/>
                <w:sz w:val="24"/>
                <w:szCs w:val="24"/>
                <w:lang w:val="en-US" w:eastAsia="zh-CN"/>
              </w:rPr>
            </w:pPr>
            <w:r>
              <w:rPr>
                <w:rFonts w:hint="eastAsia"/>
                <w:color w:val="auto"/>
                <w:sz w:val="24"/>
                <w:szCs w:val="24"/>
              </w:rPr>
              <w:t>（</w:t>
            </w:r>
            <w:r>
              <w:rPr>
                <w:rFonts w:hint="eastAsia"/>
                <w:color w:val="auto"/>
                <w:sz w:val="24"/>
                <w:szCs w:val="24"/>
                <w:lang w:val="en-US" w:eastAsia="zh-CN"/>
              </w:rPr>
              <w:t>3</w:t>
            </w:r>
            <w:r>
              <w:rPr>
                <w:rFonts w:hint="eastAsia"/>
                <w:color w:val="auto"/>
                <w:sz w:val="24"/>
                <w:szCs w:val="24"/>
              </w:rPr>
              <w:t>）建立健全环境风险防控体系，制定突发环境事件应急预案</w:t>
            </w:r>
            <w:r>
              <w:rPr>
                <w:rFonts w:hint="eastAsia"/>
                <w:color w:val="auto"/>
                <w:sz w:val="24"/>
                <w:szCs w:val="24"/>
                <w:lang w:val="en-US" w:eastAsia="zh-CN"/>
              </w:rPr>
              <w:t>并上报主管部门备案</w:t>
            </w:r>
            <w:r>
              <w:rPr>
                <w:rFonts w:hint="eastAsia"/>
                <w:color w:val="auto"/>
                <w:sz w:val="24"/>
                <w:szCs w:val="24"/>
              </w:rPr>
              <w:t>，成立应急组织机构，防止在处理安全生产事故过程中产生的可能严重污染水体的消防废水、废液直接排入水体。</w:t>
            </w:r>
          </w:p>
        </w:tc>
      </w:tr>
      <w:tr w14:paraId="7B782704">
        <w:tblPrEx>
          <w:tblBorders>
            <w:top w:val="single" w:color="auto" w:sz="8" w:space="0"/>
            <w:left w:val="single" w:color="auto" w:sz="8" w:space="0"/>
            <w:bottom w:val="single" w:color="auto" w:sz="8" w:space="0"/>
            <w:right w:val="single" w:color="auto" w:sz="8" w:space="0"/>
            <w:insideH w:val="single" w:color="auto" w:sz="6" w:space="0"/>
            <w:insideV w:val="single" w:color="auto" w:sz="4" w:space="0"/>
          </w:tblBorders>
          <w:tblCellMar>
            <w:top w:w="0" w:type="dxa"/>
            <w:left w:w="108" w:type="dxa"/>
            <w:bottom w:w="0" w:type="dxa"/>
            <w:right w:w="108" w:type="dxa"/>
          </w:tblCellMar>
        </w:tblPrEx>
        <w:trPr>
          <w:trHeight w:val="660" w:hRule="atLeast"/>
          <w:jc w:val="center"/>
        </w:trPr>
        <w:tc>
          <w:tcPr>
            <w:tcW w:w="1200" w:type="dxa"/>
            <w:tcBorders>
              <w:tl2br w:val="nil"/>
              <w:tr2bl w:val="nil"/>
            </w:tcBorders>
            <w:vAlign w:val="center"/>
          </w:tcPr>
          <w:p w14:paraId="3B11FA27">
            <w:pPr>
              <w:adjustRightInd w:val="0"/>
              <w:snapToGrid w:val="0"/>
              <w:jc w:val="center"/>
              <w:rPr>
                <w:color w:val="auto"/>
                <w:spacing w:val="-8"/>
                <w:sz w:val="24"/>
                <w:szCs w:val="24"/>
              </w:rPr>
            </w:pPr>
            <w:r>
              <w:rPr>
                <w:color w:val="auto"/>
                <w:spacing w:val="-8"/>
                <w:sz w:val="24"/>
                <w:szCs w:val="24"/>
              </w:rPr>
              <w:t>其他环境</w:t>
            </w:r>
          </w:p>
          <w:p w14:paraId="3BB680A3">
            <w:pPr>
              <w:adjustRightInd w:val="0"/>
              <w:snapToGrid w:val="0"/>
              <w:jc w:val="center"/>
              <w:rPr>
                <w:color w:val="auto"/>
                <w:spacing w:val="-8"/>
                <w:sz w:val="21"/>
                <w:szCs w:val="21"/>
              </w:rPr>
            </w:pPr>
            <w:r>
              <w:rPr>
                <w:color w:val="auto"/>
                <w:spacing w:val="-8"/>
                <w:sz w:val="24"/>
                <w:szCs w:val="24"/>
              </w:rPr>
              <w:t>管理要求</w:t>
            </w:r>
          </w:p>
        </w:tc>
        <w:tc>
          <w:tcPr>
            <w:tcW w:w="7860" w:type="dxa"/>
            <w:gridSpan w:val="4"/>
            <w:tcBorders>
              <w:tl2br w:val="nil"/>
              <w:tr2bl w:val="nil"/>
            </w:tcBorders>
            <w:vAlign w:val="center"/>
          </w:tcPr>
          <w:p w14:paraId="6371B837">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1、排污许可手续</w:t>
            </w:r>
          </w:p>
          <w:p w14:paraId="1CB50F5E">
            <w:pPr>
              <w:adjustRightInd w:val="0"/>
              <w:snapToGrid w:val="0"/>
              <w:spacing w:line="384" w:lineRule="auto"/>
              <w:ind w:firstLine="482"/>
              <w:rPr>
                <w:color w:val="auto"/>
                <w:sz w:val="24"/>
                <w:szCs w:val="24"/>
              </w:rPr>
            </w:pPr>
            <w:r>
              <w:rPr>
                <w:rFonts w:hint="eastAsia"/>
                <w:color w:val="auto"/>
                <w:sz w:val="24"/>
                <w:szCs w:val="24"/>
              </w:rPr>
              <w:t>本项目在取得环评批复后、试运行前，应按照《排污许可管理条例》（国务院令 第736号）要求，依法办理排污许可相关手续，不得无证排污。</w:t>
            </w:r>
          </w:p>
          <w:p w14:paraId="691B4683">
            <w:pPr>
              <w:adjustRightInd w:val="0"/>
              <w:snapToGrid w:val="0"/>
              <w:spacing w:line="384" w:lineRule="auto"/>
              <w:ind w:firstLine="482"/>
              <w:rPr>
                <w:color w:val="auto"/>
                <w:sz w:val="24"/>
                <w:szCs w:val="24"/>
              </w:rPr>
            </w:pPr>
            <w:r>
              <w:rPr>
                <w:color w:val="auto"/>
                <w:sz w:val="24"/>
                <w:szCs w:val="24"/>
              </w:rPr>
              <w:t>根据《固定污染源排污许可分类管理名录(2019年版)》(生态环境部</w:t>
            </w:r>
            <w:r>
              <w:rPr>
                <w:rFonts w:hint="eastAsia"/>
                <w:color w:val="auto"/>
                <w:sz w:val="24"/>
                <w:szCs w:val="24"/>
                <w:lang w:val="en-US" w:eastAsia="zh-CN"/>
              </w:rPr>
              <w:t xml:space="preserve"> </w:t>
            </w:r>
            <w:r>
              <w:rPr>
                <w:color w:val="auto"/>
                <w:sz w:val="24"/>
                <w:szCs w:val="24"/>
              </w:rPr>
              <w:t>第11号)</w:t>
            </w:r>
            <w:r>
              <w:rPr>
                <w:rFonts w:hint="eastAsia"/>
                <w:color w:val="auto"/>
                <w:sz w:val="24"/>
                <w:szCs w:val="24"/>
                <w:lang w:eastAsia="zh-CN"/>
              </w:rPr>
              <w:t>，</w:t>
            </w:r>
            <w:r>
              <w:rPr>
                <w:rFonts w:hint="eastAsia"/>
                <w:color w:val="auto"/>
                <w:sz w:val="24"/>
                <w:szCs w:val="24"/>
                <w:lang w:val="en-US" w:eastAsia="zh-CN"/>
              </w:rPr>
              <w:t>本项目正式投入生产前应按名录及相关技术指南要求申请排污许可证</w:t>
            </w:r>
            <w:r>
              <w:rPr>
                <w:color w:val="auto"/>
                <w:sz w:val="24"/>
                <w:szCs w:val="24"/>
              </w:rPr>
              <w:t>。</w:t>
            </w:r>
          </w:p>
          <w:p w14:paraId="52CC02C2">
            <w:pPr>
              <w:pStyle w:val="82"/>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4"/>
                <w:szCs w:val="24"/>
              </w:rPr>
            </w:pPr>
            <w:r>
              <w:rPr>
                <w:rFonts w:hint="eastAsia"/>
                <w:color w:val="auto"/>
                <w:sz w:val="24"/>
                <w:szCs w:val="24"/>
              </w:rPr>
              <w:t>2、排污口规范化设置</w:t>
            </w:r>
          </w:p>
          <w:p w14:paraId="7792B66C">
            <w:pPr>
              <w:adjustRightInd w:val="0"/>
              <w:snapToGrid w:val="0"/>
              <w:spacing w:line="384" w:lineRule="auto"/>
              <w:ind w:firstLine="480" w:firstLineChars="200"/>
              <w:rPr>
                <w:color w:val="auto"/>
                <w:sz w:val="24"/>
                <w:szCs w:val="24"/>
              </w:rPr>
            </w:pPr>
            <w:r>
              <w:rPr>
                <w:rFonts w:hint="eastAsia"/>
                <w:color w:val="auto"/>
                <w:sz w:val="24"/>
                <w:szCs w:val="24"/>
              </w:rPr>
              <w:t>（1）</w:t>
            </w:r>
            <w:r>
              <w:rPr>
                <w:color w:val="auto"/>
                <w:sz w:val="24"/>
                <w:szCs w:val="24"/>
              </w:rPr>
              <w:t>废气排放口</w:t>
            </w:r>
          </w:p>
          <w:p w14:paraId="526D474B">
            <w:pPr>
              <w:adjustRightInd w:val="0"/>
              <w:snapToGrid w:val="0"/>
              <w:spacing w:line="384" w:lineRule="auto"/>
              <w:ind w:firstLine="482"/>
              <w:rPr>
                <w:color w:val="auto"/>
                <w:sz w:val="24"/>
                <w:szCs w:val="24"/>
              </w:rPr>
            </w:pPr>
            <w:r>
              <w:rPr>
                <w:color w:val="auto"/>
                <w:sz w:val="24"/>
                <w:szCs w:val="24"/>
              </w:rPr>
              <w:t>在废气排放烟囱/筒附近地面醒目处设置环保图形标志牌，标明排气筒高度、出口内径、排放污染物种类等。</w:t>
            </w:r>
          </w:p>
          <w:p w14:paraId="1431F2B4">
            <w:pPr>
              <w:numPr>
                <w:ilvl w:val="0"/>
                <w:numId w:val="0"/>
              </w:numPr>
              <w:adjustRightInd w:val="0"/>
              <w:snapToGrid w:val="0"/>
              <w:spacing w:line="384" w:lineRule="auto"/>
              <w:ind w:leftChars="200"/>
              <w:rPr>
                <w:rFonts w:hint="eastAsia"/>
                <w:color w:val="auto"/>
                <w:sz w:val="24"/>
                <w:szCs w:val="24"/>
                <w:lang w:val="en-US" w:eastAsia="zh-CN"/>
              </w:rPr>
            </w:pPr>
            <w:r>
              <w:rPr>
                <w:rFonts w:hint="eastAsia"/>
                <w:color w:val="auto"/>
                <w:sz w:val="24"/>
                <w:szCs w:val="24"/>
                <w:lang w:val="en-US" w:eastAsia="zh-CN"/>
              </w:rPr>
              <w:t>（2）规范化采样口</w:t>
            </w:r>
          </w:p>
          <w:p w14:paraId="54CE2A5E">
            <w:pPr>
              <w:adjustRightInd w:val="0"/>
              <w:snapToGrid w:val="0"/>
              <w:spacing w:line="384" w:lineRule="auto"/>
              <w:ind w:firstLine="482"/>
              <w:rPr>
                <w:rFonts w:hint="eastAsia" w:eastAsia="宋体"/>
                <w:color w:val="auto"/>
                <w:sz w:val="24"/>
                <w:szCs w:val="24"/>
                <w:lang w:val="en-US" w:eastAsia="zh-CN"/>
              </w:rPr>
            </w:pPr>
            <w:r>
              <w:rPr>
                <w:rFonts w:hint="eastAsia"/>
                <w:color w:val="auto"/>
                <w:sz w:val="24"/>
                <w:szCs w:val="24"/>
                <w:lang w:val="en-US" w:eastAsia="zh-CN"/>
              </w:rPr>
              <w:t>应根据</w:t>
            </w:r>
            <w:r>
              <w:rPr>
                <w:rFonts w:hint="default"/>
                <w:color w:val="auto"/>
                <w:sz w:val="24"/>
                <w:szCs w:val="24"/>
                <w:lang w:val="en-US" w:eastAsia="zh-CN"/>
              </w:rPr>
              <w:t>《固定源废气监测技术规范》（HJ/T 397-2007）和《排污单位污染物排放口监测点位设置技术规范》（HJ 1405-2024）</w:t>
            </w:r>
            <w:r>
              <w:rPr>
                <w:rFonts w:hint="eastAsia"/>
                <w:color w:val="auto"/>
                <w:sz w:val="24"/>
                <w:szCs w:val="24"/>
                <w:lang w:val="en-US" w:eastAsia="zh-CN"/>
              </w:rPr>
              <w:t>等要求，</w:t>
            </w:r>
            <w:r>
              <w:rPr>
                <w:color w:val="auto"/>
                <w:sz w:val="24"/>
                <w:szCs w:val="24"/>
              </w:rPr>
              <w:t>应设置便于采样、监测的永久性采样口和采样监测平台</w:t>
            </w:r>
            <w:r>
              <w:rPr>
                <w:rFonts w:hint="eastAsia"/>
                <w:color w:val="auto"/>
                <w:sz w:val="24"/>
                <w:szCs w:val="24"/>
                <w:lang w:eastAsia="zh-CN"/>
              </w:rPr>
              <w:t>。</w:t>
            </w:r>
          </w:p>
          <w:p w14:paraId="4554DE0A">
            <w:pPr>
              <w:adjustRightInd w:val="0"/>
              <w:snapToGrid w:val="0"/>
              <w:spacing w:line="384" w:lineRule="auto"/>
              <w:ind w:firstLine="482"/>
              <w:rPr>
                <w:color w:val="auto"/>
                <w:sz w:val="24"/>
                <w:szCs w:val="24"/>
              </w:rPr>
            </w:pPr>
            <w:r>
              <w:rPr>
                <w:rFonts w:hint="eastAsia"/>
                <w:color w:val="auto"/>
                <w:sz w:val="24"/>
                <w:szCs w:val="24"/>
              </w:rPr>
              <w:t>（</w:t>
            </w:r>
            <w:r>
              <w:rPr>
                <w:rFonts w:hint="eastAsia"/>
                <w:color w:val="auto"/>
                <w:sz w:val="24"/>
                <w:szCs w:val="24"/>
                <w:lang w:val="en-US" w:eastAsia="zh-CN"/>
              </w:rPr>
              <w:t>3</w:t>
            </w:r>
            <w:r>
              <w:rPr>
                <w:rFonts w:hint="eastAsia"/>
                <w:color w:val="auto"/>
                <w:sz w:val="24"/>
                <w:szCs w:val="24"/>
              </w:rPr>
              <w:t>）</w:t>
            </w:r>
            <w:r>
              <w:rPr>
                <w:color w:val="auto"/>
                <w:sz w:val="24"/>
                <w:szCs w:val="24"/>
              </w:rPr>
              <w:t>固体废物贮存（处置）场</w:t>
            </w:r>
          </w:p>
          <w:p w14:paraId="63D6FEA5">
            <w:pPr>
              <w:adjustRightInd w:val="0"/>
              <w:snapToGrid w:val="0"/>
              <w:spacing w:line="384" w:lineRule="auto"/>
              <w:ind w:firstLine="482"/>
              <w:rPr>
                <w:color w:val="auto"/>
                <w:sz w:val="24"/>
                <w:szCs w:val="24"/>
              </w:rPr>
            </w:pPr>
            <w:r>
              <w:rPr>
                <w:color w:val="auto"/>
                <w:sz w:val="24"/>
                <w:szCs w:val="24"/>
              </w:rPr>
              <w:t>固体废物堆放场所，必须有防渗漏、防淋雨、防火、防腐蚀、防流失等措施，并应设置标志牌。</w:t>
            </w:r>
          </w:p>
          <w:p w14:paraId="49F3F80D">
            <w:pPr>
              <w:adjustRightInd w:val="0"/>
              <w:snapToGrid w:val="0"/>
              <w:spacing w:line="384" w:lineRule="auto"/>
              <w:ind w:firstLine="482"/>
              <w:rPr>
                <w:color w:val="auto"/>
                <w:sz w:val="24"/>
                <w:szCs w:val="24"/>
              </w:rPr>
            </w:pPr>
            <w:r>
              <w:rPr>
                <w:rFonts w:hint="eastAsia"/>
                <w:color w:val="auto"/>
                <w:sz w:val="24"/>
                <w:szCs w:val="24"/>
              </w:rPr>
              <w:t>（</w:t>
            </w:r>
            <w:r>
              <w:rPr>
                <w:rFonts w:hint="eastAsia"/>
                <w:color w:val="auto"/>
                <w:sz w:val="24"/>
                <w:szCs w:val="24"/>
                <w:lang w:val="en-US" w:eastAsia="zh-CN"/>
              </w:rPr>
              <w:t>4</w:t>
            </w:r>
            <w:r>
              <w:rPr>
                <w:rFonts w:hint="eastAsia"/>
                <w:color w:val="auto"/>
                <w:sz w:val="24"/>
                <w:szCs w:val="24"/>
              </w:rPr>
              <w:t>）</w:t>
            </w:r>
            <w:r>
              <w:rPr>
                <w:color w:val="auto"/>
                <w:sz w:val="24"/>
                <w:szCs w:val="24"/>
              </w:rPr>
              <w:t>环境保护图形标志</w:t>
            </w:r>
          </w:p>
          <w:p w14:paraId="2F7FEB15">
            <w:pPr>
              <w:adjustRightInd w:val="0"/>
              <w:snapToGrid w:val="0"/>
              <w:spacing w:line="384" w:lineRule="auto"/>
              <w:ind w:firstLine="482"/>
              <w:rPr>
                <w:color w:val="auto"/>
                <w:sz w:val="24"/>
                <w:szCs w:val="24"/>
              </w:rPr>
            </w:pPr>
            <w:r>
              <w:rPr>
                <w:color w:val="auto"/>
                <w:sz w:val="24"/>
                <w:szCs w:val="24"/>
              </w:rPr>
              <w:t>在厂区的</w:t>
            </w:r>
            <w:r>
              <w:rPr>
                <w:rFonts w:hint="eastAsia"/>
                <w:color w:val="auto"/>
                <w:sz w:val="24"/>
                <w:szCs w:val="24"/>
              </w:rPr>
              <w:t>废水</w:t>
            </w:r>
            <w:r>
              <w:rPr>
                <w:color w:val="auto"/>
                <w:sz w:val="24"/>
                <w:szCs w:val="24"/>
              </w:rPr>
              <w:t>排放口、废气排放</w:t>
            </w:r>
            <w:r>
              <w:rPr>
                <w:rFonts w:hint="eastAsia"/>
                <w:color w:val="auto"/>
                <w:sz w:val="24"/>
                <w:szCs w:val="24"/>
              </w:rPr>
              <w:t>口</w:t>
            </w:r>
            <w:r>
              <w:rPr>
                <w:color w:val="auto"/>
                <w:sz w:val="24"/>
                <w:szCs w:val="24"/>
              </w:rPr>
              <w:t>、</w:t>
            </w:r>
            <w:r>
              <w:rPr>
                <w:rFonts w:hint="eastAsia"/>
                <w:color w:val="auto"/>
                <w:sz w:val="24"/>
                <w:szCs w:val="24"/>
              </w:rPr>
              <w:t>噪声</w:t>
            </w:r>
            <w:r>
              <w:rPr>
                <w:color w:val="auto"/>
                <w:sz w:val="24"/>
                <w:szCs w:val="24"/>
              </w:rPr>
              <w:t>源强处、固体废物贮存处置场应设置环境保护图形标志，图形符号分为提示图形和警告图形符号两种，分别按GB15562.1-1995、GB15562.2-1995</w:t>
            </w:r>
            <w:r>
              <w:rPr>
                <w:rFonts w:hint="eastAsia"/>
                <w:color w:val="auto"/>
                <w:sz w:val="24"/>
                <w:szCs w:val="24"/>
              </w:rPr>
              <w:t>及其修改单</w:t>
            </w:r>
            <w:r>
              <w:rPr>
                <w:color w:val="auto"/>
                <w:sz w:val="24"/>
                <w:szCs w:val="24"/>
              </w:rPr>
              <w:t>执行。环境保护图形标志的形状及颜色见</w:t>
            </w:r>
            <w:r>
              <w:rPr>
                <w:rFonts w:hint="eastAsia"/>
                <w:color w:val="auto"/>
                <w:sz w:val="24"/>
                <w:szCs w:val="24"/>
              </w:rPr>
              <w:t>下</w:t>
            </w:r>
            <w:r>
              <w:rPr>
                <w:color w:val="auto"/>
                <w:sz w:val="24"/>
                <w:szCs w:val="24"/>
              </w:rPr>
              <w:t>表。</w:t>
            </w:r>
          </w:p>
          <w:p w14:paraId="596A4EBB">
            <w:pPr>
              <w:pStyle w:val="76"/>
              <w:rPr>
                <w:color w:val="auto"/>
                <w:sz w:val="24"/>
                <w:szCs w:val="24"/>
              </w:rPr>
            </w:pPr>
            <w:r>
              <w:rPr>
                <w:color w:val="auto"/>
                <w:sz w:val="24"/>
                <w:szCs w:val="24"/>
              </w:rPr>
              <w:t>表</w:t>
            </w:r>
            <w:r>
              <w:rPr>
                <w:rFonts w:hint="eastAsia"/>
                <w:color w:val="auto"/>
                <w:sz w:val="24"/>
                <w:szCs w:val="24"/>
              </w:rPr>
              <w:t>5-</w:t>
            </w:r>
            <w:r>
              <w:rPr>
                <w:rFonts w:hint="eastAsia"/>
                <w:color w:val="auto"/>
                <w:sz w:val="24"/>
                <w:szCs w:val="24"/>
                <w:lang w:val="en-US" w:eastAsia="zh-CN"/>
              </w:rPr>
              <w:t xml:space="preserve">1 </w:t>
            </w:r>
            <w:r>
              <w:rPr>
                <w:color w:val="auto"/>
                <w:sz w:val="24"/>
                <w:szCs w:val="24"/>
              </w:rPr>
              <w:t xml:space="preserve"> 环境保护图形标志的形状及颜色表</w:t>
            </w:r>
          </w:p>
          <w:tbl>
            <w:tblPr>
              <w:tblStyle w:val="29"/>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11"/>
              <w:gridCol w:w="1911"/>
              <w:gridCol w:w="1911"/>
              <w:gridCol w:w="1911"/>
            </w:tblGrid>
            <w:tr w14:paraId="0BE8679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50" w:type="pct"/>
                  <w:tcBorders>
                    <w:top w:val="single" w:color="auto" w:sz="12" w:space="0"/>
                    <w:bottom w:val="single" w:color="auto" w:sz="4" w:space="0"/>
                    <w:right w:val="single" w:color="auto" w:sz="4" w:space="0"/>
                  </w:tcBorders>
                  <w:vAlign w:val="center"/>
                </w:tcPr>
                <w:p w14:paraId="5E5B4E6C">
                  <w:pPr>
                    <w:adjustRightInd w:val="0"/>
                    <w:snapToGrid w:val="0"/>
                    <w:jc w:val="center"/>
                    <w:rPr>
                      <w:b/>
                      <w:bCs/>
                      <w:snapToGrid w:val="0"/>
                      <w:color w:val="auto"/>
                      <w:kern w:val="0"/>
                      <w:sz w:val="18"/>
                      <w:szCs w:val="18"/>
                    </w:rPr>
                  </w:pPr>
                  <w:r>
                    <w:rPr>
                      <w:b/>
                      <w:bCs/>
                      <w:snapToGrid w:val="0"/>
                      <w:color w:val="auto"/>
                      <w:kern w:val="0"/>
                      <w:sz w:val="18"/>
                      <w:szCs w:val="18"/>
                    </w:rPr>
                    <w:t>标志名称</w:t>
                  </w:r>
                </w:p>
              </w:tc>
              <w:tc>
                <w:tcPr>
                  <w:tcW w:w="1250" w:type="pct"/>
                  <w:tcBorders>
                    <w:top w:val="single" w:color="auto" w:sz="12" w:space="0"/>
                    <w:left w:val="single" w:color="auto" w:sz="4" w:space="0"/>
                    <w:bottom w:val="single" w:color="auto" w:sz="4" w:space="0"/>
                    <w:right w:val="single" w:color="auto" w:sz="4" w:space="0"/>
                  </w:tcBorders>
                  <w:vAlign w:val="center"/>
                </w:tcPr>
                <w:p w14:paraId="6FDC740D">
                  <w:pPr>
                    <w:adjustRightInd w:val="0"/>
                    <w:snapToGrid w:val="0"/>
                    <w:jc w:val="center"/>
                    <w:rPr>
                      <w:b/>
                      <w:bCs/>
                      <w:snapToGrid w:val="0"/>
                      <w:color w:val="auto"/>
                      <w:kern w:val="0"/>
                      <w:sz w:val="18"/>
                      <w:szCs w:val="18"/>
                    </w:rPr>
                  </w:pPr>
                  <w:r>
                    <w:rPr>
                      <w:b/>
                      <w:bCs/>
                      <w:snapToGrid w:val="0"/>
                      <w:color w:val="auto"/>
                      <w:kern w:val="0"/>
                      <w:sz w:val="18"/>
                      <w:szCs w:val="18"/>
                    </w:rPr>
                    <w:t>形状</w:t>
                  </w:r>
                </w:p>
              </w:tc>
              <w:tc>
                <w:tcPr>
                  <w:tcW w:w="1250" w:type="pct"/>
                  <w:tcBorders>
                    <w:top w:val="single" w:color="auto" w:sz="12" w:space="0"/>
                    <w:left w:val="single" w:color="auto" w:sz="4" w:space="0"/>
                    <w:bottom w:val="single" w:color="auto" w:sz="4" w:space="0"/>
                    <w:right w:val="single" w:color="auto" w:sz="4" w:space="0"/>
                  </w:tcBorders>
                  <w:vAlign w:val="center"/>
                </w:tcPr>
                <w:p w14:paraId="775D095C">
                  <w:pPr>
                    <w:adjustRightInd w:val="0"/>
                    <w:snapToGrid w:val="0"/>
                    <w:jc w:val="center"/>
                    <w:rPr>
                      <w:b/>
                      <w:bCs/>
                      <w:snapToGrid w:val="0"/>
                      <w:color w:val="auto"/>
                      <w:kern w:val="0"/>
                      <w:sz w:val="18"/>
                      <w:szCs w:val="18"/>
                    </w:rPr>
                  </w:pPr>
                  <w:r>
                    <w:rPr>
                      <w:b/>
                      <w:bCs/>
                      <w:snapToGrid w:val="0"/>
                      <w:color w:val="auto"/>
                      <w:kern w:val="0"/>
                      <w:sz w:val="18"/>
                      <w:szCs w:val="18"/>
                    </w:rPr>
                    <w:t>背景颜色</w:t>
                  </w:r>
                </w:p>
              </w:tc>
              <w:tc>
                <w:tcPr>
                  <w:tcW w:w="1250" w:type="pct"/>
                  <w:tcBorders>
                    <w:top w:val="single" w:color="auto" w:sz="12" w:space="0"/>
                    <w:left w:val="single" w:color="auto" w:sz="4" w:space="0"/>
                    <w:bottom w:val="single" w:color="auto" w:sz="4" w:space="0"/>
                  </w:tcBorders>
                  <w:vAlign w:val="center"/>
                </w:tcPr>
                <w:p w14:paraId="473D0B54">
                  <w:pPr>
                    <w:adjustRightInd w:val="0"/>
                    <w:snapToGrid w:val="0"/>
                    <w:jc w:val="center"/>
                    <w:rPr>
                      <w:b/>
                      <w:bCs/>
                      <w:snapToGrid w:val="0"/>
                      <w:color w:val="auto"/>
                      <w:kern w:val="0"/>
                      <w:sz w:val="18"/>
                      <w:szCs w:val="18"/>
                    </w:rPr>
                  </w:pPr>
                  <w:r>
                    <w:rPr>
                      <w:b/>
                      <w:bCs/>
                      <w:snapToGrid w:val="0"/>
                      <w:color w:val="auto"/>
                      <w:kern w:val="0"/>
                      <w:sz w:val="18"/>
                      <w:szCs w:val="18"/>
                    </w:rPr>
                    <w:t>图形颜色</w:t>
                  </w:r>
                </w:p>
              </w:tc>
            </w:tr>
            <w:tr w14:paraId="64E71BD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50" w:type="pct"/>
                  <w:tcBorders>
                    <w:top w:val="single" w:color="auto" w:sz="4" w:space="0"/>
                    <w:bottom w:val="single" w:color="auto" w:sz="4" w:space="0"/>
                    <w:right w:val="single" w:color="auto" w:sz="4" w:space="0"/>
                  </w:tcBorders>
                  <w:vAlign w:val="center"/>
                </w:tcPr>
                <w:p w14:paraId="6DD9D52E">
                  <w:pPr>
                    <w:adjustRightInd w:val="0"/>
                    <w:snapToGrid w:val="0"/>
                    <w:jc w:val="center"/>
                    <w:rPr>
                      <w:snapToGrid w:val="0"/>
                      <w:color w:val="auto"/>
                      <w:kern w:val="0"/>
                      <w:sz w:val="18"/>
                      <w:szCs w:val="18"/>
                    </w:rPr>
                  </w:pPr>
                  <w:r>
                    <w:rPr>
                      <w:snapToGrid w:val="0"/>
                      <w:color w:val="auto"/>
                      <w:kern w:val="0"/>
                      <w:sz w:val="18"/>
                      <w:szCs w:val="18"/>
                    </w:rPr>
                    <w:t>警告标志</w:t>
                  </w:r>
                </w:p>
              </w:tc>
              <w:tc>
                <w:tcPr>
                  <w:tcW w:w="1250" w:type="pct"/>
                  <w:tcBorders>
                    <w:top w:val="single" w:color="auto" w:sz="4" w:space="0"/>
                    <w:left w:val="single" w:color="auto" w:sz="4" w:space="0"/>
                    <w:bottom w:val="single" w:color="auto" w:sz="4" w:space="0"/>
                    <w:right w:val="single" w:color="auto" w:sz="4" w:space="0"/>
                  </w:tcBorders>
                  <w:vAlign w:val="center"/>
                </w:tcPr>
                <w:p w14:paraId="58D425B1">
                  <w:pPr>
                    <w:adjustRightInd w:val="0"/>
                    <w:snapToGrid w:val="0"/>
                    <w:jc w:val="center"/>
                    <w:rPr>
                      <w:snapToGrid w:val="0"/>
                      <w:color w:val="auto"/>
                      <w:kern w:val="0"/>
                      <w:sz w:val="18"/>
                      <w:szCs w:val="18"/>
                    </w:rPr>
                  </w:pPr>
                  <w:r>
                    <w:rPr>
                      <w:snapToGrid w:val="0"/>
                      <w:color w:val="auto"/>
                      <w:kern w:val="0"/>
                      <w:sz w:val="18"/>
                      <w:szCs w:val="18"/>
                    </w:rPr>
                    <w:t>三角形边框</w:t>
                  </w:r>
                </w:p>
              </w:tc>
              <w:tc>
                <w:tcPr>
                  <w:tcW w:w="1250" w:type="pct"/>
                  <w:tcBorders>
                    <w:top w:val="single" w:color="auto" w:sz="4" w:space="0"/>
                    <w:left w:val="single" w:color="auto" w:sz="4" w:space="0"/>
                    <w:bottom w:val="single" w:color="auto" w:sz="4" w:space="0"/>
                    <w:right w:val="single" w:color="auto" w:sz="4" w:space="0"/>
                  </w:tcBorders>
                  <w:vAlign w:val="center"/>
                </w:tcPr>
                <w:p w14:paraId="5DB6EB5D">
                  <w:pPr>
                    <w:adjustRightInd w:val="0"/>
                    <w:snapToGrid w:val="0"/>
                    <w:jc w:val="center"/>
                    <w:rPr>
                      <w:snapToGrid w:val="0"/>
                      <w:color w:val="auto"/>
                      <w:kern w:val="0"/>
                      <w:sz w:val="18"/>
                      <w:szCs w:val="18"/>
                    </w:rPr>
                  </w:pPr>
                  <w:r>
                    <w:rPr>
                      <w:snapToGrid w:val="0"/>
                      <w:color w:val="auto"/>
                      <w:kern w:val="0"/>
                      <w:sz w:val="18"/>
                      <w:szCs w:val="18"/>
                    </w:rPr>
                    <w:t>黄色</w:t>
                  </w:r>
                </w:p>
              </w:tc>
              <w:tc>
                <w:tcPr>
                  <w:tcW w:w="1250" w:type="pct"/>
                  <w:tcBorders>
                    <w:top w:val="single" w:color="auto" w:sz="4" w:space="0"/>
                    <w:left w:val="single" w:color="auto" w:sz="4" w:space="0"/>
                    <w:bottom w:val="single" w:color="auto" w:sz="4" w:space="0"/>
                  </w:tcBorders>
                  <w:vAlign w:val="center"/>
                </w:tcPr>
                <w:p w14:paraId="4D70367C">
                  <w:pPr>
                    <w:adjustRightInd w:val="0"/>
                    <w:snapToGrid w:val="0"/>
                    <w:jc w:val="center"/>
                    <w:rPr>
                      <w:snapToGrid w:val="0"/>
                      <w:color w:val="auto"/>
                      <w:kern w:val="0"/>
                      <w:sz w:val="18"/>
                      <w:szCs w:val="18"/>
                    </w:rPr>
                  </w:pPr>
                  <w:r>
                    <w:rPr>
                      <w:snapToGrid w:val="0"/>
                      <w:color w:val="auto"/>
                      <w:kern w:val="0"/>
                      <w:sz w:val="18"/>
                      <w:szCs w:val="18"/>
                    </w:rPr>
                    <w:t>黑色</w:t>
                  </w:r>
                </w:p>
              </w:tc>
            </w:tr>
            <w:tr w14:paraId="69E7DC7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50" w:type="pct"/>
                  <w:tcBorders>
                    <w:top w:val="single" w:color="auto" w:sz="4" w:space="0"/>
                    <w:bottom w:val="single" w:color="auto" w:sz="12" w:space="0"/>
                    <w:right w:val="single" w:color="auto" w:sz="4" w:space="0"/>
                  </w:tcBorders>
                  <w:vAlign w:val="center"/>
                </w:tcPr>
                <w:p w14:paraId="11251846">
                  <w:pPr>
                    <w:adjustRightInd w:val="0"/>
                    <w:snapToGrid w:val="0"/>
                    <w:jc w:val="center"/>
                    <w:rPr>
                      <w:snapToGrid w:val="0"/>
                      <w:color w:val="auto"/>
                      <w:kern w:val="0"/>
                      <w:sz w:val="18"/>
                      <w:szCs w:val="18"/>
                    </w:rPr>
                  </w:pPr>
                  <w:r>
                    <w:rPr>
                      <w:snapToGrid w:val="0"/>
                      <w:color w:val="auto"/>
                      <w:kern w:val="0"/>
                      <w:sz w:val="18"/>
                      <w:szCs w:val="18"/>
                    </w:rPr>
                    <w:t>提示标志</w:t>
                  </w:r>
                </w:p>
              </w:tc>
              <w:tc>
                <w:tcPr>
                  <w:tcW w:w="1250" w:type="pct"/>
                  <w:tcBorders>
                    <w:top w:val="single" w:color="auto" w:sz="4" w:space="0"/>
                    <w:left w:val="single" w:color="auto" w:sz="4" w:space="0"/>
                    <w:bottom w:val="single" w:color="auto" w:sz="12" w:space="0"/>
                    <w:right w:val="single" w:color="auto" w:sz="4" w:space="0"/>
                  </w:tcBorders>
                  <w:vAlign w:val="center"/>
                </w:tcPr>
                <w:p w14:paraId="5720FC3C">
                  <w:pPr>
                    <w:adjustRightInd w:val="0"/>
                    <w:snapToGrid w:val="0"/>
                    <w:jc w:val="center"/>
                    <w:rPr>
                      <w:snapToGrid w:val="0"/>
                      <w:color w:val="auto"/>
                      <w:kern w:val="0"/>
                      <w:sz w:val="18"/>
                      <w:szCs w:val="18"/>
                    </w:rPr>
                  </w:pPr>
                  <w:r>
                    <w:rPr>
                      <w:snapToGrid w:val="0"/>
                      <w:color w:val="auto"/>
                      <w:kern w:val="0"/>
                      <w:sz w:val="18"/>
                      <w:szCs w:val="18"/>
                    </w:rPr>
                    <w:t>正方形边框</w:t>
                  </w:r>
                </w:p>
              </w:tc>
              <w:tc>
                <w:tcPr>
                  <w:tcW w:w="1250" w:type="pct"/>
                  <w:tcBorders>
                    <w:top w:val="single" w:color="auto" w:sz="4" w:space="0"/>
                    <w:left w:val="single" w:color="auto" w:sz="4" w:space="0"/>
                    <w:bottom w:val="single" w:color="auto" w:sz="12" w:space="0"/>
                    <w:right w:val="single" w:color="auto" w:sz="4" w:space="0"/>
                  </w:tcBorders>
                  <w:vAlign w:val="center"/>
                </w:tcPr>
                <w:p w14:paraId="27797C97">
                  <w:pPr>
                    <w:adjustRightInd w:val="0"/>
                    <w:snapToGrid w:val="0"/>
                    <w:jc w:val="center"/>
                    <w:rPr>
                      <w:snapToGrid w:val="0"/>
                      <w:color w:val="auto"/>
                      <w:kern w:val="0"/>
                      <w:sz w:val="18"/>
                      <w:szCs w:val="18"/>
                    </w:rPr>
                  </w:pPr>
                  <w:r>
                    <w:rPr>
                      <w:snapToGrid w:val="0"/>
                      <w:color w:val="auto"/>
                      <w:kern w:val="0"/>
                      <w:sz w:val="18"/>
                      <w:szCs w:val="18"/>
                    </w:rPr>
                    <w:t>绿色</w:t>
                  </w:r>
                </w:p>
              </w:tc>
              <w:tc>
                <w:tcPr>
                  <w:tcW w:w="1250" w:type="pct"/>
                  <w:tcBorders>
                    <w:top w:val="single" w:color="auto" w:sz="4" w:space="0"/>
                    <w:left w:val="single" w:color="auto" w:sz="4" w:space="0"/>
                    <w:bottom w:val="single" w:color="auto" w:sz="12" w:space="0"/>
                  </w:tcBorders>
                  <w:vAlign w:val="center"/>
                </w:tcPr>
                <w:p w14:paraId="7AAD6AD1">
                  <w:pPr>
                    <w:adjustRightInd w:val="0"/>
                    <w:snapToGrid w:val="0"/>
                    <w:jc w:val="center"/>
                    <w:rPr>
                      <w:snapToGrid w:val="0"/>
                      <w:color w:val="auto"/>
                      <w:kern w:val="0"/>
                      <w:sz w:val="18"/>
                      <w:szCs w:val="18"/>
                    </w:rPr>
                  </w:pPr>
                  <w:r>
                    <w:rPr>
                      <w:snapToGrid w:val="0"/>
                      <w:color w:val="auto"/>
                      <w:kern w:val="0"/>
                      <w:sz w:val="18"/>
                      <w:szCs w:val="18"/>
                    </w:rPr>
                    <w:t>白色</w:t>
                  </w:r>
                </w:p>
              </w:tc>
            </w:tr>
          </w:tbl>
          <w:p w14:paraId="7F00D974">
            <w:pPr>
              <w:adjustRightInd w:val="0"/>
              <w:snapToGrid w:val="0"/>
              <w:spacing w:before="120" w:beforeLines="50" w:line="384" w:lineRule="auto"/>
              <w:ind w:firstLine="482"/>
              <w:rPr>
                <w:color w:val="auto"/>
                <w:sz w:val="24"/>
                <w:szCs w:val="24"/>
              </w:rPr>
            </w:pPr>
            <w:r>
              <w:rPr>
                <w:snapToGrid w:val="0"/>
                <w:color w:val="auto"/>
                <w:kern w:val="0"/>
                <w:sz w:val="24"/>
                <w:szCs w:val="24"/>
              </w:rPr>
              <w:t>环境保护图形符号见</w:t>
            </w:r>
            <w:r>
              <w:rPr>
                <w:rFonts w:hint="eastAsia"/>
                <w:snapToGrid w:val="0"/>
                <w:color w:val="auto"/>
                <w:kern w:val="0"/>
                <w:sz w:val="24"/>
                <w:szCs w:val="24"/>
              </w:rPr>
              <w:t>下表</w:t>
            </w:r>
            <w:r>
              <w:rPr>
                <w:snapToGrid w:val="0"/>
                <w:color w:val="auto"/>
                <w:kern w:val="0"/>
                <w:sz w:val="24"/>
                <w:szCs w:val="24"/>
              </w:rPr>
              <w:t>。</w:t>
            </w:r>
          </w:p>
          <w:p w14:paraId="5EA32163">
            <w:pPr>
              <w:pStyle w:val="76"/>
              <w:rPr>
                <w:color w:val="auto"/>
                <w:sz w:val="24"/>
                <w:szCs w:val="24"/>
              </w:rPr>
            </w:pPr>
            <w:r>
              <w:rPr>
                <w:color w:val="auto"/>
                <w:sz w:val="24"/>
                <w:szCs w:val="24"/>
              </w:rPr>
              <w:t>表</w:t>
            </w:r>
            <w:r>
              <w:rPr>
                <w:rFonts w:hint="eastAsia"/>
                <w:color w:val="auto"/>
                <w:sz w:val="24"/>
                <w:szCs w:val="24"/>
              </w:rPr>
              <w:t>5-</w:t>
            </w:r>
            <w:r>
              <w:rPr>
                <w:rFonts w:hint="eastAsia"/>
                <w:color w:val="auto"/>
                <w:sz w:val="24"/>
                <w:szCs w:val="24"/>
                <w:lang w:val="en-US" w:eastAsia="zh-CN"/>
              </w:rPr>
              <w:t>2</w:t>
            </w:r>
            <w:r>
              <w:rPr>
                <w:color w:val="auto"/>
                <w:sz w:val="24"/>
                <w:szCs w:val="24"/>
              </w:rPr>
              <w:t xml:space="preserve">  环境保护图形符号一览表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1"/>
              <w:gridCol w:w="1646"/>
              <w:gridCol w:w="2299"/>
              <w:gridCol w:w="1134"/>
              <w:gridCol w:w="2244"/>
            </w:tblGrid>
            <w:tr w14:paraId="07C5F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 w:type="pct"/>
                  <w:tcBorders>
                    <w:tl2br w:val="nil"/>
                    <w:tr2bl w:val="nil"/>
                  </w:tcBorders>
                  <w:vAlign w:val="center"/>
                </w:tcPr>
                <w:p w14:paraId="3344C2AF">
                  <w:pPr>
                    <w:autoSpaceDE w:val="0"/>
                    <w:autoSpaceDN w:val="0"/>
                    <w:snapToGrid w:val="0"/>
                    <w:spacing w:before="24" w:beforeLines="10" w:after="24" w:afterLines="10"/>
                    <w:ind w:left="-105" w:leftChars="-50" w:right="-105" w:rightChars="-50"/>
                    <w:jc w:val="center"/>
                    <w:textAlignment w:val="baseline"/>
                    <w:rPr>
                      <w:b/>
                      <w:bCs/>
                      <w:snapToGrid w:val="0"/>
                      <w:color w:val="auto"/>
                      <w:kern w:val="0"/>
                      <w:sz w:val="18"/>
                      <w:szCs w:val="18"/>
                    </w:rPr>
                  </w:pPr>
                  <w:r>
                    <w:rPr>
                      <w:b/>
                      <w:bCs/>
                      <w:snapToGrid w:val="0"/>
                      <w:color w:val="auto"/>
                      <w:kern w:val="0"/>
                      <w:sz w:val="18"/>
                      <w:szCs w:val="18"/>
                    </w:rPr>
                    <w:t>序号</w:t>
                  </w:r>
                </w:p>
              </w:tc>
              <w:tc>
                <w:tcPr>
                  <w:tcW w:w="1076" w:type="pct"/>
                  <w:tcBorders>
                    <w:tl2br w:val="nil"/>
                    <w:tr2bl w:val="nil"/>
                  </w:tcBorders>
                  <w:vAlign w:val="center"/>
                </w:tcPr>
                <w:p w14:paraId="6FED86BE">
                  <w:pPr>
                    <w:autoSpaceDE w:val="0"/>
                    <w:autoSpaceDN w:val="0"/>
                    <w:snapToGrid w:val="0"/>
                    <w:spacing w:before="24" w:beforeLines="10" w:after="24" w:afterLines="10"/>
                    <w:ind w:left="-105" w:leftChars="-50" w:right="-105" w:rightChars="-50"/>
                    <w:jc w:val="center"/>
                    <w:textAlignment w:val="baseline"/>
                    <w:rPr>
                      <w:b/>
                      <w:bCs/>
                      <w:snapToGrid w:val="0"/>
                      <w:color w:val="auto"/>
                      <w:kern w:val="0"/>
                      <w:sz w:val="18"/>
                      <w:szCs w:val="18"/>
                    </w:rPr>
                  </w:pPr>
                  <w:r>
                    <w:rPr>
                      <w:b/>
                      <w:bCs/>
                      <w:snapToGrid w:val="0"/>
                      <w:color w:val="auto"/>
                      <w:kern w:val="0"/>
                      <w:sz w:val="18"/>
                      <w:szCs w:val="18"/>
                    </w:rPr>
                    <w:t>提示图形符号</w:t>
                  </w:r>
                </w:p>
              </w:tc>
              <w:tc>
                <w:tcPr>
                  <w:tcW w:w="1503" w:type="pct"/>
                  <w:tcBorders>
                    <w:tl2br w:val="nil"/>
                    <w:tr2bl w:val="nil"/>
                  </w:tcBorders>
                  <w:vAlign w:val="center"/>
                </w:tcPr>
                <w:p w14:paraId="065718B2">
                  <w:pPr>
                    <w:autoSpaceDE w:val="0"/>
                    <w:autoSpaceDN w:val="0"/>
                    <w:snapToGrid w:val="0"/>
                    <w:spacing w:before="24" w:beforeLines="10" w:after="24" w:afterLines="10"/>
                    <w:ind w:left="-105" w:leftChars="-50" w:right="-105" w:rightChars="-50"/>
                    <w:jc w:val="center"/>
                    <w:textAlignment w:val="baseline"/>
                    <w:rPr>
                      <w:b/>
                      <w:bCs/>
                      <w:snapToGrid w:val="0"/>
                      <w:color w:val="auto"/>
                      <w:kern w:val="0"/>
                      <w:sz w:val="18"/>
                      <w:szCs w:val="18"/>
                    </w:rPr>
                  </w:pPr>
                  <w:r>
                    <w:rPr>
                      <w:b/>
                      <w:bCs/>
                      <w:snapToGrid w:val="0"/>
                      <w:color w:val="auto"/>
                      <w:kern w:val="0"/>
                      <w:sz w:val="18"/>
                      <w:szCs w:val="18"/>
                    </w:rPr>
                    <w:t>警告图形符号</w:t>
                  </w:r>
                </w:p>
              </w:tc>
              <w:tc>
                <w:tcPr>
                  <w:tcW w:w="741" w:type="pct"/>
                  <w:tcBorders>
                    <w:tl2br w:val="nil"/>
                    <w:tr2bl w:val="nil"/>
                  </w:tcBorders>
                  <w:vAlign w:val="center"/>
                </w:tcPr>
                <w:p w14:paraId="565B06E8">
                  <w:pPr>
                    <w:autoSpaceDE w:val="0"/>
                    <w:autoSpaceDN w:val="0"/>
                    <w:snapToGrid w:val="0"/>
                    <w:spacing w:before="24" w:beforeLines="10" w:after="24" w:afterLines="10"/>
                    <w:ind w:left="-105" w:leftChars="-50" w:right="-105" w:rightChars="-50"/>
                    <w:jc w:val="center"/>
                    <w:textAlignment w:val="baseline"/>
                    <w:rPr>
                      <w:b/>
                      <w:bCs/>
                      <w:snapToGrid w:val="0"/>
                      <w:color w:val="auto"/>
                      <w:kern w:val="0"/>
                      <w:sz w:val="18"/>
                      <w:szCs w:val="18"/>
                    </w:rPr>
                  </w:pPr>
                  <w:r>
                    <w:rPr>
                      <w:b/>
                      <w:bCs/>
                      <w:snapToGrid w:val="0"/>
                      <w:color w:val="auto"/>
                      <w:kern w:val="0"/>
                      <w:sz w:val="18"/>
                      <w:szCs w:val="18"/>
                    </w:rPr>
                    <w:t>名称</w:t>
                  </w:r>
                </w:p>
              </w:tc>
              <w:tc>
                <w:tcPr>
                  <w:tcW w:w="1467" w:type="pct"/>
                  <w:tcBorders>
                    <w:tl2br w:val="nil"/>
                    <w:tr2bl w:val="nil"/>
                  </w:tcBorders>
                  <w:vAlign w:val="center"/>
                </w:tcPr>
                <w:p w14:paraId="7D24CC7E">
                  <w:pPr>
                    <w:autoSpaceDE w:val="0"/>
                    <w:autoSpaceDN w:val="0"/>
                    <w:snapToGrid w:val="0"/>
                    <w:spacing w:before="24" w:beforeLines="10" w:after="24" w:afterLines="10"/>
                    <w:ind w:left="-105" w:leftChars="-50" w:right="-105" w:rightChars="-50"/>
                    <w:jc w:val="center"/>
                    <w:textAlignment w:val="baseline"/>
                    <w:rPr>
                      <w:b/>
                      <w:bCs/>
                      <w:snapToGrid w:val="0"/>
                      <w:color w:val="auto"/>
                      <w:kern w:val="0"/>
                      <w:sz w:val="18"/>
                      <w:szCs w:val="18"/>
                    </w:rPr>
                  </w:pPr>
                  <w:r>
                    <w:rPr>
                      <w:b/>
                      <w:bCs/>
                      <w:snapToGrid w:val="0"/>
                      <w:color w:val="auto"/>
                      <w:kern w:val="0"/>
                      <w:sz w:val="18"/>
                      <w:szCs w:val="18"/>
                    </w:rPr>
                    <w:t>功能</w:t>
                  </w:r>
                </w:p>
              </w:tc>
            </w:tr>
            <w:tr w14:paraId="3F272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 w:type="pct"/>
                  <w:tcBorders>
                    <w:tl2br w:val="nil"/>
                    <w:tr2bl w:val="nil"/>
                  </w:tcBorders>
                  <w:vAlign w:val="center"/>
                </w:tcPr>
                <w:p w14:paraId="4FECC5BE">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1</w:t>
                  </w:r>
                </w:p>
              </w:tc>
              <w:tc>
                <w:tcPr>
                  <w:tcW w:w="1076" w:type="pct"/>
                  <w:tcBorders>
                    <w:tl2br w:val="nil"/>
                    <w:tr2bl w:val="nil"/>
                  </w:tcBorders>
                  <w:vAlign w:val="center"/>
                </w:tcPr>
                <w:p w14:paraId="496AE11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57580" cy="974090"/>
                        <wp:effectExtent l="0" t="0" r="13970" b="16510"/>
                        <wp:docPr id="16"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说明: 13001"/>
                                <pic:cNvPicPr>
                                  <a:picLocks noChangeAspect="1"/>
                                </pic:cNvPicPr>
                              </pic:nvPicPr>
                              <pic:blipFill>
                                <a:blip r:embed="rId26" cstate="print"/>
                                <a:stretch>
                                  <a:fillRect/>
                                </a:stretch>
                              </pic:blipFill>
                              <pic:spPr>
                                <a:xfrm>
                                  <a:off x="0" y="0"/>
                                  <a:ext cx="957580" cy="974090"/>
                                </a:xfrm>
                                <a:prstGeom prst="rect">
                                  <a:avLst/>
                                </a:prstGeom>
                                <a:noFill/>
                                <a:ln>
                                  <a:noFill/>
                                </a:ln>
                              </pic:spPr>
                            </pic:pic>
                          </a:graphicData>
                        </a:graphic>
                      </wp:inline>
                    </w:drawing>
                  </w:r>
                </w:p>
              </w:tc>
              <w:tc>
                <w:tcPr>
                  <w:tcW w:w="1503" w:type="pct"/>
                  <w:tcBorders>
                    <w:tl2br w:val="nil"/>
                    <w:tr2bl w:val="nil"/>
                  </w:tcBorders>
                  <w:vAlign w:val="center"/>
                </w:tcPr>
                <w:p w14:paraId="244A0BBE">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09320" cy="922020"/>
                        <wp:effectExtent l="0" t="0" r="5080" b="11430"/>
                        <wp:docPr id="14"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说明: 13002"/>
                                <pic:cNvPicPr>
                                  <a:picLocks noChangeAspect="1"/>
                                </pic:cNvPicPr>
                              </pic:nvPicPr>
                              <pic:blipFill>
                                <a:blip r:embed="rId27" cstate="print"/>
                                <a:stretch>
                                  <a:fillRect/>
                                </a:stretch>
                              </pic:blipFill>
                              <pic:spPr>
                                <a:xfrm>
                                  <a:off x="0" y="0"/>
                                  <a:ext cx="909320" cy="922020"/>
                                </a:xfrm>
                                <a:prstGeom prst="rect">
                                  <a:avLst/>
                                </a:prstGeom>
                                <a:noFill/>
                                <a:ln>
                                  <a:noFill/>
                                </a:ln>
                              </pic:spPr>
                            </pic:pic>
                          </a:graphicData>
                        </a:graphic>
                      </wp:inline>
                    </w:drawing>
                  </w:r>
                </w:p>
              </w:tc>
              <w:tc>
                <w:tcPr>
                  <w:tcW w:w="741" w:type="pct"/>
                  <w:tcBorders>
                    <w:tl2br w:val="nil"/>
                    <w:tr2bl w:val="nil"/>
                  </w:tcBorders>
                  <w:vAlign w:val="center"/>
                </w:tcPr>
                <w:p w14:paraId="47B1507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废水</w:t>
                  </w:r>
                  <w:r>
                    <w:rPr>
                      <w:snapToGrid w:val="0"/>
                      <w:color w:val="auto"/>
                      <w:kern w:val="0"/>
                      <w:sz w:val="18"/>
                      <w:szCs w:val="18"/>
                    </w:rPr>
                    <w:t>排放口</w:t>
                  </w:r>
                </w:p>
              </w:tc>
              <w:tc>
                <w:tcPr>
                  <w:tcW w:w="1467" w:type="pct"/>
                  <w:tcBorders>
                    <w:tl2br w:val="nil"/>
                    <w:tr2bl w:val="nil"/>
                  </w:tcBorders>
                  <w:vAlign w:val="center"/>
                </w:tcPr>
                <w:p w14:paraId="7867BF69">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t>表示污水向水体排放</w:t>
                  </w:r>
                </w:p>
              </w:tc>
            </w:tr>
            <w:tr w14:paraId="1C5E3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 w:type="pct"/>
                  <w:tcBorders>
                    <w:tl2br w:val="nil"/>
                    <w:tr2bl w:val="nil"/>
                  </w:tcBorders>
                  <w:vAlign w:val="center"/>
                </w:tcPr>
                <w:p w14:paraId="5B15893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2</w:t>
                  </w:r>
                </w:p>
              </w:tc>
              <w:tc>
                <w:tcPr>
                  <w:tcW w:w="1076" w:type="pct"/>
                  <w:tcBorders>
                    <w:tl2br w:val="nil"/>
                    <w:tr2bl w:val="nil"/>
                  </w:tcBorders>
                  <w:vAlign w:val="center"/>
                </w:tcPr>
                <w:p w14:paraId="643DD2DA">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7105" cy="972185"/>
                        <wp:effectExtent l="0" t="0" r="4445" b="18415"/>
                        <wp:docPr id="11"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说明: 13003"/>
                                <pic:cNvPicPr>
                                  <a:picLocks noChangeAspect="1"/>
                                </pic:cNvPicPr>
                              </pic:nvPicPr>
                              <pic:blipFill>
                                <a:blip r:embed="rId28" cstate="print"/>
                                <a:stretch>
                                  <a:fillRect/>
                                </a:stretch>
                              </pic:blipFill>
                              <pic:spPr>
                                <a:xfrm>
                                  <a:off x="0" y="0"/>
                                  <a:ext cx="967105" cy="972185"/>
                                </a:xfrm>
                                <a:prstGeom prst="rect">
                                  <a:avLst/>
                                </a:prstGeom>
                                <a:noFill/>
                                <a:ln>
                                  <a:noFill/>
                                </a:ln>
                              </pic:spPr>
                            </pic:pic>
                          </a:graphicData>
                        </a:graphic>
                      </wp:inline>
                    </w:drawing>
                  </w:r>
                </w:p>
              </w:tc>
              <w:tc>
                <w:tcPr>
                  <w:tcW w:w="1503" w:type="pct"/>
                  <w:tcBorders>
                    <w:tl2br w:val="nil"/>
                    <w:tr2bl w:val="nil"/>
                  </w:tcBorders>
                  <w:vAlign w:val="center"/>
                </w:tcPr>
                <w:p w14:paraId="32CEE72A">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21385" cy="934085"/>
                        <wp:effectExtent l="0" t="0" r="12065" b="18415"/>
                        <wp:docPr id="12"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说明: 4"/>
                                <pic:cNvPicPr>
                                  <a:picLocks noChangeAspect="1"/>
                                </pic:cNvPicPr>
                              </pic:nvPicPr>
                              <pic:blipFill>
                                <a:blip r:embed="rId29" cstate="print"/>
                                <a:stretch>
                                  <a:fillRect/>
                                </a:stretch>
                              </pic:blipFill>
                              <pic:spPr>
                                <a:xfrm>
                                  <a:off x="0" y="0"/>
                                  <a:ext cx="921385" cy="934085"/>
                                </a:xfrm>
                                <a:prstGeom prst="rect">
                                  <a:avLst/>
                                </a:prstGeom>
                                <a:noFill/>
                                <a:ln>
                                  <a:noFill/>
                                </a:ln>
                              </pic:spPr>
                            </pic:pic>
                          </a:graphicData>
                        </a:graphic>
                      </wp:inline>
                    </w:drawing>
                  </w:r>
                </w:p>
              </w:tc>
              <w:tc>
                <w:tcPr>
                  <w:tcW w:w="741" w:type="pct"/>
                  <w:tcBorders>
                    <w:tl2br w:val="nil"/>
                    <w:tr2bl w:val="nil"/>
                  </w:tcBorders>
                  <w:vAlign w:val="center"/>
                </w:tcPr>
                <w:p w14:paraId="4686F44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废气排放口</w:t>
                  </w:r>
                </w:p>
              </w:tc>
              <w:tc>
                <w:tcPr>
                  <w:tcW w:w="1467" w:type="pct"/>
                  <w:tcBorders>
                    <w:tl2br w:val="nil"/>
                    <w:tr2bl w:val="nil"/>
                  </w:tcBorders>
                  <w:vAlign w:val="center"/>
                </w:tcPr>
                <w:p w14:paraId="4256F0B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表示废气向大气环境排放</w:t>
                  </w:r>
                </w:p>
              </w:tc>
            </w:tr>
            <w:tr w14:paraId="0FA0F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 w:type="pct"/>
                  <w:tcBorders>
                    <w:tl2br w:val="nil"/>
                    <w:tr2bl w:val="nil"/>
                  </w:tcBorders>
                  <w:vAlign w:val="center"/>
                </w:tcPr>
                <w:p w14:paraId="6466D8DC">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3</w:t>
                  </w:r>
                </w:p>
              </w:tc>
              <w:tc>
                <w:tcPr>
                  <w:tcW w:w="1076" w:type="pct"/>
                  <w:tcBorders>
                    <w:tl2br w:val="nil"/>
                    <w:tr2bl w:val="nil"/>
                  </w:tcBorders>
                  <w:vAlign w:val="center"/>
                </w:tcPr>
                <w:p w14:paraId="589A6436">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972185" cy="972185"/>
                        <wp:effectExtent l="0" t="0" r="18415" b="18415"/>
                        <wp:docPr id="18"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说明: 200602201518049853"/>
                                <pic:cNvPicPr>
                                  <a:picLocks noChangeAspect="1"/>
                                </pic:cNvPicPr>
                              </pic:nvPicPr>
                              <pic:blipFill>
                                <a:blip r:embed="rId30" cstate="print"/>
                                <a:stretch>
                                  <a:fillRect/>
                                </a:stretch>
                              </pic:blipFill>
                              <pic:spPr>
                                <a:xfrm>
                                  <a:off x="0" y="0"/>
                                  <a:ext cx="972185" cy="972185"/>
                                </a:xfrm>
                                <a:prstGeom prst="rect">
                                  <a:avLst/>
                                </a:prstGeom>
                                <a:noFill/>
                                <a:ln>
                                  <a:noFill/>
                                </a:ln>
                              </pic:spPr>
                            </pic:pic>
                          </a:graphicData>
                        </a:graphic>
                      </wp:inline>
                    </w:drawing>
                  </w:r>
                </w:p>
              </w:tc>
              <w:tc>
                <w:tcPr>
                  <w:tcW w:w="1503" w:type="pct"/>
                  <w:tcBorders>
                    <w:tl2br w:val="nil"/>
                    <w:tr2bl w:val="nil"/>
                  </w:tcBorders>
                  <w:vAlign w:val="center"/>
                </w:tcPr>
                <w:p w14:paraId="360341DC">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1028700" cy="909320"/>
                        <wp:effectExtent l="0" t="0" r="0" b="5080"/>
                        <wp:docPr id="17"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说明: 200602201519018631"/>
                                <pic:cNvPicPr>
                                  <a:picLocks noChangeAspect="1"/>
                                </pic:cNvPicPr>
                              </pic:nvPicPr>
                              <pic:blipFill>
                                <a:blip r:embed="rId31" cstate="print"/>
                                <a:stretch>
                                  <a:fillRect/>
                                </a:stretch>
                              </pic:blipFill>
                              <pic:spPr>
                                <a:xfrm>
                                  <a:off x="0" y="0"/>
                                  <a:ext cx="1028700" cy="909320"/>
                                </a:xfrm>
                                <a:prstGeom prst="rect">
                                  <a:avLst/>
                                </a:prstGeom>
                                <a:noFill/>
                                <a:ln>
                                  <a:noFill/>
                                </a:ln>
                              </pic:spPr>
                            </pic:pic>
                          </a:graphicData>
                        </a:graphic>
                      </wp:inline>
                    </w:drawing>
                  </w:r>
                </w:p>
              </w:tc>
              <w:tc>
                <w:tcPr>
                  <w:tcW w:w="741" w:type="pct"/>
                  <w:tcBorders>
                    <w:tl2br w:val="nil"/>
                    <w:tr2bl w:val="nil"/>
                  </w:tcBorders>
                  <w:vAlign w:val="center"/>
                </w:tcPr>
                <w:p w14:paraId="3602716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噪声排放源</w:t>
                  </w:r>
                </w:p>
              </w:tc>
              <w:tc>
                <w:tcPr>
                  <w:tcW w:w="1467" w:type="pct"/>
                  <w:tcBorders>
                    <w:tl2br w:val="nil"/>
                    <w:tr2bl w:val="nil"/>
                  </w:tcBorders>
                  <w:vAlign w:val="center"/>
                </w:tcPr>
                <w:p w14:paraId="16C49BF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表示噪声向外环境排放</w:t>
                  </w:r>
                </w:p>
              </w:tc>
            </w:tr>
            <w:tr w14:paraId="66855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0" w:type="pct"/>
                  <w:tcBorders>
                    <w:tl2br w:val="nil"/>
                    <w:tr2bl w:val="nil"/>
                  </w:tcBorders>
                  <w:vAlign w:val="center"/>
                </w:tcPr>
                <w:p w14:paraId="2CE9B48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4</w:t>
                  </w:r>
                </w:p>
              </w:tc>
              <w:tc>
                <w:tcPr>
                  <w:tcW w:w="1076" w:type="pct"/>
                  <w:tcBorders>
                    <w:tl2br w:val="nil"/>
                    <w:tr2bl w:val="nil"/>
                  </w:tcBorders>
                  <w:vAlign w:val="center"/>
                </w:tcPr>
                <w:p w14:paraId="1CBEA2D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72185" cy="972185"/>
                        <wp:effectExtent l="0" t="0" r="18415" b="18415"/>
                        <wp:docPr id="15" name="图片 1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说明: 14001"/>
                                <pic:cNvPicPr>
                                  <a:picLocks noChangeAspect="1"/>
                                </pic:cNvPicPr>
                              </pic:nvPicPr>
                              <pic:blipFill>
                                <a:blip r:embed="rId32" cstate="print"/>
                                <a:stretch>
                                  <a:fillRect/>
                                </a:stretch>
                              </pic:blipFill>
                              <pic:spPr>
                                <a:xfrm>
                                  <a:off x="0" y="0"/>
                                  <a:ext cx="972185" cy="972185"/>
                                </a:xfrm>
                                <a:prstGeom prst="rect">
                                  <a:avLst/>
                                </a:prstGeom>
                                <a:noFill/>
                                <a:ln>
                                  <a:noFill/>
                                </a:ln>
                              </pic:spPr>
                            </pic:pic>
                          </a:graphicData>
                        </a:graphic>
                      </wp:inline>
                    </w:drawing>
                  </w:r>
                </w:p>
              </w:tc>
              <w:tc>
                <w:tcPr>
                  <w:tcW w:w="1503" w:type="pct"/>
                  <w:tcBorders>
                    <w:tl2br w:val="nil"/>
                    <w:tr2bl w:val="nil"/>
                  </w:tcBorders>
                  <w:vAlign w:val="center"/>
                </w:tcPr>
                <w:p w14:paraId="5878D94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9010" cy="915670"/>
                        <wp:effectExtent l="0" t="0" r="2540" b="17780"/>
                        <wp:docPr id="8" name="图片 14"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说明: 14002"/>
                                <pic:cNvPicPr>
                                  <a:picLocks noChangeAspect="1"/>
                                </pic:cNvPicPr>
                              </pic:nvPicPr>
                              <pic:blipFill>
                                <a:blip r:embed="rId33" cstate="print"/>
                                <a:stretch>
                                  <a:fillRect/>
                                </a:stretch>
                              </pic:blipFill>
                              <pic:spPr>
                                <a:xfrm>
                                  <a:off x="0" y="0"/>
                                  <a:ext cx="969010" cy="915670"/>
                                </a:xfrm>
                                <a:prstGeom prst="rect">
                                  <a:avLst/>
                                </a:prstGeom>
                                <a:noFill/>
                                <a:ln>
                                  <a:noFill/>
                                </a:ln>
                              </pic:spPr>
                            </pic:pic>
                          </a:graphicData>
                        </a:graphic>
                      </wp:inline>
                    </w:drawing>
                  </w:r>
                </w:p>
              </w:tc>
              <w:tc>
                <w:tcPr>
                  <w:tcW w:w="741" w:type="pct"/>
                  <w:tcBorders>
                    <w:tl2br w:val="nil"/>
                    <w:tr2bl w:val="nil"/>
                  </w:tcBorders>
                  <w:vAlign w:val="center"/>
                </w:tcPr>
                <w:p w14:paraId="2F338EB2">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一般固体废物</w:t>
                  </w:r>
                </w:p>
              </w:tc>
              <w:tc>
                <w:tcPr>
                  <w:tcW w:w="1467" w:type="pct"/>
                  <w:tcBorders>
                    <w:tl2br w:val="nil"/>
                    <w:tr2bl w:val="nil"/>
                  </w:tcBorders>
                  <w:vAlign w:val="center"/>
                </w:tcPr>
                <w:p w14:paraId="67F614B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表示一般固体废物贮存、处置场</w:t>
                  </w:r>
                </w:p>
              </w:tc>
            </w:tr>
            <w:tr w14:paraId="3F0E1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210" w:type="pct"/>
                  <w:tcBorders>
                    <w:tl2br w:val="nil"/>
                    <w:tr2bl w:val="nil"/>
                  </w:tcBorders>
                  <w:vAlign w:val="center"/>
                </w:tcPr>
                <w:p w14:paraId="25C02688">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5</w:t>
                  </w:r>
                </w:p>
              </w:tc>
              <w:tc>
                <w:tcPr>
                  <w:tcW w:w="1076" w:type="pct"/>
                  <w:tcBorders>
                    <w:tl2br w:val="nil"/>
                    <w:tr2bl w:val="nil"/>
                  </w:tcBorders>
                  <w:vAlign w:val="center"/>
                </w:tcPr>
                <w:p w14:paraId="5792FD08">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w:t>
                  </w:r>
                </w:p>
              </w:tc>
              <w:tc>
                <w:tcPr>
                  <w:tcW w:w="1503" w:type="pct"/>
                  <w:tcBorders>
                    <w:tl2br w:val="nil"/>
                    <w:tr2bl w:val="nil"/>
                  </w:tcBorders>
                  <w:vAlign w:val="center"/>
                </w:tcPr>
                <w:p w14:paraId="3D01FCA4">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1313815" cy="1076960"/>
                        <wp:effectExtent l="0" t="0" r="635"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4" cstate="print"/>
                                <a:stretch>
                                  <a:fillRect/>
                                </a:stretch>
                              </pic:blipFill>
                              <pic:spPr>
                                <a:xfrm>
                                  <a:off x="0" y="0"/>
                                  <a:ext cx="1313815" cy="1076960"/>
                                </a:xfrm>
                                <a:prstGeom prst="rect">
                                  <a:avLst/>
                                </a:prstGeom>
                                <a:noFill/>
                                <a:ln>
                                  <a:noFill/>
                                </a:ln>
                              </pic:spPr>
                            </pic:pic>
                          </a:graphicData>
                        </a:graphic>
                      </wp:inline>
                    </w:drawing>
                  </w:r>
                </w:p>
              </w:tc>
              <w:tc>
                <w:tcPr>
                  <w:tcW w:w="741" w:type="pct"/>
                  <w:tcBorders>
                    <w:tl2br w:val="nil"/>
                    <w:tr2bl w:val="nil"/>
                  </w:tcBorders>
                  <w:vAlign w:val="center"/>
                </w:tcPr>
                <w:p w14:paraId="1045E62A">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危险废物</w:t>
                  </w:r>
                </w:p>
              </w:tc>
              <w:tc>
                <w:tcPr>
                  <w:tcW w:w="1467" w:type="pct"/>
                  <w:tcBorders>
                    <w:tl2br w:val="nil"/>
                    <w:tr2bl w:val="nil"/>
                  </w:tcBorders>
                  <w:vAlign w:val="center"/>
                </w:tcPr>
                <w:p w14:paraId="649B90C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表示危险废物贮存、处置场</w:t>
                  </w:r>
                </w:p>
              </w:tc>
            </w:tr>
          </w:tbl>
          <w:p w14:paraId="19FB2E95">
            <w:pPr>
              <w:pStyle w:val="82"/>
              <w:spacing w:before="120" w:beforeLines="50"/>
              <w:rPr>
                <w:color w:val="auto"/>
                <w:sz w:val="24"/>
                <w:szCs w:val="24"/>
              </w:rPr>
            </w:pPr>
            <w:r>
              <w:rPr>
                <w:rFonts w:hint="eastAsia"/>
                <w:color w:val="auto"/>
                <w:sz w:val="24"/>
                <w:szCs w:val="24"/>
              </w:rPr>
              <w:t>3、环境管理</w:t>
            </w:r>
          </w:p>
          <w:p w14:paraId="5436C638">
            <w:pPr>
              <w:adjustRightInd w:val="0"/>
              <w:snapToGrid w:val="0"/>
              <w:spacing w:line="360" w:lineRule="auto"/>
              <w:ind w:firstLine="480" w:firstLineChars="200"/>
              <w:jc w:val="left"/>
              <w:rPr>
                <w:color w:val="auto"/>
                <w:sz w:val="24"/>
                <w:szCs w:val="24"/>
              </w:rPr>
            </w:pPr>
            <w:r>
              <w:rPr>
                <w:color w:val="auto"/>
                <w:sz w:val="24"/>
                <w:szCs w:val="24"/>
              </w:rPr>
              <w:t>建设单位应建立环境管理台账制度，落实环境管理台账记录的责任部门和责任人，明确工作职责，包括台账的记录、整理、维护和管理等，台账记录内容和频次须满足排污许可证环境管理要求，并对台账记录结果的真实性、完整性和规范性负责。</w:t>
            </w:r>
          </w:p>
          <w:p w14:paraId="66116BFF">
            <w:pPr>
              <w:pStyle w:val="82"/>
              <w:spacing w:before="120" w:beforeLines="50"/>
              <w:rPr>
                <w:color w:val="auto"/>
                <w:sz w:val="24"/>
                <w:szCs w:val="24"/>
              </w:rPr>
            </w:pPr>
            <w:r>
              <w:rPr>
                <w:rFonts w:hint="eastAsia"/>
                <w:color w:val="auto"/>
                <w:sz w:val="24"/>
                <w:szCs w:val="24"/>
              </w:rPr>
              <w:t>4、竣工环保验收</w:t>
            </w:r>
          </w:p>
          <w:p w14:paraId="5A2FEBDB">
            <w:pPr>
              <w:adjustRightInd w:val="0"/>
              <w:snapToGrid w:val="0"/>
              <w:spacing w:line="360" w:lineRule="auto"/>
              <w:ind w:firstLine="480" w:firstLineChars="200"/>
              <w:rPr>
                <w:color w:val="auto"/>
              </w:rPr>
            </w:pPr>
            <w:r>
              <w:rPr>
                <w:rFonts w:hAnsiTheme="minorEastAsia" w:eastAsiaTheme="minorEastAsia"/>
                <w:color w:val="auto"/>
                <w:sz w:val="24"/>
                <w:szCs w:val="24"/>
              </w:rPr>
              <w:t>根据《建设项目环境保护管理条例》（国令第</w:t>
            </w:r>
            <w:r>
              <w:rPr>
                <w:rFonts w:eastAsiaTheme="minorEastAsia"/>
                <w:color w:val="auto"/>
                <w:sz w:val="24"/>
                <w:szCs w:val="24"/>
              </w:rPr>
              <w:t>682</w:t>
            </w:r>
            <w:r>
              <w:rPr>
                <w:rFonts w:hAnsiTheme="minorEastAsia" w:eastAsiaTheme="minorEastAsia"/>
                <w:color w:val="auto"/>
                <w:sz w:val="24"/>
                <w:szCs w:val="24"/>
              </w:rPr>
              <w:t>号，</w:t>
            </w:r>
            <w:r>
              <w:rPr>
                <w:rFonts w:eastAsiaTheme="minorEastAsia"/>
                <w:color w:val="auto"/>
                <w:sz w:val="24"/>
                <w:szCs w:val="24"/>
              </w:rPr>
              <w:t>2017</w:t>
            </w:r>
            <w:r>
              <w:rPr>
                <w:rFonts w:hAnsiTheme="minorEastAsia" w:eastAsiaTheme="minorEastAsia"/>
                <w:color w:val="auto"/>
                <w:sz w:val="24"/>
                <w:szCs w:val="24"/>
              </w:rPr>
              <w:t>年</w:t>
            </w:r>
            <w:r>
              <w:rPr>
                <w:rFonts w:eastAsiaTheme="minorEastAsia"/>
                <w:color w:val="auto"/>
                <w:sz w:val="24"/>
                <w:szCs w:val="24"/>
              </w:rPr>
              <w:t>10</w:t>
            </w:r>
            <w:r>
              <w:rPr>
                <w:rFonts w:hAnsiTheme="minorEastAsia" w:eastAsiaTheme="minorEastAsia"/>
                <w:color w:val="auto"/>
                <w:sz w:val="24"/>
                <w:szCs w:val="24"/>
              </w:rPr>
              <w:t>月</w:t>
            </w:r>
            <w:r>
              <w:rPr>
                <w:rFonts w:eastAsiaTheme="minorEastAsia"/>
                <w:color w:val="auto"/>
                <w:sz w:val="24"/>
                <w:szCs w:val="24"/>
              </w:rPr>
              <w:t>1</w:t>
            </w:r>
            <w:r>
              <w:rPr>
                <w:rFonts w:hAnsiTheme="minorEastAsia" w:eastAsiaTheme="minorEastAsia"/>
                <w:color w:val="auto"/>
                <w:sz w:val="24"/>
                <w:szCs w:val="24"/>
              </w:rPr>
              <w:t>日</w:t>
            </w:r>
            <w:r>
              <w:rPr>
                <w:rFonts w:hint="eastAsia" w:hAnsiTheme="minorEastAsia" w:eastAsiaTheme="minorEastAsia"/>
                <w:color w:val="auto"/>
                <w:sz w:val="24"/>
                <w:szCs w:val="24"/>
                <w:lang w:val="en-US" w:eastAsia="zh-CN"/>
              </w:rPr>
              <w:t>施</w:t>
            </w:r>
            <w:r>
              <w:rPr>
                <w:rFonts w:hAnsiTheme="minorEastAsia" w:eastAsiaTheme="minorEastAsia"/>
                <w:color w:val="auto"/>
                <w:sz w:val="24"/>
                <w:szCs w:val="24"/>
              </w:rPr>
              <w:t>行）、《建设项目竣工环境保护验收暂行办法》（国环规环评</w:t>
            </w:r>
            <w:r>
              <w:rPr>
                <w:rFonts w:eastAsiaTheme="minorEastAsia"/>
                <w:color w:val="auto"/>
                <w:sz w:val="24"/>
                <w:szCs w:val="24"/>
              </w:rPr>
              <w:t>[2017]4</w:t>
            </w:r>
            <w:r>
              <w:rPr>
                <w:rFonts w:hAnsiTheme="minorEastAsia" w:eastAsiaTheme="minorEastAsia"/>
                <w:color w:val="auto"/>
                <w:sz w:val="24"/>
                <w:szCs w:val="24"/>
              </w:rPr>
              <w:t>号）要求，在本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w:t>
            </w:r>
            <w:r>
              <w:rPr>
                <w:rFonts w:eastAsiaTheme="minorEastAsia"/>
                <w:color w:val="auto"/>
                <w:sz w:val="24"/>
                <w:szCs w:val="24"/>
              </w:rPr>
              <w:t>“</w:t>
            </w:r>
            <w:r>
              <w:rPr>
                <w:rFonts w:hAnsiTheme="minorEastAsia" w:eastAsiaTheme="minorEastAsia"/>
                <w:color w:val="auto"/>
                <w:sz w:val="24"/>
                <w:szCs w:val="24"/>
              </w:rPr>
              <w:t>三同时</w:t>
            </w:r>
            <w:r>
              <w:rPr>
                <w:rFonts w:eastAsiaTheme="minorEastAsia"/>
                <w:color w:val="auto"/>
                <w:sz w:val="24"/>
                <w:szCs w:val="24"/>
              </w:rPr>
              <w:t>”</w:t>
            </w:r>
            <w:r>
              <w:rPr>
                <w:rFonts w:hAnsiTheme="minorEastAsia" w:eastAsiaTheme="minorEastAsia"/>
                <w:color w:val="auto"/>
                <w:sz w:val="24"/>
                <w:szCs w:val="24"/>
              </w:rPr>
              <w:t>落实情况，编制竣工环境保护验收报告。在验收报告编制完成后</w:t>
            </w:r>
            <w:r>
              <w:rPr>
                <w:rFonts w:eastAsiaTheme="minorEastAsia"/>
                <w:color w:val="auto"/>
                <w:sz w:val="24"/>
                <w:szCs w:val="24"/>
              </w:rPr>
              <w:t>5</w:t>
            </w:r>
            <w:r>
              <w:rPr>
                <w:rFonts w:hAnsiTheme="minorEastAsia" w:eastAsiaTheme="minorEastAsia"/>
                <w:color w:val="auto"/>
                <w:sz w:val="24"/>
                <w:szCs w:val="24"/>
              </w:rPr>
              <w:t>个工作日内，公开验收报告，公示的期限不得少于</w:t>
            </w:r>
            <w:r>
              <w:rPr>
                <w:rFonts w:eastAsiaTheme="minorEastAsia"/>
                <w:color w:val="auto"/>
                <w:sz w:val="24"/>
                <w:szCs w:val="24"/>
              </w:rPr>
              <w:t>20</w:t>
            </w:r>
            <w:r>
              <w:rPr>
                <w:rFonts w:hAnsiTheme="minorEastAsia" w:eastAsiaTheme="minorEastAsia"/>
                <w:color w:val="auto"/>
                <w:sz w:val="24"/>
                <w:szCs w:val="24"/>
              </w:rPr>
              <w:t>个工作日。验收报告公示期满后</w:t>
            </w:r>
            <w:r>
              <w:rPr>
                <w:rFonts w:eastAsiaTheme="minorEastAsia"/>
                <w:color w:val="auto"/>
                <w:sz w:val="24"/>
                <w:szCs w:val="24"/>
              </w:rPr>
              <w:t>5</w:t>
            </w:r>
            <w:r>
              <w:rPr>
                <w:rFonts w:hAnsiTheme="minorEastAsia" w:eastAsiaTheme="minorEastAsia"/>
                <w:color w:val="auto"/>
                <w:sz w:val="24"/>
                <w:szCs w:val="24"/>
              </w:rPr>
              <w:t>个工作日内，建设单位应当登录全国建设项目竣工环境保护验收信息平台，填报建设项目基本信息、环境保护设施验收情况等相关信息。</w:t>
            </w:r>
          </w:p>
          <w:p w14:paraId="65E44A51">
            <w:pPr>
              <w:adjustRightInd w:val="0"/>
              <w:snapToGrid w:val="0"/>
              <w:spacing w:line="360" w:lineRule="auto"/>
              <w:jc w:val="center"/>
              <w:rPr>
                <w:rFonts w:hint="default" w:eastAsia="宋体"/>
                <w:b/>
                <w:bCs/>
                <w:color w:val="auto"/>
                <w:sz w:val="24"/>
                <w:szCs w:val="24"/>
                <w:lang w:val="en-US" w:eastAsia="zh-CN"/>
              </w:rPr>
            </w:pPr>
            <w:r>
              <w:rPr>
                <w:rFonts w:hint="eastAsia"/>
                <w:b/>
                <w:bCs/>
                <w:color w:val="auto"/>
                <w:sz w:val="24"/>
                <w:szCs w:val="24"/>
                <w:lang w:val="en-US" w:eastAsia="zh-CN"/>
              </w:rPr>
              <w:t>表5-3  竣工环保验收一览表</w:t>
            </w:r>
          </w:p>
          <w:tbl>
            <w:tblPr>
              <w:tblStyle w:val="30"/>
              <w:tblW w:w="764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104"/>
              <w:gridCol w:w="2916"/>
              <w:gridCol w:w="3247"/>
            </w:tblGrid>
            <w:tr w14:paraId="7FD5D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1" w:type="dxa"/>
                  <w:gridSpan w:val="2"/>
                  <w:tcBorders>
                    <w:tl2br w:val="nil"/>
                    <w:tr2bl w:val="nil"/>
                  </w:tcBorders>
                  <w:vAlign w:val="center"/>
                </w:tcPr>
                <w:p w14:paraId="676DA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18"/>
                      <w:szCs w:val="18"/>
                      <w:vertAlign w:val="baseline"/>
                    </w:rPr>
                  </w:pPr>
                  <w:r>
                    <w:rPr>
                      <w:rFonts w:hint="eastAsia"/>
                      <w:b/>
                      <w:bCs/>
                      <w:color w:val="auto"/>
                      <w:sz w:val="18"/>
                      <w:szCs w:val="18"/>
                      <w:vertAlign w:val="baseline"/>
                      <w:lang w:val="en-US" w:eastAsia="zh-CN"/>
                    </w:rPr>
                    <w:t>类别</w:t>
                  </w:r>
                </w:p>
              </w:tc>
              <w:tc>
                <w:tcPr>
                  <w:tcW w:w="2916" w:type="dxa"/>
                  <w:tcBorders>
                    <w:tl2br w:val="nil"/>
                    <w:tr2bl w:val="nil"/>
                  </w:tcBorders>
                  <w:vAlign w:val="center"/>
                </w:tcPr>
                <w:p w14:paraId="2353E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18"/>
                      <w:szCs w:val="18"/>
                      <w:vertAlign w:val="baseline"/>
                      <w:lang w:val="en-US" w:eastAsia="zh-CN"/>
                    </w:rPr>
                  </w:pPr>
                  <w:r>
                    <w:rPr>
                      <w:rFonts w:hint="eastAsia"/>
                      <w:b/>
                      <w:bCs/>
                      <w:color w:val="auto"/>
                      <w:sz w:val="18"/>
                      <w:szCs w:val="18"/>
                      <w:vertAlign w:val="baseline"/>
                      <w:lang w:val="en-US" w:eastAsia="zh-CN"/>
                    </w:rPr>
                    <w:t>环保措施</w:t>
                  </w:r>
                </w:p>
              </w:tc>
              <w:tc>
                <w:tcPr>
                  <w:tcW w:w="3247" w:type="dxa"/>
                  <w:tcBorders>
                    <w:tl2br w:val="nil"/>
                    <w:tr2bl w:val="nil"/>
                  </w:tcBorders>
                  <w:vAlign w:val="center"/>
                </w:tcPr>
                <w:p w14:paraId="1D7FF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验收要求</w:t>
                  </w:r>
                </w:p>
              </w:tc>
            </w:tr>
            <w:tr w14:paraId="2FBF2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restart"/>
                  <w:tcBorders>
                    <w:tl2br w:val="nil"/>
                    <w:tr2bl w:val="nil"/>
                  </w:tcBorders>
                  <w:vAlign w:val="center"/>
                </w:tcPr>
                <w:p w14:paraId="132750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废水</w:t>
                  </w:r>
                </w:p>
              </w:tc>
              <w:tc>
                <w:tcPr>
                  <w:tcW w:w="1104" w:type="dxa"/>
                  <w:tcBorders>
                    <w:tl2br w:val="nil"/>
                    <w:tr2bl w:val="nil"/>
                  </w:tcBorders>
                  <w:vAlign w:val="center"/>
                </w:tcPr>
                <w:p w14:paraId="3C0C2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生产废水</w:t>
                  </w:r>
                </w:p>
              </w:tc>
              <w:tc>
                <w:tcPr>
                  <w:tcW w:w="2916" w:type="dxa"/>
                  <w:tcBorders>
                    <w:tl2br w:val="nil"/>
                    <w:tr2bl w:val="nil"/>
                  </w:tcBorders>
                  <w:vAlign w:val="center"/>
                </w:tcPr>
                <w:p w14:paraId="2E032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废气喷淋塔废水、中频炉冷却水、石蜡件冷却用水、压铸机冷却用水、造粒机冷却用水、挤出冷却用水、试压用水、灭火器检验用水等循环使用，定期更换，更换废水回用于粘土砂造型配料用水，不外排。</w:t>
                  </w:r>
                </w:p>
              </w:tc>
              <w:tc>
                <w:tcPr>
                  <w:tcW w:w="3247" w:type="dxa"/>
                  <w:tcBorders>
                    <w:tl2br w:val="nil"/>
                    <w:tr2bl w:val="nil"/>
                  </w:tcBorders>
                  <w:vAlign w:val="center"/>
                </w:tcPr>
                <w:p w14:paraId="13C123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现场检查落实情况</w:t>
                  </w:r>
                </w:p>
              </w:tc>
            </w:tr>
            <w:tr w14:paraId="4B457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5BDC9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vAlign w:val="center"/>
                </w:tcPr>
                <w:p w14:paraId="7AF93B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生活污水</w:t>
                  </w:r>
                </w:p>
              </w:tc>
              <w:tc>
                <w:tcPr>
                  <w:tcW w:w="2916" w:type="dxa"/>
                  <w:tcBorders>
                    <w:tl2br w:val="nil"/>
                    <w:tr2bl w:val="nil"/>
                  </w:tcBorders>
                  <w:vAlign w:val="center"/>
                </w:tcPr>
                <w:p w14:paraId="695D0E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经化粪池处理后排入市政污水管网</w:t>
                  </w:r>
                </w:p>
              </w:tc>
              <w:tc>
                <w:tcPr>
                  <w:tcW w:w="3247" w:type="dxa"/>
                  <w:tcBorders>
                    <w:tl2br w:val="nil"/>
                    <w:tr2bl w:val="nil"/>
                  </w:tcBorders>
                  <w:vAlign w:val="center"/>
                </w:tcPr>
                <w:p w14:paraId="064DE6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color w:val="auto"/>
                      <w:sz w:val="18"/>
                      <w:szCs w:val="18"/>
                    </w:rPr>
                    <w:t>《污水综合排放标准》（GB8978-1996）中三级标准</w:t>
                  </w:r>
                  <w:r>
                    <w:rPr>
                      <w:rFonts w:hint="eastAsia"/>
                      <w:color w:val="auto"/>
                      <w:sz w:val="18"/>
                      <w:szCs w:val="18"/>
                    </w:rPr>
                    <w:t>及</w:t>
                  </w:r>
                  <w:r>
                    <w:rPr>
                      <w:color w:val="auto"/>
                      <w:sz w:val="18"/>
                      <w:szCs w:val="18"/>
                    </w:rPr>
                    <w:t>污水处理厂接管标准</w:t>
                  </w:r>
                  <w:r>
                    <w:rPr>
                      <w:rFonts w:hint="eastAsia"/>
                      <w:color w:val="auto"/>
                      <w:sz w:val="18"/>
                      <w:szCs w:val="18"/>
                    </w:rPr>
                    <w:t>，</w:t>
                  </w:r>
                  <w:r>
                    <w:rPr>
                      <w:color w:val="auto"/>
                      <w:sz w:val="18"/>
                      <w:szCs w:val="18"/>
                    </w:rPr>
                    <w:t>NH</w:t>
                  </w:r>
                  <w:r>
                    <w:rPr>
                      <w:color w:val="auto"/>
                      <w:sz w:val="18"/>
                      <w:szCs w:val="18"/>
                      <w:vertAlign w:val="subscript"/>
                    </w:rPr>
                    <w:t>3</w:t>
                  </w:r>
                  <w:r>
                    <w:rPr>
                      <w:color w:val="auto"/>
                      <w:sz w:val="18"/>
                      <w:szCs w:val="18"/>
                    </w:rPr>
                    <w:t>-N</w:t>
                  </w:r>
                  <w:r>
                    <w:rPr>
                      <w:rFonts w:hint="eastAsia"/>
                      <w:color w:val="auto"/>
                      <w:sz w:val="18"/>
                      <w:szCs w:val="18"/>
                      <w:lang w:eastAsia="zh-CN"/>
                    </w:rPr>
                    <w:t>、</w:t>
                  </w:r>
                  <w:r>
                    <w:rPr>
                      <w:rFonts w:hint="eastAsia"/>
                      <w:color w:val="auto"/>
                      <w:sz w:val="18"/>
                      <w:szCs w:val="18"/>
                    </w:rPr>
                    <w:t>TP、TN</w:t>
                  </w:r>
                  <w:r>
                    <w:rPr>
                      <w:color w:val="auto"/>
                      <w:sz w:val="18"/>
                      <w:szCs w:val="18"/>
                    </w:rPr>
                    <w:t>排放浓度达到《污水排入城镇下水道水质标准》（GB/T31962-2015）中B级标准</w:t>
                  </w:r>
                </w:p>
              </w:tc>
            </w:tr>
            <w:tr w14:paraId="3A3AF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restart"/>
                  <w:tcBorders>
                    <w:tl2br w:val="nil"/>
                    <w:tr2bl w:val="nil"/>
                  </w:tcBorders>
                  <w:vAlign w:val="center"/>
                </w:tcPr>
                <w:p w14:paraId="76D3A3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有组织废气</w:t>
                  </w:r>
                </w:p>
              </w:tc>
              <w:tc>
                <w:tcPr>
                  <w:tcW w:w="1104" w:type="dxa"/>
                  <w:tcBorders>
                    <w:tl2br w:val="nil"/>
                    <w:tr2bl w:val="nil"/>
                  </w:tcBorders>
                  <w:shd w:val="clear" w:color="auto" w:fill="auto"/>
                  <w:vAlign w:val="center"/>
                </w:tcPr>
                <w:p w14:paraId="131F2C2A">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rPr>
                    <w:t>金属熔化、熔模浇注、粘土砂浇注废气</w:t>
                  </w:r>
                </w:p>
              </w:tc>
              <w:tc>
                <w:tcPr>
                  <w:tcW w:w="2916" w:type="dxa"/>
                  <w:tcBorders>
                    <w:tl2br w:val="nil"/>
                    <w:tr2bl w:val="nil"/>
                  </w:tcBorders>
                  <w:shd w:val="clear" w:color="auto" w:fill="auto"/>
                  <w:vAlign w:val="center"/>
                </w:tcPr>
                <w:p w14:paraId="4B5E2051">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lang w:val="en-US" w:eastAsia="zh-CN"/>
                    </w:rPr>
                    <w:t>袋式除尘器处理</w:t>
                  </w:r>
                  <w:r>
                    <w:rPr>
                      <w:rFonts w:hint="eastAsia"/>
                      <w:color w:val="auto"/>
                      <w:sz w:val="18"/>
                      <w:szCs w:val="18"/>
                    </w:rPr>
                    <w:t>，通过1根15</w:t>
                  </w:r>
                  <w:r>
                    <w:rPr>
                      <w:color w:val="auto"/>
                      <w:sz w:val="18"/>
                      <w:szCs w:val="18"/>
                    </w:rPr>
                    <w:t>m</w:t>
                  </w:r>
                  <w:r>
                    <w:rPr>
                      <w:rFonts w:hint="eastAsia"/>
                      <w:color w:val="auto"/>
                      <w:sz w:val="18"/>
                      <w:szCs w:val="18"/>
                    </w:rPr>
                    <w:t>高排气筒排放</w:t>
                  </w:r>
                </w:p>
              </w:tc>
              <w:tc>
                <w:tcPr>
                  <w:tcW w:w="3247" w:type="dxa"/>
                  <w:tcBorders>
                    <w:tl2br w:val="nil"/>
                    <w:tr2bl w:val="nil"/>
                  </w:tcBorders>
                  <w:vAlign w:val="center"/>
                </w:tcPr>
                <w:p w14:paraId="1D27B8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rPr>
                    <w:t>《铸造工业大气污染物排放标准》（GB39726-2020）表1标准</w:t>
                  </w:r>
                </w:p>
              </w:tc>
            </w:tr>
            <w:tr w14:paraId="5FF87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100474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710692DA">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ascii="宋体" w:hAnsi="宋体" w:cs="宋体"/>
                      <w:color w:val="auto"/>
                      <w:sz w:val="18"/>
                      <w:szCs w:val="18"/>
                      <w:lang w:val="en-US" w:eastAsia="zh-CN"/>
                    </w:rPr>
                    <w:t>制芯、树脂砂造型及浇注废气</w:t>
                  </w:r>
                </w:p>
              </w:tc>
              <w:tc>
                <w:tcPr>
                  <w:tcW w:w="2916" w:type="dxa"/>
                  <w:tcBorders>
                    <w:tl2br w:val="nil"/>
                    <w:tr2bl w:val="nil"/>
                  </w:tcBorders>
                  <w:shd w:val="clear" w:color="auto" w:fill="auto"/>
                  <w:vAlign w:val="center"/>
                </w:tcPr>
                <w:p w14:paraId="2D82989A">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rPr>
                    <w:t>袋式除尘器</w:t>
                  </w:r>
                  <w:r>
                    <w:rPr>
                      <w:rFonts w:hint="eastAsia"/>
                      <w:color w:val="auto"/>
                      <w:sz w:val="18"/>
                      <w:szCs w:val="18"/>
                      <w:lang w:val="en-US" w:eastAsia="zh-CN"/>
                    </w:rPr>
                    <w:t>+活性炭吸附</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tcBorders>
                    <w:tl2br w:val="nil"/>
                    <w:tr2bl w:val="nil"/>
                  </w:tcBorders>
                  <w:shd w:val="clear" w:color="auto" w:fill="auto"/>
                  <w:vAlign w:val="center"/>
                </w:tcPr>
                <w:p w14:paraId="7CF1E803">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颗粒物排放执行</w:t>
                  </w:r>
                  <w:r>
                    <w:rPr>
                      <w:rFonts w:hint="eastAsia"/>
                      <w:color w:val="auto"/>
                      <w:sz w:val="18"/>
                      <w:szCs w:val="18"/>
                    </w:rPr>
                    <w:t>《铸造工业大气污染物排放标准》（GB39726-2020）表1标准</w:t>
                  </w:r>
                  <w:r>
                    <w:rPr>
                      <w:rFonts w:hint="eastAsia"/>
                      <w:color w:val="auto"/>
                      <w:sz w:val="18"/>
                      <w:szCs w:val="18"/>
                      <w:lang w:val="en-US" w:eastAsia="zh-CN"/>
                    </w:rPr>
                    <w:t>，臭气浓度排放执行</w:t>
                  </w:r>
                  <w:r>
                    <w:rPr>
                      <w:rFonts w:hint="eastAsia"/>
                      <w:color w:val="auto"/>
                      <w:sz w:val="18"/>
                      <w:szCs w:val="18"/>
                      <w:lang w:eastAsia="zh-CN"/>
                    </w:rPr>
                    <w:t>《恶臭污染物排放标准》（GB14554-1993），</w:t>
                  </w:r>
                  <w:r>
                    <w:rPr>
                      <w:rFonts w:hint="eastAsia"/>
                      <w:color w:val="auto"/>
                      <w:sz w:val="18"/>
                      <w:szCs w:val="18"/>
                      <w:lang w:val="en-US" w:eastAsia="zh-CN"/>
                    </w:rPr>
                    <w:t>非甲烷总烃、</w:t>
                  </w:r>
                  <w:r>
                    <w:rPr>
                      <w:rFonts w:hint="eastAsia"/>
                      <w:color w:val="auto"/>
                      <w:sz w:val="18"/>
                      <w:szCs w:val="18"/>
                      <w:lang w:eastAsia="zh-CN"/>
                    </w:rPr>
                    <w:t>甲醛参照执行《工业企业挥发性有机物排放标准》（DB35/1782-2018）表1“其他行业”的排放限值</w:t>
                  </w:r>
                </w:p>
              </w:tc>
            </w:tr>
            <w:tr w14:paraId="79E82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785263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4E1CCB10">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lang w:val="en-US" w:eastAsia="zh-CN"/>
                    </w:rPr>
                    <w:t>蜡模组树</w:t>
                  </w:r>
                  <w:r>
                    <w:rPr>
                      <w:rFonts w:hint="eastAsia"/>
                      <w:color w:val="auto"/>
                      <w:sz w:val="18"/>
                      <w:szCs w:val="18"/>
                    </w:rPr>
                    <w:t>废气</w:t>
                  </w:r>
                </w:p>
              </w:tc>
              <w:tc>
                <w:tcPr>
                  <w:tcW w:w="2916" w:type="dxa"/>
                  <w:tcBorders>
                    <w:tl2br w:val="nil"/>
                    <w:tr2bl w:val="nil"/>
                  </w:tcBorders>
                  <w:shd w:val="clear" w:color="auto" w:fill="auto"/>
                  <w:vAlign w:val="center"/>
                </w:tcPr>
                <w:p w14:paraId="0EE46BDA">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活性炭吸附</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vMerge w:val="restart"/>
                  <w:tcBorders>
                    <w:tl2br w:val="nil"/>
                    <w:tr2bl w:val="nil"/>
                  </w:tcBorders>
                  <w:vAlign w:val="center"/>
                </w:tcPr>
                <w:p w14:paraId="580B00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highlight w:val="none"/>
                      <w:lang w:val="en-US" w:eastAsia="zh-CN"/>
                    </w:rPr>
                    <w:t>《熔模铸造工艺 污染物的控制》（GB/T32251-2024）</w:t>
                  </w:r>
                </w:p>
              </w:tc>
            </w:tr>
            <w:tr w14:paraId="0059A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6C9E1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73B2BA28">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rPr>
                    <w:t>脱蜡、型壳焙烧</w:t>
                  </w:r>
                  <w:r>
                    <w:rPr>
                      <w:rFonts w:hint="eastAsia"/>
                      <w:color w:val="auto"/>
                      <w:sz w:val="18"/>
                      <w:szCs w:val="18"/>
                      <w:lang w:val="en-US" w:eastAsia="zh-CN"/>
                    </w:rPr>
                    <w:t>废气</w:t>
                  </w:r>
                </w:p>
              </w:tc>
              <w:tc>
                <w:tcPr>
                  <w:tcW w:w="2916" w:type="dxa"/>
                  <w:tcBorders>
                    <w:tl2br w:val="nil"/>
                    <w:tr2bl w:val="nil"/>
                  </w:tcBorders>
                  <w:shd w:val="clear" w:color="auto" w:fill="auto"/>
                  <w:vAlign w:val="center"/>
                </w:tcPr>
                <w:p w14:paraId="62665861">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水喷淋+干式过滤器+活性炭吸附</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vMerge w:val="continue"/>
                  <w:tcBorders>
                    <w:tl2br w:val="nil"/>
                    <w:tr2bl w:val="nil"/>
                  </w:tcBorders>
                  <w:vAlign w:val="center"/>
                </w:tcPr>
                <w:p w14:paraId="5B71A9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r>
            <w:tr w14:paraId="7985F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68802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78A720C8">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ascii="宋体" w:hAnsi="宋体" w:cs="宋体"/>
                      <w:color w:val="auto"/>
                      <w:sz w:val="18"/>
                      <w:szCs w:val="18"/>
                      <w:lang w:val="en-US" w:eastAsia="zh-CN"/>
                    </w:rPr>
                    <w:t>落砂、砂再生，粘土砂造型</w:t>
                  </w:r>
                </w:p>
              </w:tc>
              <w:tc>
                <w:tcPr>
                  <w:tcW w:w="2916" w:type="dxa"/>
                  <w:tcBorders>
                    <w:tl2br w:val="nil"/>
                    <w:tr2bl w:val="nil"/>
                  </w:tcBorders>
                  <w:shd w:val="clear" w:color="auto" w:fill="auto"/>
                  <w:vAlign w:val="center"/>
                </w:tcPr>
                <w:p w14:paraId="36AF71EC">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袋式除尘器</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vMerge w:val="restart"/>
                  <w:tcBorders>
                    <w:tl2br w:val="nil"/>
                    <w:tr2bl w:val="nil"/>
                  </w:tcBorders>
                  <w:vAlign w:val="center"/>
                </w:tcPr>
                <w:p w14:paraId="01B30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rPr>
                    <w:t>《铸造工业大气污染物排放标准》（GB39726-2020）表1标准</w:t>
                  </w:r>
                  <w:r>
                    <w:rPr>
                      <w:rFonts w:hint="eastAsia"/>
                      <w:color w:val="auto"/>
                      <w:sz w:val="18"/>
                      <w:szCs w:val="18"/>
                      <w:shd w:val="clear" w:color="auto" w:fill="FFFFFF"/>
                    </w:rPr>
                    <w:t>）</w:t>
                  </w:r>
                </w:p>
              </w:tc>
            </w:tr>
            <w:tr w14:paraId="2E7FA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31D8C7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590ADA58">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rPr>
                    <w:t>铸件抛丸清理、二次抛丸</w:t>
                  </w:r>
                </w:p>
              </w:tc>
              <w:tc>
                <w:tcPr>
                  <w:tcW w:w="2916" w:type="dxa"/>
                  <w:tcBorders>
                    <w:tl2br w:val="nil"/>
                    <w:tr2bl w:val="nil"/>
                  </w:tcBorders>
                  <w:shd w:val="clear" w:color="auto" w:fill="auto"/>
                  <w:vAlign w:val="center"/>
                </w:tcPr>
                <w:p w14:paraId="2589EEE0">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设备自带袋式除尘器</w:t>
                  </w:r>
                  <w:r>
                    <w:rPr>
                      <w:rFonts w:hint="eastAsia"/>
                      <w:color w:val="auto"/>
                      <w:sz w:val="18"/>
                      <w:szCs w:val="18"/>
                    </w:rPr>
                    <w:t>处理，</w:t>
                  </w:r>
                  <w:r>
                    <w:rPr>
                      <w:rFonts w:hint="eastAsia"/>
                      <w:color w:val="auto"/>
                      <w:sz w:val="18"/>
                      <w:szCs w:val="18"/>
                      <w:lang w:val="en-US" w:eastAsia="zh-CN"/>
                    </w:rPr>
                    <w:t>再汇集至</w:t>
                  </w:r>
                  <w:r>
                    <w:rPr>
                      <w:rFonts w:hint="eastAsia"/>
                      <w:color w:val="auto"/>
                      <w:sz w:val="18"/>
                      <w:szCs w:val="18"/>
                    </w:rPr>
                    <w:t>1根15</w:t>
                  </w:r>
                  <w:r>
                    <w:rPr>
                      <w:color w:val="auto"/>
                      <w:sz w:val="18"/>
                      <w:szCs w:val="18"/>
                    </w:rPr>
                    <w:t>m</w:t>
                  </w:r>
                  <w:r>
                    <w:rPr>
                      <w:rFonts w:hint="eastAsia"/>
                      <w:color w:val="auto"/>
                      <w:sz w:val="18"/>
                      <w:szCs w:val="18"/>
                    </w:rPr>
                    <w:t>高排气筒排放</w:t>
                  </w:r>
                </w:p>
              </w:tc>
              <w:tc>
                <w:tcPr>
                  <w:tcW w:w="3247" w:type="dxa"/>
                  <w:vMerge w:val="continue"/>
                  <w:tcBorders>
                    <w:tl2br w:val="nil"/>
                    <w:tr2bl w:val="nil"/>
                  </w:tcBorders>
                  <w:vAlign w:val="center"/>
                </w:tcPr>
                <w:p w14:paraId="57DF5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r>
            <w:tr w14:paraId="1CACE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5EB64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6D07A6A2">
                  <w:pPr>
                    <w:adjustRightInd w:val="0"/>
                    <w:snapToGrid w:val="0"/>
                    <w:jc w:val="center"/>
                    <w:rPr>
                      <w:rFonts w:hint="eastAsia" w:ascii="Times New Roman" w:hAnsi="Times New Roman" w:eastAsia="宋体" w:cs="Times New Roman"/>
                      <w:b/>
                      <w:bCs/>
                      <w:color w:val="auto"/>
                      <w:kern w:val="2"/>
                      <w:sz w:val="18"/>
                      <w:szCs w:val="18"/>
                      <w:lang w:val="en-US" w:eastAsia="zh-CN" w:bidi="ar-SA"/>
                    </w:rPr>
                  </w:pPr>
                  <w:r>
                    <w:rPr>
                      <w:rFonts w:hint="eastAsia"/>
                      <w:color w:val="auto"/>
                      <w:sz w:val="18"/>
                      <w:szCs w:val="18"/>
                    </w:rPr>
                    <w:t>熔模铸件退火</w:t>
                  </w:r>
                  <w:r>
                    <w:rPr>
                      <w:rFonts w:hint="eastAsia"/>
                      <w:color w:val="auto"/>
                      <w:sz w:val="18"/>
                      <w:szCs w:val="18"/>
                      <w:lang w:val="en-US" w:eastAsia="zh-CN"/>
                    </w:rPr>
                    <w:t>废气</w:t>
                  </w:r>
                </w:p>
              </w:tc>
              <w:tc>
                <w:tcPr>
                  <w:tcW w:w="2916" w:type="dxa"/>
                  <w:tcBorders>
                    <w:tl2br w:val="nil"/>
                    <w:tr2bl w:val="nil"/>
                  </w:tcBorders>
                  <w:shd w:val="clear" w:color="auto" w:fill="auto"/>
                  <w:vAlign w:val="center"/>
                </w:tcPr>
                <w:p w14:paraId="355CF806">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通过1根15</w:t>
                  </w:r>
                  <w:r>
                    <w:rPr>
                      <w:color w:val="auto"/>
                      <w:sz w:val="18"/>
                      <w:szCs w:val="18"/>
                    </w:rPr>
                    <w:t>m</w:t>
                  </w:r>
                  <w:r>
                    <w:rPr>
                      <w:rFonts w:hint="eastAsia"/>
                      <w:color w:val="auto"/>
                      <w:sz w:val="18"/>
                      <w:szCs w:val="18"/>
                    </w:rPr>
                    <w:t>高排气筒排放</w:t>
                  </w:r>
                </w:p>
              </w:tc>
              <w:tc>
                <w:tcPr>
                  <w:tcW w:w="3247" w:type="dxa"/>
                  <w:vMerge w:val="continue"/>
                  <w:tcBorders>
                    <w:tl2br w:val="nil"/>
                    <w:tr2bl w:val="nil"/>
                  </w:tcBorders>
                  <w:vAlign w:val="center"/>
                </w:tcPr>
                <w:p w14:paraId="43AB2D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r>
            <w:tr w14:paraId="665EE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2C503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7F6FCCFF">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ascii="宋体" w:hAnsi="宋体" w:cs="宋体"/>
                      <w:color w:val="auto"/>
                      <w:sz w:val="18"/>
                      <w:szCs w:val="18"/>
                      <w:lang w:val="en-US" w:eastAsia="zh-CN"/>
                    </w:rPr>
                    <w:t>喷粉废气</w:t>
                  </w:r>
                </w:p>
              </w:tc>
              <w:tc>
                <w:tcPr>
                  <w:tcW w:w="2916" w:type="dxa"/>
                  <w:tcBorders>
                    <w:tl2br w:val="nil"/>
                    <w:tr2bl w:val="nil"/>
                  </w:tcBorders>
                  <w:shd w:val="clear" w:color="auto" w:fill="auto"/>
                  <w:vAlign w:val="center"/>
                </w:tcPr>
                <w:p w14:paraId="69596C72">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袋式除尘器</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vMerge w:val="continue"/>
                  <w:tcBorders>
                    <w:tl2br w:val="nil"/>
                    <w:tr2bl w:val="nil"/>
                  </w:tcBorders>
                  <w:vAlign w:val="center"/>
                </w:tcPr>
                <w:p w14:paraId="25D0A6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r>
            <w:tr w14:paraId="35199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19E0E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6579F68D">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lang w:val="en-US" w:eastAsia="zh-CN"/>
                    </w:rPr>
                    <w:t>固化废气</w:t>
                  </w:r>
                </w:p>
              </w:tc>
              <w:tc>
                <w:tcPr>
                  <w:tcW w:w="2916" w:type="dxa"/>
                  <w:tcBorders>
                    <w:tl2br w:val="nil"/>
                    <w:tr2bl w:val="nil"/>
                  </w:tcBorders>
                  <w:shd w:val="clear" w:color="auto" w:fill="auto"/>
                  <w:vAlign w:val="center"/>
                </w:tcPr>
                <w:p w14:paraId="72C3E2B5">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水喷淋+干式过滤器+活性炭吸附</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tcBorders>
                    <w:tl2br w:val="nil"/>
                    <w:tr2bl w:val="nil"/>
                  </w:tcBorders>
                  <w:vAlign w:val="center"/>
                </w:tcPr>
                <w:p w14:paraId="062E3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kern w:val="0"/>
                      <w:sz w:val="18"/>
                      <w:szCs w:val="18"/>
                      <w:lang w:val="en-US" w:eastAsia="zh-CN"/>
                    </w:rPr>
                    <w:t>颗粒物、二氧化硫、氮氧化物执行《福建省工业炉窑大气污染综合治理方案》中鼓励采用的排放限值；非甲烷总烃从严执行《铸造工业大气污染物排放标准》（GB39726-2020）表1表面和《工业涂装工序挥发性有机物排放标准》（DB35/1783-2018）表1中“涉涂装工序的其他行业”标准。</w:t>
                  </w:r>
                </w:p>
              </w:tc>
            </w:tr>
            <w:tr w14:paraId="37152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5DDE56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554DA0EE">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rPr>
                    <w:t>投料、拌料</w:t>
                  </w:r>
                  <w:r>
                    <w:rPr>
                      <w:rFonts w:hint="eastAsia"/>
                      <w:color w:val="auto"/>
                      <w:sz w:val="18"/>
                      <w:szCs w:val="18"/>
                      <w:lang w:val="en-US" w:eastAsia="zh-CN"/>
                    </w:rPr>
                    <w:t>废气</w:t>
                  </w:r>
                </w:p>
              </w:tc>
              <w:tc>
                <w:tcPr>
                  <w:tcW w:w="2916" w:type="dxa"/>
                  <w:tcBorders>
                    <w:tl2br w:val="nil"/>
                    <w:tr2bl w:val="nil"/>
                  </w:tcBorders>
                  <w:shd w:val="clear" w:color="auto" w:fill="auto"/>
                  <w:vAlign w:val="center"/>
                </w:tcPr>
                <w:p w14:paraId="370153F4">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袋式除尘器</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vMerge w:val="restart"/>
                  <w:tcBorders>
                    <w:tl2br w:val="nil"/>
                    <w:tr2bl w:val="nil"/>
                  </w:tcBorders>
                  <w:vAlign w:val="center"/>
                </w:tcPr>
                <w:p w14:paraId="6CA0F2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kern w:val="0"/>
                      <w:sz w:val="18"/>
                      <w:szCs w:val="18"/>
                      <w:lang w:val="en-US" w:eastAsia="zh-CN"/>
                    </w:rPr>
                    <w:t>从严执行《合成树脂工业污染物排放标准》（GB31572-2015）含2024年修改单和《</w:t>
                  </w:r>
                  <w:r>
                    <w:rPr>
                      <w:rFonts w:hint="eastAsia"/>
                      <w:color w:val="auto"/>
                      <w:sz w:val="18"/>
                      <w:szCs w:val="18"/>
                      <w:highlight w:val="none"/>
                      <w:lang w:val="en-US" w:eastAsia="zh-CN"/>
                    </w:rPr>
                    <w:t>大气污染物综合排放标准》（GB16297-1996）表2二级标准，臭气浓度执行《恶臭污染物排放标准》 （GB14554-93）表2排放标准值</w:t>
                  </w:r>
                </w:p>
              </w:tc>
            </w:tr>
            <w:tr w14:paraId="080B4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577FA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392E9492">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rPr>
                    <w:t>造粒、挤出、挤管</w:t>
                  </w:r>
                  <w:r>
                    <w:rPr>
                      <w:rFonts w:hint="eastAsia"/>
                      <w:color w:val="auto"/>
                      <w:sz w:val="18"/>
                      <w:szCs w:val="18"/>
                      <w:lang w:val="en-US" w:eastAsia="zh-CN"/>
                    </w:rPr>
                    <w:t>废气</w:t>
                  </w:r>
                </w:p>
              </w:tc>
              <w:tc>
                <w:tcPr>
                  <w:tcW w:w="2916" w:type="dxa"/>
                  <w:tcBorders>
                    <w:tl2br w:val="nil"/>
                    <w:tr2bl w:val="nil"/>
                  </w:tcBorders>
                  <w:shd w:val="clear" w:color="auto" w:fill="auto"/>
                  <w:vAlign w:val="center"/>
                </w:tcPr>
                <w:p w14:paraId="6AAADFB7">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活性炭吸附</w:t>
                  </w:r>
                  <w:r>
                    <w:rPr>
                      <w:rFonts w:hint="eastAsia"/>
                      <w:color w:val="auto"/>
                      <w:sz w:val="18"/>
                      <w:szCs w:val="18"/>
                    </w:rPr>
                    <w:t>处理，通过1根15</w:t>
                  </w:r>
                  <w:r>
                    <w:rPr>
                      <w:color w:val="auto"/>
                      <w:sz w:val="18"/>
                      <w:szCs w:val="18"/>
                    </w:rPr>
                    <w:t>m</w:t>
                  </w:r>
                  <w:r>
                    <w:rPr>
                      <w:rFonts w:hint="eastAsia"/>
                      <w:color w:val="auto"/>
                      <w:sz w:val="18"/>
                      <w:szCs w:val="18"/>
                    </w:rPr>
                    <w:t>高排气筒排放</w:t>
                  </w:r>
                </w:p>
              </w:tc>
              <w:tc>
                <w:tcPr>
                  <w:tcW w:w="3247" w:type="dxa"/>
                  <w:vMerge w:val="continue"/>
                  <w:tcBorders>
                    <w:tl2br w:val="nil"/>
                    <w:tr2bl w:val="nil"/>
                  </w:tcBorders>
                  <w:vAlign w:val="center"/>
                </w:tcPr>
                <w:p w14:paraId="68B1A2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r>
            <w:tr w14:paraId="63E03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15FA8A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0979914E">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lang w:eastAsia="zh-CN"/>
                    </w:rPr>
                    <w:t>锅炉废气</w:t>
                  </w:r>
                </w:p>
              </w:tc>
              <w:tc>
                <w:tcPr>
                  <w:tcW w:w="2916" w:type="dxa"/>
                  <w:tcBorders>
                    <w:tl2br w:val="nil"/>
                    <w:tr2bl w:val="nil"/>
                  </w:tcBorders>
                  <w:shd w:val="clear" w:color="auto" w:fill="auto"/>
                  <w:vAlign w:val="center"/>
                </w:tcPr>
                <w:p w14:paraId="6E2731FB">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通过1根15</w:t>
                  </w:r>
                  <w:r>
                    <w:rPr>
                      <w:color w:val="auto"/>
                      <w:sz w:val="18"/>
                      <w:szCs w:val="18"/>
                    </w:rPr>
                    <w:t>m</w:t>
                  </w:r>
                  <w:r>
                    <w:rPr>
                      <w:rFonts w:hint="eastAsia"/>
                      <w:color w:val="auto"/>
                      <w:sz w:val="18"/>
                      <w:szCs w:val="18"/>
                    </w:rPr>
                    <w:t>高排气筒排放</w:t>
                  </w:r>
                </w:p>
              </w:tc>
              <w:tc>
                <w:tcPr>
                  <w:tcW w:w="3247" w:type="dxa"/>
                  <w:tcBorders>
                    <w:tl2br w:val="nil"/>
                    <w:tr2bl w:val="nil"/>
                  </w:tcBorders>
                  <w:vAlign w:val="center"/>
                </w:tcPr>
                <w:p w14:paraId="12448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highlight w:val="none"/>
                      <w:lang w:val="en-US" w:eastAsia="zh-CN"/>
                    </w:rPr>
                    <w:t>《锅炉大气污染物排放标准》（GB13271-2014）表2标准</w:t>
                  </w:r>
                </w:p>
              </w:tc>
            </w:tr>
            <w:tr w14:paraId="77C3A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42DF23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7BD64122">
                  <w:pPr>
                    <w:adjustRightInd w:val="0"/>
                    <w:snapToGrid w:val="0"/>
                    <w:jc w:val="center"/>
                    <w:rPr>
                      <w:rFonts w:ascii="Times New Roman" w:hAnsi="Times New Roman" w:eastAsia="宋体" w:cs="Times New Roman"/>
                      <w:b/>
                      <w:bCs/>
                      <w:color w:val="auto"/>
                      <w:kern w:val="2"/>
                      <w:sz w:val="18"/>
                      <w:szCs w:val="18"/>
                      <w:lang w:val="en-US" w:eastAsia="zh-CN" w:bidi="ar-SA"/>
                    </w:rPr>
                  </w:pPr>
                  <w:r>
                    <w:rPr>
                      <w:rFonts w:hint="eastAsia"/>
                      <w:color w:val="auto"/>
                      <w:sz w:val="18"/>
                      <w:szCs w:val="18"/>
                    </w:rPr>
                    <w:t>红冲加热炉</w:t>
                  </w:r>
                  <w:r>
                    <w:rPr>
                      <w:rFonts w:hint="eastAsia"/>
                      <w:color w:val="auto"/>
                      <w:sz w:val="18"/>
                      <w:szCs w:val="18"/>
                      <w:lang w:val="en-US" w:eastAsia="zh-CN"/>
                    </w:rPr>
                    <w:t>废气</w:t>
                  </w:r>
                </w:p>
              </w:tc>
              <w:tc>
                <w:tcPr>
                  <w:tcW w:w="2916" w:type="dxa"/>
                  <w:tcBorders>
                    <w:tl2br w:val="nil"/>
                    <w:tr2bl w:val="nil"/>
                  </w:tcBorders>
                  <w:shd w:val="clear" w:color="auto" w:fill="auto"/>
                  <w:vAlign w:val="center"/>
                </w:tcPr>
                <w:p w14:paraId="22171D4D">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通过1根15</w:t>
                  </w:r>
                  <w:r>
                    <w:rPr>
                      <w:color w:val="auto"/>
                      <w:sz w:val="18"/>
                      <w:szCs w:val="18"/>
                    </w:rPr>
                    <w:t>m</w:t>
                  </w:r>
                  <w:r>
                    <w:rPr>
                      <w:rFonts w:hint="eastAsia"/>
                      <w:color w:val="auto"/>
                      <w:sz w:val="18"/>
                      <w:szCs w:val="18"/>
                    </w:rPr>
                    <w:t>高排气筒排放</w:t>
                  </w:r>
                </w:p>
              </w:tc>
              <w:tc>
                <w:tcPr>
                  <w:tcW w:w="3247" w:type="dxa"/>
                  <w:tcBorders>
                    <w:tl2br w:val="nil"/>
                    <w:tr2bl w:val="nil"/>
                  </w:tcBorders>
                  <w:vAlign w:val="center"/>
                </w:tcPr>
                <w:p w14:paraId="3E669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kern w:val="0"/>
                      <w:sz w:val="18"/>
                      <w:szCs w:val="18"/>
                      <w:lang w:val="en-US" w:eastAsia="zh-CN"/>
                    </w:rPr>
                    <w:t>《福建省工业炉窑大气污染综合治理方案》中鼓励采用的排放限值</w:t>
                  </w:r>
                </w:p>
              </w:tc>
            </w:tr>
            <w:tr w14:paraId="433C6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35B7C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shd w:val="clear" w:color="auto" w:fill="auto"/>
                  <w:vAlign w:val="center"/>
                </w:tcPr>
                <w:p w14:paraId="05F53C00">
                  <w:pPr>
                    <w:adjustRightInd w:val="0"/>
                    <w:snapToGrid w:val="0"/>
                    <w:jc w:val="center"/>
                    <w:rPr>
                      <w:rFonts w:hint="default" w:ascii="Times New Roman" w:hAnsi="Times New Roman" w:eastAsia="宋体" w:cs="Times New Roman"/>
                      <w:b/>
                      <w:bCs/>
                      <w:color w:val="auto"/>
                      <w:kern w:val="2"/>
                      <w:sz w:val="18"/>
                      <w:szCs w:val="18"/>
                      <w:lang w:val="en-US" w:eastAsia="zh-CN" w:bidi="ar-SA"/>
                    </w:rPr>
                  </w:pPr>
                  <w:r>
                    <w:rPr>
                      <w:rFonts w:hint="eastAsia"/>
                      <w:color w:val="auto"/>
                      <w:sz w:val="18"/>
                      <w:szCs w:val="18"/>
                      <w:lang w:eastAsia="zh-CN"/>
                    </w:rPr>
                    <w:t>红冲工件</w:t>
                  </w:r>
                  <w:r>
                    <w:rPr>
                      <w:rFonts w:hint="eastAsia"/>
                      <w:color w:val="auto"/>
                      <w:sz w:val="18"/>
                      <w:szCs w:val="18"/>
                      <w:lang w:val="en-US" w:eastAsia="zh-CN"/>
                    </w:rPr>
                    <w:t>冲压、</w:t>
                  </w:r>
                  <w:r>
                    <w:rPr>
                      <w:rFonts w:hint="eastAsia"/>
                      <w:color w:val="auto"/>
                      <w:sz w:val="18"/>
                      <w:szCs w:val="18"/>
                      <w:lang w:eastAsia="zh-CN"/>
                    </w:rPr>
                    <w:t>抛丸</w:t>
                  </w:r>
                  <w:r>
                    <w:rPr>
                      <w:rFonts w:hint="eastAsia"/>
                      <w:color w:val="auto"/>
                      <w:sz w:val="18"/>
                      <w:szCs w:val="18"/>
                      <w:lang w:val="en-US" w:eastAsia="zh-CN"/>
                    </w:rPr>
                    <w:t>废气+铝锭</w:t>
                  </w:r>
                  <w:r>
                    <w:rPr>
                      <w:rFonts w:hint="eastAsia"/>
                      <w:color w:val="auto"/>
                      <w:sz w:val="18"/>
                      <w:szCs w:val="18"/>
                    </w:rPr>
                    <w:t>熔化、压铸、打磨</w:t>
                  </w:r>
                  <w:r>
                    <w:rPr>
                      <w:rFonts w:hint="eastAsia"/>
                      <w:color w:val="auto"/>
                      <w:sz w:val="18"/>
                      <w:szCs w:val="18"/>
                      <w:lang w:val="en-US" w:eastAsia="zh-CN"/>
                    </w:rPr>
                    <w:t>废气</w:t>
                  </w:r>
                </w:p>
              </w:tc>
              <w:tc>
                <w:tcPr>
                  <w:tcW w:w="2916" w:type="dxa"/>
                  <w:tcBorders>
                    <w:tl2br w:val="nil"/>
                    <w:tr2bl w:val="nil"/>
                  </w:tcBorders>
                  <w:shd w:val="clear" w:color="auto" w:fill="auto"/>
                  <w:vAlign w:val="center"/>
                </w:tcPr>
                <w:p w14:paraId="2956B724">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抛丸废气经设备自带除尘器处理后，冲压、打磨废气配备一套袋式除尘器处理，熔化和压铸废气配备一套袋式除尘器处理后，再汇集至一根15m排气筒排放</w:t>
                  </w:r>
                </w:p>
              </w:tc>
              <w:tc>
                <w:tcPr>
                  <w:tcW w:w="3247" w:type="dxa"/>
                  <w:tcBorders>
                    <w:tl2br w:val="nil"/>
                    <w:tr2bl w:val="nil"/>
                  </w:tcBorders>
                  <w:vAlign w:val="center"/>
                </w:tcPr>
                <w:p w14:paraId="3344E2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rPr>
                    <w:t>《铸造工业大气污染物排放标准》（GB39726-2020）表1标准</w:t>
                  </w:r>
                </w:p>
              </w:tc>
            </w:tr>
            <w:tr w14:paraId="60F50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1" w:type="dxa"/>
                  <w:gridSpan w:val="2"/>
                  <w:tcBorders>
                    <w:tl2br w:val="nil"/>
                    <w:tr2bl w:val="nil"/>
                  </w:tcBorders>
                  <w:vAlign w:val="center"/>
                </w:tcPr>
                <w:p w14:paraId="56AA2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lang w:val="en-US" w:eastAsia="zh-CN"/>
                    </w:rPr>
                    <w:t>厂界无组织废气</w:t>
                  </w:r>
                </w:p>
              </w:tc>
              <w:tc>
                <w:tcPr>
                  <w:tcW w:w="2916" w:type="dxa"/>
                  <w:vMerge w:val="restart"/>
                  <w:tcBorders>
                    <w:tl2br w:val="nil"/>
                    <w:tr2bl w:val="nil"/>
                  </w:tcBorders>
                  <w:vAlign w:val="center"/>
                </w:tcPr>
                <w:p w14:paraId="2FD043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A.在物料装卸过程中应轻装轻卸，在允许的条件下可在室内进行装卸，加强车间吸尘范围及设备吸尘效率，使物料装卸及项目生产运营过程中产生的无组织废气降到最低；</w:t>
                  </w:r>
                </w:p>
                <w:p w14:paraId="7B9A6E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B.合理布置车间，加强设备管理，将产生无组织废气的产生源布置在远离厂界的地方，以减少无组织废气对厂界周围环境的影响；</w:t>
                  </w:r>
                </w:p>
                <w:p w14:paraId="40DD01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C.加强废气收集装置的运行管理，确保废气的收集率，以减少人为造成的废气无组织排放；</w:t>
                  </w:r>
                </w:p>
                <w:p w14:paraId="4E1491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D.粘土砂等原辅料厂内转移、输送过程，应封闭或采取覆盖等抑尘措施；转移、输送、装卸过程中产尘点应采取集气除尘措施，或喷淋（雾）等抑尘措施；</w:t>
                  </w:r>
                </w:p>
                <w:p w14:paraId="68501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E.袋式除尘器卸灰口应采取遮挡等抑尘措施，除尘灰不得直接卸落到地面。除尘灰采取袋装、罐装等密闭措施收集、存放和运输；</w:t>
                  </w:r>
                </w:p>
                <w:p w14:paraId="05623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F.废气产生量大的工序如：清砂、喷砂清理、砂处理等工序应在封闭空间内操作，废气收集至除尘设施；未在封闭空间内操作，应采用固定式、移动式集气设备，并配备除尘设施；</w:t>
                  </w:r>
                </w:p>
                <w:p w14:paraId="558544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G.环保设备故障时，对应产污工序应及时停产，熔化设备在熔化完成后停产。</w:t>
                  </w:r>
                </w:p>
                <w:p w14:paraId="71C8EA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highlight w:val="none"/>
                      <w:lang w:val="en-US" w:eastAsia="zh-CN"/>
                    </w:rPr>
                    <w:t>H.焊接、激光切割等工序采用移动式集气罩和移动式烟尘净化器收集、处理烟尘废气。</w:t>
                  </w:r>
                </w:p>
              </w:tc>
              <w:tc>
                <w:tcPr>
                  <w:tcW w:w="3247" w:type="dxa"/>
                  <w:tcBorders>
                    <w:tl2br w:val="nil"/>
                    <w:tr2bl w:val="nil"/>
                  </w:tcBorders>
                  <w:vAlign w:val="center"/>
                </w:tcPr>
                <w:p w14:paraId="51D8F8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kern w:val="0"/>
                      <w:sz w:val="18"/>
                      <w:szCs w:val="18"/>
                      <w:lang w:val="en-US" w:eastAsia="zh-CN"/>
                    </w:rPr>
                    <w:t>厂界颗粒物、非甲烷总烃</w:t>
                  </w:r>
                  <w:r>
                    <w:rPr>
                      <w:rFonts w:hint="eastAsia"/>
                      <w:color w:val="auto"/>
                      <w:kern w:val="0"/>
                      <w:sz w:val="18"/>
                      <w:szCs w:val="18"/>
                    </w:rPr>
                    <w:t>执行</w:t>
                  </w:r>
                  <w:r>
                    <w:rPr>
                      <w:color w:val="auto"/>
                      <w:sz w:val="18"/>
                      <w:szCs w:val="18"/>
                    </w:rPr>
                    <w:t>《大气污染物综合排放标准》（GB16297-1996）</w:t>
                  </w:r>
                  <w:r>
                    <w:rPr>
                      <w:rFonts w:hint="eastAsia"/>
                      <w:color w:val="auto"/>
                      <w:sz w:val="18"/>
                      <w:szCs w:val="18"/>
                    </w:rPr>
                    <w:t>表2中无组织排放监控浓度限值</w:t>
                  </w:r>
                  <w:r>
                    <w:rPr>
                      <w:rFonts w:hint="eastAsia"/>
                      <w:color w:val="auto"/>
                      <w:sz w:val="18"/>
                      <w:szCs w:val="18"/>
                      <w:lang w:val="en-US" w:eastAsia="zh-CN"/>
                    </w:rPr>
                    <w:t>和</w:t>
                  </w:r>
                  <w:r>
                    <w:rPr>
                      <w:rFonts w:hint="eastAsia"/>
                      <w:color w:val="auto"/>
                      <w:sz w:val="18"/>
                      <w:szCs w:val="18"/>
                      <w:lang w:eastAsia="zh-CN"/>
                    </w:rPr>
                    <w:t>《工业涂装工序挥发性有机物排放标准》（DB35/1783</w:t>
                  </w:r>
                  <w:r>
                    <w:rPr>
                      <w:rFonts w:hint="eastAsia"/>
                      <w:color w:val="auto"/>
                      <w:sz w:val="18"/>
                      <w:szCs w:val="18"/>
                      <w:lang w:val="en-US" w:eastAsia="zh-CN"/>
                    </w:rPr>
                    <w:t>-</w:t>
                  </w:r>
                  <w:r>
                    <w:rPr>
                      <w:rFonts w:hint="eastAsia"/>
                      <w:color w:val="auto"/>
                      <w:sz w:val="18"/>
                      <w:szCs w:val="18"/>
                      <w:lang w:eastAsia="zh-CN"/>
                    </w:rPr>
                    <w:t>2018）</w:t>
                  </w:r>
                  <w:r>
                    <w:rPr>
                      <w:rFonts w:hint="eastAsia"/>
                      <w:color w:val="auto"/>
                      <w:sz w:val="18"/>
                      <w:szCs w:val="18"/>
                      <w:lang w:val="en-US" w:eastAsia="zh-CN"/>
                    </w:rPr>
                    <w:t>表4标准限值，臭气浓度执行</w:t>
                  </w:r>
                  <w:r>
                    <w:rPr>
                      <w:rFonts w:hint="eastAsia"/>
                      <w:color w:val="auto"/>
                      <w:sz w:val="18"/>
                      <w:szCs w:val="18"/>
                      <w:lang w:eastAsia="zh-CN"/>
                    </w:rPr>
                    <w:t>《恶臭污染物排放标准》（GB14554-1993）</w:t>
                  </w:r>
                </w:p>
              </w:tc>
            </w:tr>
            <w:tr w14:paraId="25D2A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1" w:type="dxa"/>
                  <w:gridSpan w:val="2"/>
                  <w:tcBorders>
                    <w:tl2br w:val="nil"/>
                    <w:tr2bl w:val="nil"/>
                  </w:tcBorders>
                  <w:vAlign w:val="center"/>
                </w:tcPr>
                <w:p w14:paraId="4F313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lang w:val="en-US" w:eastAsia="zh-CN"/>
                    </w:rPr>
                    <w:t>厂区内无组织废气</w:t>
                  </w:r>
                </w:p>
              </w:tc>
              <w:tc>
                <w:tcPr>
                  <w:tcW w:w="2916" w:type="dxa"/>
                  <w:vMerge w:val="continue"/>
                  <w:tcBorders>
                    <w:tl2br w:val="nil"/>
                    <w:tr2bl w:val="nil"/>
                  </w:tcBorders>
                  <w:vAlign w:val="center"/>
                </w:tcPr>
                <w:p w14:paraId="71E33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3247" w:type="dxa"/>
                  <w:tcBorders>
                    <w:tl2br w:val="nil"/>
                    <w:tr2bl w:val="nil"/>
                  </w:tcBorders>
                  <w:vAlign w:val="center"/>
                </w:tcPr>
                <w:p w14:paraId="05E14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lang w:val="en-US" w:eastAsia="zh-CN"/>
                    </w:rPr>
                    <w:t>颗粒物</w:t>
                  </w:r>
                  <w:r>
                    <w:rPr>
                      <w:color w:val="auto"/>
                      <w:sz w:val="18"/>
                      <w:szCs w:val="18"/>
                    </w:rPr>
                    <w:t>厂内监控</w:t>
                  </w:r>
                  <w:r>
                    <w:rPr>
                      <w:rFonts w:hint="eastAsia"/>
                      <w:color w:val="auto"/>
                      <w:sz w:val="18"/>
                      <w:szCs w:val="18"/>
                      <w:lang w:val="en-US" w:eastAsia="zh-CN"/>
                    </w:rPr>
                    <w:t>点</w:t>
                  </w:r>
                  <w:r>
                    <w:rPr>
                      <w:rFonts w:hint="eastAsia"/>
                      <w:color w:val="auto"/>
                      <w:sz w:val="18"/>
                      <w:szCs w:val="18"/>
                    </w:rPr>
                    <w:t>执行《铸造工业大气污染物排放标准》（GB39726-2020）表</w:t>
                  </w:r>
                  <w:r>
                    <w:rPr>
                      <w:rFonts w:hint="eastAsia"/>
                      <w:color w:val="auto"/>
                      <w:sz w:val="18"/>
                      <w:szCs w:val="18"/>
                      <w:lang w:val="en-US" w:eastAsia="zh-CN"/>
                    </w:rPr>
                    <w:t>A.</w:t>
                  </w:r>
                  <w:r>
                    <w:rPr>
                      <w:rFonts w:hint="eastAsia"/>
                      <w:color w:val="auto"/>
                      <w:sz w:val="18"/>
                      <w:szCs w:val="18"/>
                    </w:rPr>
                    <w:t>1标准</w:t>
                  </w:r>
                  <w:r>
                    <w:rPr>
                      <w:rFonts w:hint="eastAsia"/>
                      <w:color w:val="auto"/>
                      <w:sz w:val="18"/>
                      <w:szCs w:val="18"/>
                      <w:lang w:val="en-US" w:eastAsia="zh-CN"/>
                    </w:rPr>
                    <w:t>，</w:t>
                  </w:r>
                  <w:r>
                    <w:rPr>
                      <w:color w:val="auto"/>
                      <w:sz w:val="18"/>
                      <w:szCs w:val="18"/>
                    </w:rPr>
                    <w:t>非甲烷总烃</w:t>
                  </w:r>
                  <w:r>
                    <w:rPr>
                      <w:rFonts w:hint="eastAsia"/>
                      <w:color w:val="auto"/>
                      <w:sz w:val="18"/>
                      <w:szCs w:val="18"/>
                      <w:lang w:val="en-US" w:eastAsia="zh-CN"/>
                    </w:rPr>
                    <w:t>厂区内监控点执行</w:t>
                  </w:r>
                  <w:r>
                    <w:rPr>
                      <w:rFonts w:hint="eastAsia"/>
                      <w:color w:val="auto"/>
                      <w:sz w:val="18"/>
                      <w:szCs w:val="18"/>
                    </w:rPr>
                    <w:t>《工业涂装工序挥发性有机物排放标准》（DB35/1783-2018）表3</w:t>
                  </w:r>
                  <w:r>
                    <w:rPr>
                      <w:rFonts w:hint="eastAsia"/>
                      <w:color w:val="auto"/>
                      <w:sz w:val="18"/>
                      <w:szCs w:val="18"/>
                      <w:lang w:val="en-US" w:eastAsia="zh-CN"/>
                    </w:rPr>
                    <w:t>标准限值、任意一次值执行《铸造工业大气污染物排放标准》（GB39726-2020）表A.1标准限值。</w:t>
                  </w:r>
                </w:p>
              </w:tc>
            </w:tr>
            <w:tr w14:paraId="12EAF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1" w:type="dxa"/>
                  <w:gridSpan w:val="2"/>
                  <w:tcBorders>
                    <w:tl2br w:val="nil"/>
                    <w:tr2bl w:val="nil"/>
                  </w:tcBorders>
                  <w:vAlign w:val="center"/>
                </w:tcPr>
                <w:p w14:paraId="12359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噪声</w:t>
                  </w:r>
                </w:p>
              </w:tc>
              <w:tc>
                <w:tcPr>
                  <w:tcW w:w="2916" w:type="dxa"/>
                  <w:tcBorders>
                    <w:tl2br w:val="nil"/>
                    <w:tr2bl w:val="nil"/>
                  </w:tcBorders>
                  <w:vAlign w:val="center"/>
                </w:tcPr>
                <w:p w14:paraId="67D231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rPr>
                    <w:t>隔声、减振</w:t>
                  </w:r>
                </w:p>
              </w:tc>
              <w:tc>
                <w:tcPr>
                  <w:tcW w:w="3247" w:type="dxa"/>
                  <w:tcBorders>
                    <w:tl2br w:val="nil"/>
                    <w:tr2bl w:val="nil"/>
                  </w:tcBorders>
                  <w:vAlign w:val="center"/>
                </w:tcPr>
                <w:p w14:paraId="32B4B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rPr>
                    <w:t>《工业企业厂界环境噪声排放标准》（GB12348-2008）中3类区标准</w:t>
                  </w:r>
                </w:p>
              </w:tc>
            </w:tr>
            <w:tr w14:paraId="6E75A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restart"/>
                  <w:tcBorders>
                    <w:tl2br w:val="nil"/>
                    <w:tr2bl w:val="nil"/>
                  </w:tcBorders>
                  <w:vAlign w:val="center"/>
                </w:tcPr>
                <w:p w14:paraId="3BCD4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固体废物</w:t>
                  </w:r>
                </w:p>
              </w:tc>
              <w:tc>
                <w:tcPr>
                  <w:tcW w:w="1104" w:type="dxa"/>
                  <w:tcBorders>
                    <w:tl2br w:val="nil"/>
                    <w:tr2bl w:val="nil"/>
                  </w:tcBorders>
                  <w:vAlign w:val="center"/>
                </w:tcPr>
                <w:p w14:paraId="5ACE8C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生活垃圾</w:t>
                  </w:r>
                </w:p>
              </w:tc>
              <w:tc>
                <w:tcPr>
                  <w:tcW w:w="2916" w:type="dxa"/>
                  <w:tcBorders>
                    <w:tl2br w:val="nil"/>
                    <w:tr2bl w:val="nil"/>
                  </w:tcBorders>
                  <w:vAlign w:val="center"/>
                </w:tcPr>
                <w:p w14:paraId="254DA3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集中收集后交由环卫部门清运处置</w:t>
                  </w:r>
                </w:p>
              </w:tc>
              <w:tc>
                <w:tcPr>
                  <w:tcW w:w="3247" w:type="dxa"/>
                  <w:tcBorders>
                    <w:tl2br w:val="nil"/>
                    <w:tr2bl w:val="nil"/>
                  </w:tcBorders>
                  <w:vAlign w:val="center"/>
                </w:tcPr>
                <w:p w14:paraId="0ABAA4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rPr>
                    <w:t>参照《城市环境卫生设施规划规范》（GB/T50337-2018）</w:t>
                  </w:r>
                </w:p>
              </w:tc>
            </w:tr>
            <w:tr w14:paraId="754A9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0F0A9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vAlign w:val="center"/>
                </w:tcPr>
                <w:p w14:paraId="51CF18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一般工业固体废物</w:t>
                  </w:r>
                </w:p>
              </w:tc>
              <w:tc>
                <w:tcPr>
                  <w:tcW w:w="2916" w:type="dxa"/>
                  <w:tcBorders>
                    <w:tl2br w:val="nil"/>
                    <w:tr2bl w:val="nil"/>
                  </w:tcBorders>
                  <w:vAlign w:val="center"/>
                </w:tcPr>
                <w:p w14:paraId="04663B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建设一座130㎡一般固废暂存间，一般工业固体废物分类收集、规范暂存，外售综合利用</w:t>
                  </w:r>
                </w:p>
              </w:tc>
              <w:tc>
                <w:tcPr>
                  <w:tcW w:w="3247" w:type="dxa"/>
                  <w:tcBorders>
                    <w:tl2br w:val="nil"/>
                    <w:tr2bl w:val="nil"/>
                  </w:tcBorders>
                  <w:vAlign w:val="center"/>
                </w:tcPr>
                <w:p w14:paraId="13C65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rPr>
                    <w:t>《一般工业固体废物贮存和填埋污染控制标准》(GB18599-2020)中标准要求</w:t>
                  </w:r>
                </w:p>
              </w:tc>
            </w:tr>
            <w:tr w14:paraId="5DF5D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 w:type="dxa"/>
                  <w:vMerge w:val="continue"/>
                  <w:tcBorders>
                    <w:tl2br w:val="nil"/>
                    <w:tr2bl w:val="nil"/>
                  </w:tcBorders>
                  <w:vAlign w:val="center"/>
                </w:tcPr>
                <w:p w14:paraId="36FD99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p>
              </w:tc>
              <w:tc>
                <w:tcPr>
                  <w:tcW w:w="1104" w:type="dxa"/>
                  <w:tcBorders>
                    <w:tl2br w:val="nil"/>
                    <w:tr2bl w:val="nil"/>
                  </w:tcBorders>
                  <w:vAlign w:val="center"/>
                </w:tcPr>
                <w:p w14:paraId="04AA12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危险废物</w:t>
                  </w:r>
                </w:p>
              </w:tc>
              <w:tc>
                <w:tcPr>
                  <w:tcW w:w="2916" w:type="dxa"/>
                  <w:tcBorders>
                    <w:tl2br w:val="nil"/>
                    <w:tr2bl w:val="nil"/>
                  </w:tcBorders>
                  <w:vAlign w:val="center"/>
                </w:tcPr>
                <w:p w14:paraId="72F83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vertAlign w:val="baseline"/>
                      <w:lang w:val="en-US"/>
                    </w:rPr>
                  </w:pPr>
                  <w:r>
                    <w:rPr>
                      <w:rFonts w:hint="eastAsia"/>
                      <w:color w:val="auto"/>
                      <w:sz w:val="18"/>
                      <w:szCs w:val="18"/>
                      <w:vertAlign w:val="baseline"/>
                      <w:lang w:val="en-US" w:eastAsia="zh-CN"/>
                    </w:rPr>
                    <w:t>建设一座125㎡危险废物暂存间，危险废物分类收集、规范暂存，交由有资质单位处置</w:t>
                  </w:r>
                </w:p>
              </w:tc>
              <w:tc>
                <w:tcPr>
                  <w:tcW w:w="3247" w:type="dxa"/>
                  <w:tcBorders>
                    <w:tl2br w:val="nil"/>
                    <w:tr2bl w:val="nil"/>
                  </w:tcBorders>
                  <w:vAlign w:val="center"/>
                </w:tcPr>
                <w:p w14:paraId="304EEB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rPr>
                    <w:t>《危险废物贮存污染控制标准》（GB 18597-2023）中标准要求</w:t>
                  </w:r>
                </w:p>
              </w:tc>
            </w:tr>
            <w:tr w14:paraId="08ECB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1" w:type="dxa"/>
                  <w:gridSpan w:val="2"/>
                  <w:tcBorders>
                    <w:tl2br w:val="nil"/>
                    <w:tr2bl w:val="nil"/>
                  </w:tcBorders>
                  <w:vAlign w:val="center"/>
                </w:tcPr>
                <w:p w14:paraId="0A695F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环境风险</w:t>
                  </w:r>
                </w:p>
              </w:tc>
              <w:tc>
                <w:tcPr>
                  <w:tcW w:w="2916" w:type="dxa"/>
                  <w:tcBorders>
                    <w:tl2br w:val="nil"/>
                    <w:tr2bl w:val="nil"/>
                  </w:tcBorders>
                  <w:vAlign w:val="center"/>
                </w:tcPr>
                <w:p w14:paraId="59A2E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建设不小于133.9m³应急池，制定突发环境事件应急预案并上报三明市大田生态环境局备案。</w:t>
                  </w:r>
                </w:p>
              </w:tc>
              <w:tc>
                <w:tcPr>
                  <w:tcW w:w="3247" w:type="dxa"/>
                  <w:tcBorders>
                    <w:tl2br w:val="nil"/>
                    <w:tr2bl w:val="nil"/>
                  </w:tcBorders>
                  <w:vAlign w:val="center"/>
                </w:tcPr>
                <w:p w14:paraId="54C307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lang w:val="en-US" w:eastAsia="zh-CN"/>
                    </w:rPr>
                    <w:t>验收落实情况</w:t>
                  </w:r>
                </w:p>
              </w:tc>
            </w:tr>
            <w:tr w14:paraId="5A47C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1" w:type="dxa"/>
                  <w:gridSpan w:val="2"/>
                  <w:tcBorders>
                    <w:tl2br w:val="nil"/>
                    <w:tr2bl w:val="nil"/>
                  </w:tcBorders>
                  <w:vAlign w:val="center"/>
                </w:tcPr>
                <w:p w14:paraId="793020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18"/>
                      <w:szCs w:val="18"/>
                      <w:vertAlign w:val="baseline"/>
                      <w:lang w:val="en-US" w:eastAsia="zh-CN"/>
                    </w:rPr>
                  </w:pPr>
                  <w:r>
                    <w:rPr>
                      <w:rFonts w:hint="eastAsia"/>
                      <w:color w:val="auto"/>
                      <w:sz w:val="18"/>
                      <w:szCs w:val="18"/>
                      <w:vertAlign w:val="baseline"/>
                      <w:lang w:val="en-US" w:eastAsia="zh-CN"/>
                    </w:rPr>
                    <w:t>环境管理</w:t>
                  </w:r>
                </w:p>
              </w:tc>
              <w:tc>
                <w:tcPr>
                  <w:tcW w:w="2916" w:type="dxa"/>
                  <w:tcBorders>
                    <w:tl2br w:val="nil"/>
                    <w:tr2bl w:val="nil"/>
                  </w:tcBorders>
                  <w:vAlign w:val="center"/>
                </w:tcPr>
                <w:p w14:paraId="25A9BD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vertAlign w:val="baseline"/>
                    </w:rPr>
                  </w:pPr>
                  <w:r>
                    <w:rPr>
                      <w:rFonts w:hint="eastAsia"/>
                      <w:color w:val="auto"/>
                      <w:sz w:val="18"/>
                      <w:szCs w:val="18"/>
                      <w:vertAlign w:val="baseline"/>
                    </w:rPr>
                    <w:t>建立完善的环保管理制度，设立环境管理科；加强管理</w:t>
                  </w:r>
                  <w:r>
                    <w:rPr>
                      <w:rFonts w:hint="eastAsia"/>
                      <w:color w:val="auto"/>
                      <w:sz w:val="18"/>
                      <w:szCs w:val="18"/>
                      <w:vertAlign w:val="baseline"/>
                      <w:lang w:eastAsia="zh-CN"/>
                    </w:rPr>
                    <w:t>，</w:t>
                  </w:r>
                  <w:r>
                    <w:rPr>
                      <w:rFonts w:hint="eastAsia"/>
                      <w:color w:val="auto"/>
                      <w:sz w:val="18"/>
                      <w:szCs w:val="18"/>
                      <w:vertAlign w:val="baseline"/>
                    </w:rPr>
                    <w:t>做好废气</w:t>
                  </w:r>
                  <w:r>
                    <w:rPr>
                      <w:rFonts w:hint="eastAsia"/>
                      <w:color w:val="auto"/>
                      <w:sz w:val="18"/>
                      <w:szCs w:val="18"/>
                      <w:vertAlign w:val="baseline"/>
                      <w:lang w:val="en-US" w:eastAsia="zh-CN"/>
                    </w:rPr>
                    <w:t>治理</w:t>
                  </w:r>
                  <w:r>
                    <w:rPr>
                      <w:rFonts w:hint="eastAsia"/>
                      <w:color w:val="auto"/>
                      <w:sz w:val="18"/>
                      <w:szCs w:val="18"/>
                      <w:vertAlign w:val="baseline"/>
                    </w:rPr>
                    <w:t>和固废处置的有关记录和管理工作。</w:t>
                  </w:r>
                </w:p>
              </w:tc>
              <w:tc>
                <w:tcPr>
                  <w:tcW w:w="3247" w:type="dxa"/>
                  <w:tcBorders>
                    <w:tl2br w:val="nil"/>
                    <w:tr2bl w:val="nil"/>
                  </w:tcBorders>
                  <w:vAlign w:val="center"/>
                </w:tcPr>
                <w:p w14:paraId="68A20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验收落实情况</w:t>
                  </w:r>
                </w:p>
              </w:tc>
            </w:tr>
          </w:tbl>
          <w:p w14:paraId="127E7D75">
            <w:pPr>
              <w:adjustRightInd w:val="0"/>
              <w:snapToGrid w:val="0"/>
              <w:spacing w:line="360" w:lineRule="auto"/>
              <w:ind w:firstLine="420" w:firstLineChars="200"/>
              <w:rPr>
                <w:color w:val="auto"/>
              </w:rPr>
            </w:pPr>
          </w:p>
          <w:p w14:paraId="2907DA06">
            <w:pPr>
              <w:adjustRightInd w:val="0"/>
              <w:snapToGrid w:val="0"/>
              <w:spacing w:line="360" w:lineRule="auto"/>
              <w:ind w:firstLine="420" w:firstLineChars="200"/>
              <w:rPr>
                <w:color w:val="auto"/>
              </w:rPr>
            </w:pPr>
          </w:p>
          <w:p w14:paraId="01E3736A">
            <w:pPr>
              <w:adjustRightInd w:val="0"/>
              <w:snapToGrid w:val="0"/>
              <w:spacing w:line="360" w:lineRule="auto"/>
              <w:ind w:firstLine="420" w:firstLineChars="200"/>
              <w:rPr>
                <w:color w:val="auto"/>
              </w:rPr>
            </w:pPr>
          </w:p>
        </w:tc>
      </w:tr>
    </w:tbl>
    <w:p w14:paraId="5031FA28">
      <w:pPr>
        <w:pStyle w:val="24"/>
        <w:jc w:val="center"/>
        <w:outlineLvl w:val="0"/>
        <w:rPr>
          <w:rFonts w:hint="default" w:ascii="黑体" w:hAnsi="黑体" w:eastAsia="黑体" w:cs="Times New Roman"/>
          <w:snapToGrid w:val="0"/>
          <w:color w:val="auto"/>
          <w:sz w:val="24"/>
          <w:szCs w:val="24"/>
          <w:lang w:val="en-US" w:eastAsia="zh-CN"/>
        </w:rPr>
      </w:pPr>
      <w:r>
        <w:rPr>
          <w:snapToGrid w:val="0"/>
          <w:color w:val="auto"/>
          <w:sz w:val="24"/>
          <w:szCs w:val="24"/>
        </w:rPr>
        <w:br w:type="page"/>
      </w:r>
      <w:bookmarkStart w:id="40" w:name="_Toc28651"/>
      <w:bookmarkStart w:id="41" w:name="_Toc7836"/>
      <w:bookmarkStart w:id="42" w:name="_Toc19507"/>
      <w:bookmarkStart w:id="43" w:name="_Toc11130"/>
      <w:r>
        <w:rPr>
          <w:rFonts w:hint="default" w:ascii="黑体" w:hAnsi="黑体" w:eastAsia="黑体" w:cs="Times New Roman"/>
          <w:snapToGrid w:val="0"/>
          <w:color w:val="auto"/>
          <w:sz w:val="24"/>
          <w:szCs w:val="24"/>
          <w:lang w:val="en-US" w:eastAsia="zh-CN"/>
        </w:rPr>
        <w:t>六、结论</w:t>
      </w:r>
      <w:bookmarkEnd w:id="40"/>
      <w:bookmarkEnd w:id="41"/>
      <w:bookmarkEnd w:id="42"/>
      <w:bookmarkEnd w:id="43"/>
    </w:p>
    <w:tbl>
      <w:tblPr>
        <w:tblStyle w:val="29"/>
        <w:tblW w:w="90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59"/>
      </w:tblGrid>
      <w:tr w14:paraId="3F655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41" w:hRule="atLeast"/>
          <w:jc w:val="center"/>
        </w:trPr>
        <w:tc>
          <w:tcPr>
            <w:tcW w:w="9059" w:type="dxa"/>
            <w:noWrap/>
            <w:vAlign w:val="center"/>
          </w:tcPr>
          <w:p w14:paraId="068D904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w:t>
            </w:r>
            <w:r>
              <w:rPr>
                <w:rFonts w:hint="eastAsia" w:cs="Times New Roman"/>
                <w:color w:val="auto"/>
                <w:sz w:val="24"/>
                <w:szCs w:val="24"/>
                <w:lang w:eastAsia="zh-CN"/>
              </w:rPr>
              <w:t>福建省福胜智能制造有限公司</w:t>
            </w:r>
            <w:r>
              <w:rPr>
                <w:rFonts w:hint="eastAsia"/>
                <w:color w:val="auto"/>
                <w:sz w:val="24"/>
                <w:szCs w:val="24"/>
                <w:lang w:eastAsia="zh-CN"/>
              </w:rPr>
              <w:t>大田福胜精密铸件生产及机械加工项目（重新报批）</w:t>
            </w:r>
            <w:r>
              <w:rPr>
                <w:rFonts w:hint="default" w:ascii="Times New Roman" w:hAnsi="Times New Roman" w:cs="Times New Roman"/>
                <w:color w:val="auto"/>
                <w:sz w:val="24"/>
                <w:szCs w:val="24"/>
              </w:rPr>
              <w:t>建设符合国家的产业政策，</w:t>
            </w:r>
            <w:r>
              <w:rPr>
                <w:rFonts w:hint="eastAsia" w:ascii="Times New Roman" w:hAnsi="Times New Roman" w:cs="Times New Roman"/>
                <w:color w:val="auto"/>
                <w:sz w:val="24"/>
                <w:szCs w:val="24"/>
                <w:lang w:val="en-US" w:eastAsia="zh-CN"/>
              </w:rPr>
              <w:t>符合园区规划，</w:t>
            </w:r>
            <w:r>
              <w:rPr>
                <w:rFonts w:hint="default" w:ascii="Times New Roman" w:hAnsi="Times New Roman" w:cs="Times New Roman"/>
                <w:color w:val="auto"/>
                <w:sz w:val="24"/>
                <w:szCs w:val="24"/>
              </w:rPr>
              <w:t>选址合理。项目建成投入</w:t>
            </w:r>
            <w:r>
              <w:rPr>
                <w:rFonts w:hint="eastAsia" w:cs="Times New Roman"/>
                <w:color w:val="auto"/>
                <w:sz w:val="24"/>
                <w:szCs w:val="24"/>
                <w:lang w:val="en-US" w:eastAsia="zh-CN"/>
              </w:rPr>
              <w:t>运营</w:t>
            </w:r>
            <w:r>
              <w:rPr>
                <w:rFonts w:hint="default" w:ascii="Times New Roman" w:hAnsi="Times New Roman" w:cs="Times New Roman"/>
                <w:color w:val="auto"/>
                <w:sz w:val="24"/>
                <w:szCs w:val="24"/>
              </w:rPr>
              <w:t>后对周边的水、大气、噪声、固体废物环境的影响较小，水、大气、声环境质量符合环境功能区划的要求，在采取本报告提出的各项环保措施与对策，落实环保“三同时”制度前提下，从环境影响角度分析，项目的建设是可行的。</w:t>
            </w:r>
          </w:p>
          <w:p w14:paraId="0C8F8EE3">
            <w:pPr>
              <w:spacing w:line="360" w:lineRule="auto"/>
              <w:rPr>
                <w:rFonts w:hint="default" w:ascii="Times New Roman" w:hAnsi="Times New Roman" w:cs="Times New Roman"/>
                <w:color w:val="auto"/>
                <w:sz w:val="24"/>
                <w:szCs w:val="24"/>
              </w:rPr>
            </w:pPr>
          </w:p>
          <w:p w14:paraId="5856F2C5">
            <w:pPr>
              <w:spacing w:line="360" w:lineRule="auto"/>
              <w:rPr>
                <w:rFonts w:hint="default" w:ascii="Times New Roman" w:hAnsi="Times New Roman" w:cs="Times New Roman"/>
                <w:color w:val="auto"/>
                <w:sz w:val="24"/>
                <w:szCs w:val="24"/>
              </w:rPr>
            </w:pPr>
          </w:p>
          <w:p w14:paraId="51EBB2B1">
            <w:pPr>
              <w:spacing w:line="360" w:lineRule="auto"/>
              <w:rPr>
                <w:rFonts w:hint="default" w:ascii="Times New Roman" w:hAnsi="Times New Roman" w:cs="Times New Roman"/>
                <w:color w:val="auto"/>
                <w:sz w:val="24"/>
                <w:szCs w:val="24"/>
              </w:rPr>
            </w:pPr>
          </w:p>
          <w:p w14:paraId="68AC60E0">
            <w:pPr>
              <w:spacing w:line="360" w:lineRule="auto"/>
              <w:jc w:val="right"/>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编制单位：福建绿川环保科技有限公司</w:t>
            </w:r>
          </w:p>
          <w:p w14:paraId="2296B68A">
            <w:pPr>
              <w:pStyle w:val="28"/>
              <w:wordWrap w:val="0"/>
              <w:jc w:val="right"/>
              <w:rPr>
                <w:rFonts w:hint="default"/>
                <w:b/>
                <w:bCs/>
                <w:color w:val="auto"/>
                <w:sz w:val="24"/>
                <w:szCs w:val="24"/>
                <w:lang w:val="en-US" w:eastAsia="zh-CN"/>
              </w:rPr>
            </w:pPr>
            <w:r>
              <w:rPr>
                <w:rFonts w:hint="eastAsia"/>
                <w:b/>
                <w:bCs/>
                <w:color w:val="auto"/>
                <w:sz w:val="24"/>
                <w:szCs w:val="24"/>
                <w:lang w:val="en-US" w:eastAsia="zh-CN"/>
              </w:rPr>
              <w:t xml:space="preserve">主编人员：夏雯琳     </w:t>
            </w:r>
          </w:p>
          <w:p w14:paraId="50D92D82">
            <w:pPr>
              <w:spacing w:line="360" w:lineRule="auto"/>
              <w:jc w:val="right"/>
              <w:rPr>
                <w:rFonts w:hint="default" w:ascii="Times New Roman" w:hAnsi="Times New Roman" w:cs="Times New Roman"/>
                <w:b/>
                <w:bCs/>
                <w:color w:val="auto"/>
                <w:sz w:val="24"/>
                <w:szCs w:val="24"/>
                <w:lang w:val="en-US" w:eastAsia="zh-CN"/>
              </w:rPr>
            </w:pPr>
            <w:r>
              <w:rPr>
                <w:rFonts w:hint="eastAsia"/>
                <w:b/>
                <w:bCs/>
                <w:color w:val="auto"/>
                <w:sz w:val="24"/>
                <w:szCs w:val="24"/>
                <w:lang w:val="en-US" w:eastAsia="zh-CN"/>
              </w:rPr>
              <w:t>联系电话：18065559769</w:t>
            </w:r>
          </w:p>
          <w:p w14:paraId="51DDD222">
            <w:pPr>
              <w:pStyle w:val="28"/>
              <w:jc w:val="right"/>
              <w:rPr>
                <w:rFonts w:hint="eastAsia"/>
                <w:b/>
                <w:bCs/>
                <w:color w:val="auto"/>
                <w:sz w:val="24"/>
                <w:szCs w:val="24"/>
                <w:lang w:val="en-US" w:eastAsia="zh-CN"/>
              </w:rPr>
            </w:pPr>
            <w:r>
              <w:rPr>
                <w:rFonts w:hint="eastAsia"/>
                <w:b/>
                <w:bCs/>
                <w:color w:val="auto"/>
                <w:sz w:val="24"/>
                <w:szCs w:val="24"/>
                <w:lang w:val="en-US" w:eastAsia="zh-CN"/>
              </w:rPr>
              <w:t>2025年8月</w:t>
            </w:r>
          </w:p>
          <w:p w14:paraId="30F2D923">
            <w:pPr>
              <w:pStyle w:val="28"/>
              <w:jc w:val="right"/>
              <w:rPr>
                <w:rFonts w:hint="eastAsia"/>
                <w:b/>
                <w:bCs/>
                <w:color w:val="auto"/>
                <w:sz w:val="24"/>
                <w:szCs w:val="24"/>
                <w:lang w:val="en-US" w:eastAsia="zh-CN"/>
              </w:rPr>
            </w:pPr>
          </w:p>
          <w:p w14:paraId="3233F298">
            <w:pPr>
              <w:pStyle w:val="28"/>
              <w:jc w:val="right"/>
              <w:rPr>
                <w:rFonts w:hint="eastAsia"/>
                <w:b/>
                <w:bCs/>
                <w:color w:val="auto"/>
                <w:sz w:val="24"/>
                <w:szCs w:val="24"/>
                <w:lang w:val="en-US" w:eastAsia="zh-CN"/>
              </w:rPr>
            </w:pPr>
          </w:p>
          <w:p w14:paraId="62E27D3B">
            <w:pPr>
              <w:pStyle w:val="28"/>
              <w:jc w:val="right"/>
              <w:rPr>
                <w:rFonts w:hint="default"/>
                <w:b/>
                <w:bCs/>
                <w:color w:val="auto"/>
                <w:sz w:val="24"/>
                <w:szCs w:val="24"/>
                <w:lang w:val="en-US" w:eastAsia="zh-CN"/>
              </w:rPr>
            </w:pPr>
          </w:p>
          <w:p w14:paraId="0EDDF44C">
            <w:pPr>
              <w:spacing w:line="360" w:lineRule="auto"/>
              <w:rPr>
                <w:rFonts w:hint="default" w:ascii="Times New Roman" w:hAnsi="Times New Roman" w:cs="Times New Roman"/>
                <w:color w:val="auto"/>
                <w:sz w:val="24"/>
                <w:szCs w:val="24"/>
              </w:rPr>
            </w:pPr>
          </w:p>
          <w:p w14:paraId="58D97D81">
            <w:pPr>
              <w:spacing w:line="360" w:lineRule="auto"/>
              <w:rPr>
                <w:rFonts w:hint="default" w:ascii="Times New Roman" w:hAnsi="Times New Roman" w:cs="Times New Roman"/>
                <w:color w:val="auto"/>
                <w:sz w:val="24"/>
                <w:szCs w:val="24"/>
              </w:rPr>
            </w:pPr>
          </w:p>
          <w:p w14:paraId="2B3012F6">
            <w:pPr>
              <w:spacing w:line="360" w:lineRule="auto"/>
              <w:rPr>
                <w:rFonts w:hint="default" w:ascii="Times New Roman" w:hAnsi="Times New Roman" w:cs="Times New Roman"/>
                <w:color w:val="auto"/>
                <w:sz w:val="24"/>
                <w:szCs w:val="24"/>
              </w:rPr>
            </w:pPr>
          </w:p>
          <w:p w14:paraId="65125478">
            <w:pPr>
              <w:spacing w:line="360" w:lineRule="auto"/>
              <w:rPr>
                <w:rFonts w:hint="default" w:ascii="Times New Roman" w:hAnsi="Times New Roman" w:cs="Times New Roman"/>
                <w:color w:val="auto"/>
                <w:sz w:val="24"/>
                <w:szCs w:val="24"/>
              </w:rPr>
            </w:pPr>
          </w:p>
          <w:p w14:paraId="46BAE602">
            <w:pPr>
              <w:spacing w:line="360" w:lineRule="auto"/>
              <w:rPr>
                <w:rFonts w:hint="default" w:ascii="Times New Roman" w:hAnsi="Times New Roman" w:cs="Times New Roman"/>
                <w:color w:val="auto"/>
                <w:sz w:val="24"/>
                <w:szCs w:val="24"/>
              </w:rPr>
            </w:pPr>
          </w:p>
          <w:p w14:paraId="6112285E">
            <w:pPr>
              <w:spacing w:line="360" w:lineRule="auto"/>
              <w:rPr>
                <w:rFonts w:hint="default" w:ascii="Times New Roman" w:hAnsi="Times New Roman" w:cs="Times New Roman"/>
                <w:color w:val="auto"/>
                <w:sz w:val="24"/>
                <w:szCs w:val="24"/>
              </w:rPr>
            </w:pPr>
          </w:p>
          <w:p w14:paraId="6F19A436">
            <w:pPr>
              <w:spacing w:line="360" w:lineRule="auto"/>
              <w:rPr>
                <w:rFonts w:hint="default" w:ascii="Times New Roman" w:hAnsi="Times New Roman" w:cs="Times New Roman"/>
                <w:color w:val="auto"/>
                <w:sz w:val="24"/>
                <w:szCs w:val="24"/>
              </w:rPr>
            </w:pPr>
          </w:p>
          <w:p w14:paraId="6E1EDB97">
            <w:pPr>
              <w:spacing w:line="360" w:lineRule="auto"/>
              <w:rPr>
                <w:rFonts w:hint="default" w:ascii="Times New Roman" w:hAnsi="Times New Roman" w:cs="Times New Roman"/>
                <w:color w:val="auto"/>
                <w:sz w:val="24"/>
                <w:szCs w:val="24"/>
              </w:rPr>
            </w:pPr>
          </w:p>
          <w:p w14:paraId="35E301A0">
            <w:pPr>
              <w:spacing w:line="360" w:lineRule="auto"/>
              <w:rPr>
                <w:rFonts w:hint="default" w:ascii="Times New Roman" w:hAnsi="Times New Roman" w:cs="Times New Roman"/>
                <w:color w:val="auto"/>
                <w:sz w:val="24"/>
                <w:szCs w:val="24"/>
              </w:rPr>
            </w:pPr>
          </w:p>
          <w:p w14:paraId="083AD0AE">
            <w:pPr>
              <w:spacing w:line="360" w:lineRule="auto"/>
              <w:rPr>
                <w:rFonts w:hint="default" w:ascii="Times New Roman" w:hAnsi="Times New Roman" w:cs="Times New Roman"/>
                <w:color w:val="auto"/>
                <w:sz w:val="24"/>
                <w:szCs w:val="24"/>
              </w:rPr>
            </w:pPr>
          </w:p>
          <w:p w14:paraId="1BBBE2F5">
            <w:pPr>
              <w:spacing w:line="360" w:lineRule="auto"/>
              <w:rPr>
                <w:rFonts w:hint="default" w:ascii="Times New Roman" w:hAnsi="Times New Roman" w:cs="Times New Roman"/>
                <w:color w:val="auto"/>
                <w:sz w:val="24"/>
                <w:szCs w:val="24"/>
              </w:rPr>
            </w:pPr>
          </w:p>
          <w:p w14:paraId="7EA85C4D">
            <w:pPr>
              <w:spacing w:line="360" w:lineRule="auto"/>
              <w:rPr>
                <w:rFonts w:hint="default" w:ascii="Times New Roman" w:hAnsi="Times New Roman" w:cs="Times New Roman"/>
                <w:color w:val="auto"/>
                <w:sz w:val="24"/>
                <w:szCs w:val="24"/>
              </w:rPr>
            </w:pPr>
          </w:p>
          <w:p w14:paraId="267D7978">
            <w:pPr>
              <w:spacing w:line="360" w:lineRule="auto"/>
              <w:rPr>
                <w:rFonts w:hint="default" w:ascii="Times New Roman" w:hAnsi="Times New Roman" w:cs="Times New Roman"/>
                <w:color w:val="auto"/>
                <w:sz w:val="24"/>
                <w:szCs w:val="24"/>
              </w:rPr>
            </w:pPr>
          </w:p>
        </w:tc>
      </w:tr>
    </w:tbl>
    <w:p w14:paraId="64E5CCEC">
      <w:pPr>
        <w:rPr>
          <w:rFonts w:hint="eastAsia" w:ascii="宋体" w:eastAsia="宋体"/>
          <w:color w:val="auto"/>
          <w:sz w:val="24"/>
          <w:szCs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B1F5438">
      <w:pPr>
        <w:rPr>
          <w:color w:val="auto"/>
        </w:rPr>
      </w:pPr>
    </w:p>
    <w:sectPr>
      <w:footerReference r:id="rId6" w:type="default"/>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A1"/>
    <w:family w:val="swiss"/>
    <w:pitch w:val="default"/>
    <w:sig w:usb0="00000000" w:usb1="00000000" w:usb2="00000009" w:usb3="00000000" w:csb0="400001FF" w:csb1="FFFF0000"/>
  </w:font>
  <w:font w:name="宋体">
    <w:panose1 w:val="02010600030101010101"/>
    <w:charset w:val="2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Arial"/>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方正小标宋简体">
    <w:panose1 w:val="03000509000000000000"/>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宋体"/>
    <w:panose1 w:val="02010609030101010101"/>
    <w:charset w:val="86"/>
    <w:family w:val="modern"/>
    <w:pitch w:val="default"/>
    <w:sig w:usb0="00000000" w:usb1="00000000" w:usb2="00000000" w:usb3="00000000" w:csb0="00040000" w:csb1="00000000"/>
  </w:font>
  <w:font w:name="Monotype Corsiva">
    <w:altName w:val="国标宋体-超大字符集"/>
    <w:panose1 w:val="03010101010201010101"/>
    <w:charset w:val="00"/>
    <w:family w:val="script"/>
    <w:pitch w:val="default"/>
    <w:sig w:usb0="00000000" w:usb1="00000000" w:usb2="00000000" w:usb3="00000000" w:csb0="2000009F" w:csb1="DFD70000"/>
  </w:font>
  <w:font w:name="国标宋体-超大字符集">
    <w:panose1 w:val="03000509000000000000"/>
    <w:charset w:val="86"/>
    <w:family w:val="auto"/>
    <w:pitch w:val="default"/>
    <w:sig w:usb0="00000001" w:usb1="08000000" w:usb2="00000000"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新宋体-18030">
    <w:altName w:val="宋体"/>
    <w:panose1 w:val="00000000000000000000"/>
    <w:charset w:val="00"/>
    <w:family w:val="auto"/>
    <w:pitch w:val="default"/>
    <w:sig w:usb0="00000000" w:usb1="00000000" w:usb2="00000000" w:usb3="00000000" w:csb0="00040001" w:csb1="00000000"/>
  </w:font>
  <w:font w:name="新宋体">
    <w:altName w:val="宋体"/>
    <w:panose1 w:val="02010609030101010101"/>
    <w:charset w:val="86"/>
    <w:family w:val="modern"/>
    <w:pitch w:val="default"/>
    <w:sig w:usb0="00000000" w:usb1="00000000" w:usb2="00000006" w:usb3="00000000" w:csb0="00040001" w:csb1="00000000"/>
  </w:font>
  <w:font w:name="方正仿宋_GBK">
    <w:panose1 w:val="02000000000000000000"/>
    <w:charset w:val="86"/>
    <w:family w:val="script"/>
    <w:pitch w:val="default"/>
    <w:sig w:usb0="00000001" w:usb1="08000000" w:usb2="00000000" w:usb3="00000000" w:csb0="00040000" w:csb1="00000000"/>
  </w:font>
  <w:font w:name="TimesNewRomanPSMT">
    <w:altName w:val="DejaVu Sans"/>
    <w:panose1 w:val="00000000000000000000"/>
    <w:charset w:val="00"/>
    <w:family w:val="auto"/>
    <w:pitch w:val="default"/>
    <w:sig w:usb0="00000000" w:usb1="00000000" w:usb2="00000000" w:usb3="00000000" w:csb0="0000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楷体_GB2312">
    <w:altName w:val="宋体"/>
    <w:panose1 w:val="02010609030101010101"/>
    <w:charset w:val="86"/>
    <w:family w:val="modern"/>
    <w:pitch w:val="default"/>
    <w:sig w:usb0="00000000" w:usb1="0000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方正小标宋_GBK">
    <w:panose1 w:val="02000000000000000000"/>
    <w:charset w:val="86"/>
    <w:family w:val="script"/>
    <w:pitch w:val="default"/>
    <w:sig w:usb0="00000001" w:usb1="0800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40001" w:csb1="00000000"/>
  </w:font>
  <w:font w:name="Liberation Serif">
    <w:panose1 w:val="02020603050405020304"/>
    <w:charset w:val="00"/>
    <w:family w:val="auto"/>
    <w:pitch w:val="default"/>
    <w:sig w:usb0="A00002AF" w:usb1="500078FB" w:usb2="00000000" w:usb3="00000000" w:csb0="6000009F" w:csb1="DFD70000"/>
  </w:font>
  <w:font w:name="Droid Sans Fallback">
    <w:panose1 w:val="020B0502000000000001"/>
    <w:charset w:val="86"/>
    <w:family w:val="auto"/>
    <w:pitch w:val="default"/>
    <w:sig w:usb0="910002FF" w:usb1="2BDFFCFB" w:usb2="00000036" w:usb3="00000000" w:csb0="203F01FF" w:csb1="D7FF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FC732">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1F93">
    <w:pPr>
      <w:pStyle w:val="20"/>
      <w:framePr w:wrap="around" w:vAnchor="text" w:hAnchor="margin" w:xAlign="center" w:y="1"/>
      <w:rPr>
        <w:rStyle w:val="33"/>
      </w:rPr>
    </w:pPr>
    <w:r>
      <w:fldChar w:fldCharType="begin"/>
    </w:r>
    <w:r>
      <w:rPr>
        <w:rStyle w:val="33"/>
      </w:rPr>
      <w:instrText xml:space="preserve">PAGE  </w:instrText>
    </w:r>
    <w:r>
      <w:fldChar w:fldCharType="end"/>
    </w:r>
  </w:p>
  <w:p w14:paraId="78ECE210">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793A5">
    <w:pPr>
      <w:pStyle w:val="20"/>
      <w:framePr w:wrap="around" w:vAnchor="text" w:hAnchor="margin" w:xAlign="outside" w:y="1"/>
      <w:rPr>
        <w:rStyle w:val="33"/>
        <w:rFonts w:hint="eastAsia"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51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14:paraId="4157CDC0">
    <w:pPr>
      <w:pStyle w:val="2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F7E9D">
    <w:pPr>
      <w:pStyle w:val="2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6D61EA"/>
    <w:multiLevelType w:val="singleLevel"/>
    <w:tmpl w:val="BA6D61EA"/>
    <w:lvl w:ilvl="0" w:tentative="0">
      <w:start w:val="2"/>
      <w:numFmt w:val="decimal"/>
      <w:suff w:val="nothing"/>
      <w:lvlText w:val="（%1）"/>
      <w:lvlJc w:val="left"/>
    </w:lvl>
  </w:abstractNum>
  <w:abstractNum w:abstractNumId="1">
    <w:nsid w:val="C75121A2"/>
    <w:multiLevelType w:val="singleLevel"/>
    <w:tmpl w:val="C75121A2"/>
    <w:lvl w:ilvl="0" w:tentative="0">
      <w:start w:val="1"/>
      <w:numFmt w:val="decimal"/>
      <w:pStyle w:val="81"/>
      <w:suff w:val="space"/>
      <w:lvlText w:val="表1-%1"/>
      <w:lvlJc w:val="left"/>
      <w:pPr>
        <w:tabs>
          <w:tab w:val="left" w:pos="0"/>
        </w:tabs>
        <w:ind w:left="425" w:hanging="425"/>
      </w:pPr>
      <w:rPr>
        <w:rFonts w:hint="default" w:ascii="Times New Roman" w:hAnsi="Times New Roman" w:eastAsia="宋体" w:cs="宋体"/>
      </w:rPr>
    </w:lvl>
  </w:abstractNum>
  <w:abstractNum w:abstractNumId="2">
    <w:nsid w:val="EC290B00"/>
    <w:multiLevelType w:val="singleLevel"/>
    <w:tmpl w:val="EC290B00"/>
    <w:lvl w:ilvl="0" w:tentative="0">
      <w:start w:val="1"/>
      <w:numFmt w:val="upperLetter"/>
      <w:lvlText w:val="%1."/>
      <w:lvlJc w:val="left"/>
      <w:pPr>
        <w:tabs>
          <w:tab w:val="left" w:pos="312"/>
        </w:tabs>
      </w:pPr>
    </w:lvl>
  </w:abstractNum>
  <w:abstractNum w:abstractNumId="3">
    <w:nsid w:val="06774CAB"/>
    <w:multiLevelType w:val="singleLevel"/>
    <w:tmpl w:val="06774CAB"/>
    <w:lvl w:ilvl="0" w:tentative="0">
      <w:start w:val="5"/>
      <w:numFmt w:val="decimal"/>
      <w:suff w:val="nothing"/>
      <w:lvlText w:val="%1、"/>
      <w:lvlJc w:val="left"/>
    </w:lvl>
  </w:abstractNum>
  <w:abstractNum w:abstractNumId="4">
    <w:nsid w:val="0CBC779C"/>
    <w:multiLevelType w:val="singleLevel"/>
    <w:tmpl w:val="0CBC779C"/>
    <w:lvl w:ilvl="0" w:tentative="0">
      <w:start w:val="1"/>
      <w:numFmt w:val="bullet"/>
      <w:lvlText w:val=""/>
      <w:lvlJc w:val="left"/>
      <w:pPr>
        <w:ind w:left="420" w:hanging="420"/>
      </w:pPr>
      <w:rPr>
        <w:rFonts w:hint="default" w:ascii="Wingdings" w:hAnsi="Wingdings"/>
      </w:rPr>
    </w:lvl>
  </w:abstractNum>
  <w:abstractNum w:abstractNumId="5">
    <w:nsid w:val="15E119CD"/>
    <w:multiLevelType w:val="multilevel"/>
    <w:tmpl w:val="15E119CD"/>
    <w:lvl w:ilvl="0" w:tentative="0">
      <w:start w:val="1"/>
      <w:numFmt w:val="decimalZero"/>
      <w:pStyle w:val="118"/>
      <w:suff w:val="nothing"/>
      <w:lvlText w:val="%1"/>
      <w:lvlJc w:val="center"/>
      <w:pPr>
        <w:ind w:left="0" w:firstLine="0"/>
      </w:pPr>
      <w:rPr>
        <w:rFonts w:hint="eastAsia"/>
      </w:rPr>
    </w:lvl>
    <w:lvl w:ilvl="1" w:tentative="0">
      <w:start w:val="1"/>
      <w:numFmt w:val="lowerLetter"/>
      <w:lvlText w:val="%2)"/>
      <w:lvlJc w:val="left"/>
      <w:pPr>
        <w:ind w:left="735" w:hanging="420"/>
      </w:pPr>
    </w:lvl>
    <w:lvl w:ilvl="2" w:tentative="0">
      <w:start w:val="1"/>
      <w:numFmt w:val="lowerRoman"/>
      <w:lvlText w:val="%3."/>
      <w:lvlJc w:val="right"/>
      <w:pPr>
        <w:ind w:left="1155" w:hanging="420"/>
      </w:pPr>
    </w:lvl>
    <w:lvl w:ilvl="3" w:tentative="0">
      <w:start w:val="1"/>
      <w:numFmt w:val="decimal"/>
      <w:lvlText w:val="%4."/>
      <w:lvlJc w:val="left"/>
      <w:pPr>
        <w:ind w:left="1575" w:hanging="420"/>
      </w:pPr>
    </w:lvl>
    <w:lvl w:ilvl="4" w:tentative="0">
      <w:start w:val="1"/>
      <w:numFmt w:val="lowerLetter"/>
      <w:lvlText w:val="%5)"/>
      <w:lvlJc w:val="left"/>
      <w:pPr>
        <w:ind w:left="1995" w:hanging="420"/>
      </w:pPr>
    </w:lvl>
    <w:lvl w:ilvl="5" w:tentative="0">
      <w:start w:val="1"/>
      <w:numFmt w:val="lowerRoman"/>
      <w:lvlText w:val="%6."/>
      <w:lvlJc w:val="right"/>
      <w:pPr>
        <w:ind w:left="2415" w:hanging="420"/>
      </w:pPr>
    </w:lvl>
    <w:lvl w:ilvl="6" w:tentative="0">
      <w:start w:val="1"/>
      <w:numFmt w:val="decimal"/>
      <w:lvlText w:val="%7."/>
      <w:lvlJc w:val="left"/>
      <w:pPr>
        <w:ind w:left="2835" w:hanging="420"/>
      </w:pPr>
    </w:lvl>
    <w:lvl w:ilvl="7" w:tentative="0">
      <w:start w:val="1"/>
      <w:numFmt w:val="lowerLetter"/>
      <w:lvlText w:val="%8)"/>
      <w:lvlJc w:val="left"/>
      <w:pPr>
        <w:ind w:left="3255" w:hanging="420"/>
      </w:pPr>
    </w:lvl>
    <w:lvl w:ilvl="8" w:tentative="0">
      <w:start w:val="1"/>
      <w:numFmt w:val="lowerRoman"/>
      <w:lvlText w:val="%9."/>
      <w:lvlJc w:val="right"/>
      <w:pPr>
        <w:ind w:left="3675" w:hanging="420"/>
      </w:pPr>
    </w:lvl>
  </w:abstractNum>
  <w:abstractNum w:abstractNumId="6">
    <w:nsid w:val="1A1A10BA"/>
    <w:multiLevelType w:val="multilevel"/>
    <w:tmpl w:val="1A1A10BA"/>
    <w:lvl w:ilvl="0" w:tentative="0">
      <w:start w:val="1"/>
      <w:numFmt w:val="chineseCountingThousand"/>
      <w:suff w:val="nothing"/>
      <w:lvlText w:val="%1、"/>
      <w:lvlJc w:val="center"/>
      <w:pPr>
        <w:ind w:left="0" w:firstLine="0"/>
      </w:pPr>
      <w:rPr>
        <w:rFonts w:hint="default" w:ascii="Times New Roman" w:hAnsi="Times New Roman" w:eastAsia="黑体"/>
        <w:b w:val="0"/>
        <w:i w:val="0"/>
        <w:sz w:val="30"/>
      </w:rPr>
    </w:lvl>
    <w:lvl w:ilvl="1" w:tentative="0">
      <w:start w:val="1"/>
      <w:numFmt w:val="decimal"/>
      <w:isLgl/>
      <w:suff w:val="nothing"/>
      <w:lvlText w:val="%1.%2"/>
      <w:lvlJc w:val="left"/>
      <w:pPr>
        <w:ind w:left="0" w:firstLine="0"/>
      </w:pPr>
      <w:rPr>
        <w:rFonts w:hint="default" w:ascii="Times New Roman" w:hAnsi="Times New Roman" w:eastAsia="黑体"/>
        <w:b/>
        <w:i w:val="0"/>
        <w:sz w:val="28"/>
      </w:rPr>
    </w:lvl>
    <w:lvl w:ilvl="2" w:tentative="0">
      <w:start w:val="1"/>
      <w:numFmt w:val="decimal"/>
      <w:isLgl/>
      <w:suff w:val="nothing"/>
      <w:lvlText w:val="%1.%2.%3"/>
      <w:lvlJc w:val="left"/>
      <w:pPr>
        <w:ind w:left="142" w:firstLine="0"/>
      </w:pPr>
      <w:rPr>
        <w:rFonts w:hint="default" w:ascii="Times New Roman" w:hAnsi="Times New Roman" w:eastAsia="黑体"/>
        <w:b/>
        <w:i w:val="0"/>
        <w:sz w:val="24"/>
      </w:rPr>
    </w:lvl>
    <w:lvl w:ilvl="3" w:tentative="0">
      <w:start w:val="1"/>
      <w:numFmt w:val="decimal"/>
      <w:isLgl/>
      <w:suff w:val="nothing"/>
      <w:lvlText w:val="%1.%2.%3.%4"/>
      <w:lvlJc w:val="left"/>
      <w:pPr>
        <w:ind w:left="0" w:firstLine="0"/>
      </w:pPr>
      <w:rPr>
        <w:rFonts w:hint="default" w:ascii="Times New Roman" w:hAnsi="Times New Roman" w:eastAsia="黑体"/>
        <w:b/>
        <w:i w:val="0"/>
        <w:sz w:val="24"/>
      </w:rPr>
    </w:lvl>
    <w:lvl w:ilvl="4" w:tentative="0">
      <w:start w:val="1"/>
      <w:numFmt w:val="decimal"/>
      <w:lvlRestart w:val="0"/>
      <w:suff w:val="space"/>
      <w:lvlText w:val="表%5"/>
      <w:lvlJc w:val="left"/>
      <w:pPr>
        <w:ind w:left="710" w:firstLine="0"/>
      </w:pPr>
      <w:rPr>
        <w:rFonts w:hint="default" w:ascii="Times New Roman" w:hAnsi="Times New Roman" w:eastAsia="宋体"/>
        <w:b/>
        <w:i w:val="0"/>
        <w:sz w:val="24"/>
      </w:rPr>
    </w:lvl>
    <w:lvl w:ilvl="5" w:tentative="0">
      <w:start w:val="1"/>
      <w:numFmt w:val="decimal"/>
      <w:lvlRestart w:val="0"/>
      <w:suff w:val="space"/>
      <w:lvlText w:val="图%6"/>
      <w:lvlJc w:val="left"/>
      <w:pPr>
        <w:ind w:left="0" w:firstLine="0"/>
      </w:pPr>
      <w:rPr>
        <w:rFonts w:hint="default" w:ascii="Times New Roman" w:hAnsi="Times New Roman" w:eastAsia="宋体"/>
        <w:b/>
        <w:i w:val="0"/>
        <w:sz w:val="24"/>
      </w:rPr>
    </w:lvl>
    <w:lvl w:ilvl="6" w:tentative="0">
      <w:start w:val="8"/>
      <w:numFmt w:val="decimal"/>
      <w:lvlText w:val="附图%7"/>
      <w:lvlJc w:val="center"/>
      <w:pPr>
        <w:ind w:left="0" w:firstLine="288"/>
      </w:pPr>
      <w:rPr>
        <w:rFonts w:hint="default" w:ascii="Times New Roman" w:hAnsi="Times New Roman" w:eastAsia="宋体"/>
        <w:b/>
        <w:i w:val="0"/>
        <w:sz w:val="24"/>
      </w:rPr>
    </w:lvl>
    <w:lvl w:ilvl="7" w:tentative="0">
      <w:start w:val="1"/>
      <w:numFmt w:val="none"/>
      <w:lvlRestart w:val="1"/>
      <w:isLgl/>
      <w:suff w:val="space"/>
      <w:lvlText w:val="附件%1%8"/>
      <w:lvlJc w:val="center"/>
      <w:pPr>
        <w:ind w:left="0" w:firstLine="0"/>
      </w:pPr>
      <w:rPr>
        <w:rFonts w:hint="eastAsia" w:ascii="Times New Roman" w:hAnsi="Times New Roman" w:cs="Times New Roman"/>
        <w:bCs w:val="0"/>
        <w:i w:val="0"/>
        <w:iCs w:val="0"/>
        <w:caps w:val="0"/>
        <w:smallCaps w:val="0"/>
        <w:strike w:val="0"/>
        <w:dstrike w:val="0"/>
        <w:vanish w:val="0"/>
        <w:color w:val="000000"/>
        <w:spacing w:val="0"/>
        <w:position w:val="0"/>
        <w:u w:val="none"/>
        <w:vertAlign w:val="baseline"/>
      </w:rPr>
    </w:lvl>
    <w:lvl w:ilvl="8" w:tentative="0">
      <w:start w:val="1"/>
      <w:numFmt w:val="decimal"/>
      <w:lvlText w:val="%1.%2.%3.%4.%5.%6.%7.%8.%9"/>
      <w:lvlJc w:val="left"/>
      <w:pPr>
        <w:ind w:left="5102" w:hanging="1700"/>
      </w:pPr>
      <w:rPr>
        <w:rFonts w:hint="eastAsia"/>
      </w:rPr>
    </w:lvl>
  </w:abstractNum>
  <w:abstractNum w:abstractNumId="7">
    <w:nsid w:val="1E1B9F5A"/>
    <w:multiLevelType w:val="singleLevel"/>
    <w:tmpl w:val="1E1B9F5A"/>
    <w:lvl w:ilvl="0" w:tentative="0">
      <w:start w:val="1"/>
      <w:numFmt w:val="decimal"/>
      <w:lvlText w:val="%1."/>
      <w:lvlJc w:val="left"/>
      <w:pPr>
        <w:tabs>
          <w:tab w:val="left" w:pos="312"/>
        </w:tabs>
      </w:pPr>
    </w:lvl>
  </w:abstractNum>
  <w:abstractNum w:abstractNumId="8">
    <w:nsid w:val="283F66CA"/>
    <w:multiLevelType w:val="singleLevel"/>
    <w:tmpl w:val="283F66CA"/>
    <w:lvl w:ilvl="0" w:tentative="0">
      <w:start w:val="2"/>
      <w:numFmt w:val="chineseCounting"/>
      <w:pStyle w:val="109"/>
      <w:suff w:val="nothing"/>
      <w:lvlText w:val="%1、"/>
      <w:lvlJc w:val="left"/>
      <w:rPr>
        <w:rFonts w:hint="eastAsia"/>
      </w:rPr>
    </w:lvl>
  </w:abstractNum>
  <w:abstractNum w:abstractNumId="9">
    <w:nsid w:val="2B477132"/>
    <w:multiLevelType w:val="multilevel"/>
    <w:tmpl w:val="2B477132"/>
    <w:lvl w:ilvl="0" w:tentative="0">
      <w:start w:val="1"/>
      <w:numFmt w:val="decimal"/>
      <w:pStyle w:val="140"/>
      <w:suff w:val="space"/>
      <w:lvlText w:val="表6-%1"/>
      <w:lvlJc w:val="center"/>
      <w:pPr>
        <w:ind w:left="280" w:firstLine="0"/>
      </w:pPr>
      <w:rPr>
        <w:rFonts w:hint="eastAsia"/>
      </w:rPr>
    </w:lvl>
    <w:lvl w:ilvl="1" w:tentative="0">
      <w:start w:val="1"/>
      <w:numFmt w:val="none"/>
      <w:suff w:val="nothing"/>
      <w:lvlText w:val=""/>
      <w:lvlJc w:val="left"/>
      <w:pPr>
        <w:ind w:left="280" w:firstLine="0"/>
      </w:pPr>
      <w:rPr>
        <w:rFonts w:hint="eastAsia"/>
      </w:rPr>
    </w:lvl>
    <w:lvl w:ilvl="2" w:tentative="0">
      <w:start w:val="1"/>
      <w:numFmt w:val="none"/>
      <w:suff w:val="nothing"/>
      <w:lvlText w:val=""/>
      <w:lvlJc w:val="left"/>
      <w:pPr>
        <w:ind w:left="280" w:firstLine="0"/>
      </w:pPr>
      <w:rPr>
        <w:rFonts w:hint="eastAsia"/>
      </w:rPr>
    </w:lvl>
    <w:lvl w:ilvl="3" w:tentative="0">
      <w:start w:val="1"/>
      <w:numFmt w:val="none"/>
      <w:suff w:val="nothing"/>
      <w:lvlText w:val=""/>
      <w:lvlJc w:val="left"/>
      <w:pPr>
        <w:ind w:left="280" w:firstLine="0"/>
      </w:pPr>
      <w:rPr>
        <w:rFonts w:hint="eastAsia"/>
      </w:rPr>
    </w:lvl>
    <w:lvl w:ilvl="4" w:tentative="0">
      <w:start w:val="1"/>
      <w:numFmt w:val="none"/>
      <w:suff w:val="nothing"/>
      <w:lvlText w:val=""/>
      <w:lvlJc w:val="left"/>
      <w:pPr>
        <w:ind w:left="280" w:firstLine="0"/>
      </w:pPr>
      <w:rPr>
        <w:rFonts w:hint="eastAsia"/>
      </w:rPr>
    </w:lvl>
    <w:lvl w:ilvl="5" w:tentative="0">
      <w:start w:val="1"/>
      <w:numFmt w:val="none"/>
      <w:suff w:val="nothing"/>
      <w:lvlText w:val=""/>
      <w:lvlJc w:val="left"/>
      <w:pPr>
        <w:ind w:left="280" w:firstLine="0"/>
      </w:pPr>
      <w:rPr>
        <w:rFonts w:hint="eastAsia"/>
      </w:rPr>
    </w:lvl>
    <w:lvl w:ilvl="6" w:tentative="0">
      <w:start w:val="1"/>
      <w:numFmt w:val="none"/>
      <w:suff w:val="nothing"/>
      <w:lvlText w:val=""/>
      <w:lvlJc w:val="left"/>
      <w:pPr>
        <w:ind w:left="280" w:firstLine="0"/>
      </w:pPr>
      <w:rPr>
        <w:rFonts w:hint="eastAsia"/>
      </w:rPr>
    </w:lvl>
    <w:lvl w:ilvl="7" w:tentative="0">
      <w:start w:val="1"/>
      <w:numFmt w:val="none"/>
      <w:suff w:val="nothing"/>
      <w:lvlText w:val=""/>
      <w:lvlJc w:val="left"/>
      <w:pPr>
        <w:ind w:left="280" w:firstLine="0"/>
      </w:pPr>
      <w:rPr>
        <w:rFonts w:hint="eastAsia"/>
      </w:rPr>
    </w:lvl>
    <w:lvl w:ilvl="8" w:tentative="0">
      <w:start w:val="1"/>
      <w:numFmt w:val="none"/>
      <w:suff w:val="nothing"/>
      <w:lvlText w:val=""/>
      <w:lvlJc w:val="left"/>
      <w:pPr>
        <w:ind w:left="280" w:firstLine="0"/>
      </w:pPr>
      <w:rPr>
        <w:rFonts w:hint="eastAsia"/>
      </w:rPr>
    </w:lvl>
  </w:abstractNum>
  <w:abstractNum w:abstractNumId="10">
    <w:nsid w:val="4D9B69FD"/>
    <w:multiLevelType w:val="multilevel"/>
    <w:tmpl w:val="4D9B69FD"/>
    <w:lvl w:ilvl="0" w:tentative="0">
      <w:start w:val="1"/>
      <w:numFmt w:val="decimal"/>
      <w:pStyle w:val="107"/>
      <w:lvlText w:val="%1"/>
      <w:lvlJc w:val="left"/>
      <w:pPr>
        <w:tabs>
          <w:tab w:val="left" w:pos="432"/>
        </w:tabs>
        <w:ind w:left="432" w:hanging="432"/>
      </w:pPr>
      <w:rPr>
        <w:rFonts w:hint="eastAsia"/>
      </w:rPr>
    </w:lvl>
    <w:lvl w:ilvl="1" w:tentative="0">
      <w:start w:val="1"/>
      <w:numFmt w:val="decimal"/>
      <w:pStyle w:val="45"/>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56F4BD94"/>
    <w:multiLevelType w:val="singleLevel"/>
    <w:tmpl w:val="56F4BD94"/>
    <w:lvl w:ilvl="0" w:tentative="0">
      <w:start w:val="2"/>
      <w:numFmt w:val="chineseCounting"/>
      <w:suff w:val="nothing"/>
      <w:lvlText w:val="%1、"/>
      <w:lvlJc w:val="left"/>
      <w:rPr>
        <w:rFonts w:hint="eastAsia"/>
      </w:rPr>
    </w:lvl>
  </w:abstractNum>
  <w:abstractNum w:abstractNumId="12">
    <w:nsid w:val="7D01257D"/>
    <w:multiLevelType w:val="multilevel"/>
    <w:tmpl w:val="7D01257D"/>
    <w:lvl w:ilvl="0" w:tentative="0">
      <w:start w:val="1"/>
      <w:numFmt w:val="decimal"/>
      <w:suff w:val="space"/>
      <w:lvlText w:val="第%1章"/>
      <w:lvlJc w:val="left"/>
      <w:pPr>
        <w:tabs>
          <w:tab w:val="left" w:pos="0"/>
        </w:tabs>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426"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Restart w:val="2"/>
      <w:pStyle w:val="134"/>
      <w:suff w:val="space"/>
      <w:lvlText w:val="表%1.%2-%5"/>
      <w:lvlJc w:val="center"/>
      <w:pPr>
        <w:ind w:left="1985" w:firstLine="0"/>
      </w:pPr>
    </w:lvl>
    <w:lvl w:ilvl="5" w:tentative="0">
      <w:start w:val="1"/>
      <w:numFmt w:val="decimal"/>
      <w:lvlRestart w:val="2"/>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6"/>
    <w:lvlOverride w:ilvl="0">
      <w:lvl w:ilvl="0" w:tentative="1">
        <w:start w:val="1"/>
        <w:numFmt w:val="chineseCountingThousand"/>
        <w:suff w:val="nothing"/>
        <w:lvlText w:val="%1、"/>
        <w:lvlJc w:val="center"/>
        <w:pPr>
          <w:ind w:left="0" w:firstLine="0"/>
        </w:pPr>
        <w:rPr>
          <w:rFonts w:hint="default" w:ascii="Times New Roman" w:hAnsi="Times New Roman" w:eastAsia="黑体"/>
          <w:b w:val="0"/>
          <w:i w:val="0"/>
          <w:sz w:val="30"/>
        </w:rPr>
      </w:lvl>
    </w:lvlOverride>
    <w:lvlOverride w:ilvl="1">
      <w:lvl w:ilvl="1" w:tentative="1">
        <w:start w:val="1"/>
        <w:numFmt w:val="decimal"/>
        <w:isLgl/>
        <w:suff w:val="nothing"/>
        <w:lvlText w:val="%1.%2"/>
        <w:lvlJc w:val="left"/>
        <w:pPr>
          <w:ind w:left="3371" w:firstLine="0"/>
        </w:pPr>
        <w:rPr>
          <w:rFonts w:hint="default" w:ascii="Times New Roman" w:hAnsi="Times New Roman" w:eastAsia="黑体"/>
          <w:b/>
          <w:i w:val="0"/>
          <w:sz w:val="28"/>
        </w:rPr>
      </w:lvl>
    </w:lvlOverride>
    <w:lvlOverride w:ilvl="2">
      <w:lvl w:ilvl="2" w:tentative="1">
        <w:start w:val="1"/>
        <w:numFmt w:val="decimal"/>
        <w:isLgl/>
        <w:suff w:val="nothing"/>
        <w:lvlText w:val="%1.%2.%3"/>
        <w:lvlJc w:val="left"/>
        <w:pPr>
          <w:ind w:left="1680" w:firstLine="0"/>
        </w:pPr>
        <w:rPr>
          <w:rFonts w:hint="default" w:ascii="Times New Roman" w:hAnsi="Times New Roman" w:eastAsia="黑体"/>
          <w:b/>
          <w:i w:val="0"/>
          <w:sz w:val="24"/>
        </w:rPr>
      </w:lvl>
    </w:lvlOverride>
    <w:lvlOverride w:ilvl="3">
      <w:lvl w:ilvl="3" w:tentative="1">
        <w:start w:val="1"/>
        <w:numFmt w:val="decimal"/>
        <w:isLgl/>
        <w:suff w:val="nothing"/>
        <w:lvlText w:val="%1.%2.%3.%4"/>
        <w:lvlJc w:val="left"/>
        <w:pPr>
          <w:ind w:left="1050" w:firstLine="0"/>
        </w:pPr>
        <w:rPr>
          <w:rFonts w:hint="default" w:ascii="Times New Roman" w:hAnsi="Times New Roman" w:eastAsia="黑体"/>
          <w:b/>
          <w:i w:val="0"/>
          <w:sz w:val="24"/>
        </w:rPr>
      </w:lvl>
    </w:lvlOverride>
    <w:lvlOverride w:ilvl="4">
      <w:lvl w:ilvl="4" w:tentative="1">
        <w:start w:val="1"/>
        <w:numFmt w:val="decimal"/>
        <w:lvlRestart w:val="0"/>
        <w:pStyle w:val="6"/>
        <w:suff w:val="space"/>
        <w:lvlText w:val="表%5"/>
        <w:lvlJc w:val="left"/>
        <w:pPr>
          <w:ind w:left="2100" w:firstLine="0"/>
        </w:pPr>
        <w:rPr>
          <w:rFonts w:hint="default" w:ascii="Times New Roman" w:hAnsi="Times New Roman" w:eastAsia="宋体"/>
          <w:b/>
          <w:i w:val="0"/>
          <w:sz w:val="24"/>
        </w:rPr>
      </w:lvl>
    </w:lvlOverride>
    <w:lvlOverride w:ilvl="5">
      <w:lvl w:ilvl="5" w:tentative="1">
        <w:start w:val="1"/>
        <w:numFmt w:val="decimal"/>
        <w:lvlRestart w:val="0"/>
        <w:suff w:val="space"/>
        <w:lvlText w:val="图%6"/>
        <w:lvlJc w:val="left"/>
        <w:pPr>
          <w:ind w:left="5740" w:firstLine="0"/>
        </w:pPr>
        <w:rPr>
          <w:rFonts w:hint="default" w:ascii="Times New Roman" w:hAnsi="Times New Roman" w:eastAsia="宋体"/>
          <w:b/>
          <w:i w:val="0"/>
          <w:sz w:val="24"/>
        </w:rPr>
      </w:lvl>
    </w:lvlOverride>
    <w:lvlOverride w:ilvl="6">
      <w:lvl w:ilvl="6" w:tentative="1">
        <w:start w:val="0"/>
        <w:numFmt w:val="none"/>
        <w:lvlText w:val=""/>
        <w:lvlJc w:val="left"/>
        <w:pPr>
          <w:tabs>
            <w:tab w:val="left" w:pos="360"/>
          </w:tabs>
        </w:pPr>
      </w:lvl>
    </w:lvlOverride>
    <w:lvlOverride w:ilvl="7">
      <w:lvl w:ilvl="7" w:tentative="1">
        <w:start w:val="0"/>
        <w:numFmt w:val="none"/>
        <w:lvlText w:val=""/>
        <w:lvlJc w:val="left"/>
        <w:pPr>
          <w:tabs>
            <w:tab w:val="left" w:pos="360"/>
          </w:tabs>
        </w:pPr>
      </w:lvl>
    </w:lvlOverride>
    <w:lvlOverride w:ilvl="8">
      <w:lvl w:ilvl="8" w:tentative="1">
        <w:start w:val="0"/>
        <w:numFmt w:val="none"/>
        <w:lvlText w:val=""/>
        <w:lvlJc w:val="left"/>
        <w:pPr>
          <w:tabs>
            <w:tab w:val="left" w:pos="360"/>
          </w:tabs>
        </w:pPr>
      </w:lvl>
    </w:lvlOverride>
  </w:num>
  <w:num w:numId="2">
    <w:abstractNumId w:val="10"/>
  </w:num>
  <w:num w:numId="3">
    <w:abstractNumId w:val="1"/>
  </w:num>
  <w:num w:numId="4">
    <w:abstractNumId w:val="8"/>
  </w:num>
  <w:num w:numId="5">
    <w:abstractNumId w:val="5"/>
  </w:num>
  <w:num w:numId="6">
    <w:abstractNumId w:val="12"/>
  </w:num>
  <w:num w:numId="7">
    <w:abstractNumId w:val="9"/>
  </w:num>
  <w:num w:numId="8">
    <w:abstractNumId w:val="11"/>
  </w:num>
  <w:num w:numId="9">
    <w:abstractNumId w:val="7"/>
  </w:num>
  <w:num w:numId="10">
    <w:abstractNumId w:val="0"/>
  </w:num>
  <w:num w:numId="11">
    <w:abstractNumId w:val="4"/>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zE2OGU5M2EzYmRlMjRjMTVmZjcyZGNjNmY1OGQifQ=="/>
  </w:docVars>
  <w:rsids>
    <w:rsidRoot w:val="00172A27"/>
    <w:rsid w:val="00065B6B"/>
    <w:rsid w:val="000742E1"/>
    <w:rsid w:val="000C5101"/>
    <w:rsid w:val="001024CF"/>
    <w:rsid w:val="00110392"/>
    <w:rsid w:val="001353A9"/>
    <w:rsid w:val="001E3F2B"/>
    <w:rsid w:val="00207D7F"/>
    <w:rsid w:val="00252CC3"/>
    <w:rsid w:val="00267770"/>
    <w:rsid w:val="002720CD"/>
    <w:rsid w:val="00276D74"/>
    <w:rsid w:val="00287146"/>
    <w:rsid w:val="00293EFE"/>
    <w:rsid w:val="00297316"/>
    <w:rsid w:val="002A0AFF"/>
    <w:rsid w:val="002B0B4E"/>
    <w:rsid w:val="0031380D"/>
    <w:rsid w:val="00336EA8"/>
    <w:rsid w:val="003714F2"/>
    <w:rsid w:val="003831F9"/>
    <w:rsid w:val="003D0404"/>
    <w:rsid w:val="003D2E00"/>
    <w:rsid w:val="003F4CA4"/>
    <w:rsid w:val="00412571"/>
    <w:rsid w:val="00412EFF"/>
    <w:rsid w:val="00472177"/>
    <w:rsid w:val="004B5BDE"/>
    <w:rsid w:val="004D2FFB"/>
    <w:rsid w:val="004D4AEB"/>
    <w:rsid w:val="004F3B3F"/>
    <w:rsid w:val="00533AE5"/>
    <w:rsid w:val="005645F8"/>
    <w:rsid w:val="00564EC9"/>
    <w:rsid w:val="00577D22"/>
    <w:rsid w:val="005C597E"/>
    <w:rsid w:val="00621C19"/>
    <w:rsid w:val="00693FFF"/>
    <w:rsid w:val="006B5BB8"/>
    <w:rsid w:val="0071616B"/>
    <w:rsid w:val="00722A71"/>
    <w:rsid w:val="007612A9"/>
    <w:rsid w:val="007844B3"/>
    <w:rsid w:val="007D52D3"/>
    <w:rsid w:val="0084431C"/>
    <w:rsid w:val="008A465E"/>
    <w:rsid w:val="008C6C96"/>
    <w:rsid w:val="008E375A"/>
    <w:rsid w:val="0094591F"/>
    <w:rsid w:val="0096320F"/>
    <w:rsid w:val="009B635B"/>
    <w:rsid w:val="009E063E"/>
    <w:rsid w:val="00A47773"/>
    <w:rsid w:val="00A64932"/>
    <w:rsid w:val="00A847A6"/>
    <w:rsid w:val="00AF514A"/>
    <w:rsid w:val="00B215A8"/>
    <w:rsid w:val="00B9534B"/>
    <w:rsid w:val="00BC2202"/>
    <w:rsid w:val="00BE1545"/>
    <w:rsid w:val="00C34311"/>
    <w:rsid w:val="00C71CA8"/>
    <w:rsid w:val="00CA7531"/>
    <w:rsid w:val="00CB3CF1"/>
    <w:rsid w:val="00CD3536"/>
    <w:rsid w:val="00D22225"/>
    <w:rsid w:val="00D7657D"/>
    <w:rsid w:val="00D8503C"/>
    <w:rsid w:val="00DC19CB"/>
    <w:rsid w:val="00DD6110"/>
    <w:rsid w:val="00E1224E"/>
    <w:rsid w:val="00E37D2C"/>
    <w:rsid w:val="00E5212F"/>
    <w:rsid w:val="00E54F8D"/>
    <w:rsid w:val="00E90027"/>
    <w:rsid w:val="00ED68EC"/>
    <w:rsid w:val="00EE12A4"/>
    <w:rsid w:val="00F050A4"/>
    <w:rsid w:val="00F53644"/>
    <w:rsid w:val="00F63F1C"/>
    <w:rsid w:val="00FB2586"/>
    <w:rsid w:val="0103164E"/>
    <w:rsid w:val="01063140"/>
    <w:rsid w:val="01084159"/>
    <w:rsid w:val="010A29DC"/>
    <w:rsid w:val="01175334"/>
    <w:rsid w:val="011A24F4"/>
    <w:rsid w:val="01225D05"/>
    <w:rsid w:val="012515C4"/>
    <w:rsid w:val="012C2953"/>
    <w:rsid w:val="013E316C"/>
    <w:rsid w:val="01453DDE"/>
    <w:rsid w:val="015B6FB1"/>
    <w:rsid w:val="016F430C"/>
    <w:rsid w:val="017164D3"/>
    <w:rsid w:val="017165B7"/>
    <w:rsid w:val="01784E0B"/>
    <w:rsid w:val="017C5544"/>
    <w:rsid w:val="017D778F"/>
    <w:rsid w:val="01910DE7"/>
    <w:rsid w:val="01981D96"/>
    <w:rsid w:val="01A15623"/>
    <w:rsid w:val="01A71FD9"/>
    <w:rsid w:val="01CE065C"/>
    <w:rsid w:val="01D134FA"/>
    <w:rsid w:val="02070CCA"/>
    <w:rsid w:val="020F3D75"/>
    <w:rsid w:val="02153C12"/>
    <w:rsid w:val="021E50AB"/>
    <w:rsid w:val="021F45D0"/>
    <w:rsid w:val="0222734B"/>
    <w:rsid w:val="022657FB"/>
    <w:rsid w:val="023B7548"/>
    <w:rsid w:val="025E74FD"/>
    <w:rsid w:val="02671A0C"/>
    <w:rsid w:val="02735A94"/>
    <w:rsid w:val="027F4D04"/>
    <w:rsid w:val="028B79D5"/>
    <w:rsid w:val="02985592"/>
    <w:rsid w:val="029F73F3"/>
    <w:rsid w:val="02A91143"/>
    <w:rsid w:val="02B04EBD"/>
    <w:rsid w:val="02D329B2"/>
    <w:rsid w:val="02ED7EC0"/>
    <w:rsid w:val="02EE3D87"/>
    <w:rsid w:val="02EF67D4"/>
    <w:rsid w:val="03004097"/>
    <w:rsid w:val="03031491"/>
    <w:rsid w:val="03072104"/>
    <w:rsid w:val="030B47EA"/>
    <w:rsid w:val="030F52BB"/>
    <w:rsid w:val="031831B6"/>
    <w:rsid w:val="03295A32"/>
    <w:rsid w:val="032E7E80"/>
    <w:rsid w:val="033F4C1C"/>
    <w:rsid w:val="0348159A"/>
    <w:rsid w:val="03577A2F"/>
    <w:rsid w:val="035E2B6B"/>
    <w:rsid w:val="03653EFA"/>
    <w:rsid w:val="03702258"/>
    <w:rsid w:val="03761196"/>
    <w:rsid w:val="038079CF"/>
    <w:rsid w:val="03936CB9"/>
    <w:rsid w:val="03950865"/>
    <w:rsid w:val="039B791C"/>
    <w:rsid w:val="039F5613"/>
    <w:rsid w:val="03A229B3"/>
    <w:rsid w:val="03A366AD"/>
    <w:rsid w:val="03A63E48"/>
    <w:rsid w:val="03AA7B5F"/>
    <w:rsid w:val="03B409DD"/>
    <w:rsid w:val="03B629A7"/>
    <w:rsid w:val="03CA0201"/>
    <w:rsid w:val="03CB5607"/>
    <w:rsid w:val="03CE7CF1"/>
    <w:rsid w:val="03D20080"/>
    <w:rsid w:val="03D35307"/>
    <w:rsid w:val="03E2554B"/>
    <w:rsid w:val="041124C0"/>
    <w:rsid w:val="041B280B"/>
    <w:rsid w:val="04266673"/>
    <w:rsid w:val="042E24FA"/>
    <w:rsid w:val="044B2644"/>
    <w:rsid w:val="047563BF"/>
    <w:rsid w:val="048B5BE2"/>
    <w:rsid w:val="049251C3"/>
    <w:rsid w:val="049D5915"/>
    <w:rsid w:val="04A14B9C"/>
    <w:rsid w:val="04A42800"/>
    <w:rsid w:val="04A86794"/>
    <w:rsid w:val="04B867D8"/>
    <w:rsid w:val="04BC5D9C"/>
    <w:rsid w:val="04BD7D66"/>
    <w:rsid w:val="05080A3F"/>
    <w:rsid w:val="051C15A9"/>
    <w:rsid w:val="05346B83"/>
    <w:rsid w:val="05412745"/>
    <w:rsid w:val="05473812"/>
    <w:rsid w:val="054B5371"/>
    <w:rsid w:val="05595CE0"/>
    <w:rsid w:val="055C132D"/>
    <w:rsid w:val="056A63E5"/>
    <w:rsid w:val="05787AFD"/>
    <w:rsid w:val="05861C98"/>
    <w:rsid w:val="058C7E64"/>
    <w:rsid w:val="058D6BB4"/>
    <w:rsid w:val="058F45E8"/>
    <w:rsid w:val="059D2078"/>
    <w:rsid w:val="05A47A2C"/>
    <w:rsid w:val="05B64EE1"/>
    <w:rsid w:val="05BE5B43"/>
    <w:rsid w:val="05BF18AF"/>
    <w:rsid w:val="05CD5D86"/>
    <w:rsid w:val="05CF5FA2"/>
    <w:rsid w:val="05D62E8D"/>
    <w:rsid w:val="05EA06E6"/>
    <w:rsid w:val="05EC52BD"/>
    <w:rsid w:val="05F01509"/>
    <w:rsid w:val="05F13921"/>
    <w:rsid w:val="06093262"/>
    <w:rsid w:val="06293905"/>
    <w:rsid w:val="064222D0"/>
    <w:rsid w:val="06587D46"/>
    <w:rsid w:val="065A5D8D"/>
    <w:rsid w:val="06635D96"/>
    <w:rsid w:val="066A6043"/>
    <w:rsid w:val="06983C51"/>
    <w:rsid w:val="069B7C33"/>
    <w:rsid w:val="06BA630B"/>
    <w:rsid w:val="06C70A28"/>
    <w:rsid w:val="06CB0518"/>
    <w:rsid w:val="06D44CBF"/>
    <w:rsid w:val="06D657C9"/>
    <w:rsid w:val="06F7130D"/>
    <w:rsid w:val="06FA74CE"/>
    <w:rsid w:val="07147E46"/>
    <w:rsid w:val="07162680"/>
    <w:rsid w:val="0717375D"/>
    <w:rsid w:val="072365A6"/>
    <w:rsid w:val="07245E7A"/>
    <w:rsid w:val="07434552"/>
    <w:rsid w:val="074E4450"/>
    <w:rsid w:val="075524D7"/>
    <w:rsid w:val="076A17A5"/>
    <w:rsid w:val="07727CB0"/>
    <w:rsid w:val="078608E3"/>
    <w:rsid w:val="07AB0349"/>
    <w:rsid w:val="07B405F9"/>
    <w:rsid w:val="07B735DE"/>
    <w:rsid w:val="07C538A6"/>
    <w:rsid w:val="07D442F0"/>
    <w:rsid w:val="07D93108"/>
    <w:rsid w:val="07E72D99"/>
    <w:rsid w:val="07F96223"/>
    <w:rsid w:val="080C7BA2"/>
    <w:rsid w:val="080D0FC4"/>
    <w:rsid w:val="080F2686"/>
    <w:rsid w:val="0810327C"/>
    <w:rsid w:val="08157D0A"/>
    <w:rsid w:val="082E5202"/>
    <w:rsid w:val="08375E1F"/>
    <w:rsid w:val="083C3EF0"/>
    <w:rsid w:val="083E4DEC"/>
    <w:rsid w:val="084A1910"/>
    <w:rsid w:val="08510EF1"/>
    <w:rsid w:val="08553CA0"/>
    <w:rsid w:val="085751F0"/>
    <w:rsid w:val="086504F8"/>
    <w:rsid w:val="08753533"/>
    <w:rsid w:val="0876660F"/>
    <w:rsid w:val="087D1CE6"/>
    <w:rsid w:val="088A7F5F"/>
    <w:rsid w:val="088E3EF3"/>
    <w:rsid w:val="089A1325"/>
    <w:rsid w:val="089E66F4"/>
    <w:rsid w:val="089F1C5C"/>
    <w:rsid w:val="08A7247E"/>
    <w:rsid w:val="08A92895"/>
    <w:rsid w:val="08AB5379"/>
    <w:rsid w:val="08B03E69"/>
    <w:rsid w:val="08BA0844"/>
    <w:rsid w:val="08BC62FE"/>
    <w:rsid w:val="08C9410D"/>
    <w:rsid w:val="08D7754C"/>
    <w:rsid w:val="08F17FDE"/>
    <w:rsid w:val="0905407E"/>
    <w:rsid w:val="09063A89"/>
    <w:rsid w:val="09127CF8"/>
    <w:rsid w:val="091B505B"/>
    <w:rsid w:val="09216310"/>
    <w:rsid w:val="092B4563"/>
    <w:rsid w:val="092D370C"/>
    <w:rsid w:val="09320D22"/>
    <w:rsid w:val="093306B7"/>
    <w:rsid w:val="093A1985"/>
    <w:rsid w:val="09476531"/>
    <w:rsid w:val="095962AF"/>
    <w:rsid w:val="095E1B17"/>
    <w:rsid w:val="09622C8A"/>
    <w:rsid w:val="09624BEF"/>
    <w:rsid w:val="09694018"/>
    <w:rsid w:val="096B5FE2"/>
    <w:rsid w:val="09772BD9"/>
    <w:rsid w:val="09830498"/>
    <w:rsid w:val="09836790"/>
    <w:rsid w:val="09A92667"/>
    <w:rsid w:val="09B72FD5"/>
    <w:rsid w:val="09CC7AD0"/>
    <w:rsid w:val="09D67DDA"/>
    <w:rsid w:val="09EF02DA"/>
    <w:rsid w:val="09EF09C1"/>
    <w:rsid w:val="09F204B1"/>
    <w:rsid w:val="09F2400E"/>
    <w:rsid w:val="09F55495"/>
    <w:rsid w:val="0A053D41"/>
    <w:rsid w:val="0A057E13"/>
    <w:rsid w:val="0A063D2B"/>
    <w:rsid w:val="0A0C3321"/>
    <w:rsid w:val="0A0E3EBB"/>
    <w:rsid w:val="0A171CC6"/>
    <w:rsid w:val="0A481E7F"/>
    <w:rsid w:val="0A4C70FF"/>
    <w:rsid w:val="0A5C568E"/>
    <w:rsid w:val="0A6621B3"/>
    <w:rsid w:val="0A6726EB"/>
    <w:rsid w:val="0A6C0264"/>
    <w:rsid w:val="0A7315F2"/>
    <w:rsid w:val="0A73428B"/>
    <w:rsid w:val="0A7B4003"/>
    <w:rsid w:val="0A80786B"/>
    <w:rsid w:val="0A865AAC"/>
    <w:rsid w:val="0A917CCA"/>
    <w:rsid w:val="0A92134D"/>
    <w:rsid w:val="0A981059"/>
    <w:rsid w:val="0A99282A"/>
    <w:rsid w:val="0AA132EE"/>
    <w:rsid w:val="0AA96DC2"/>
    <w:rsid w:val="0AB6328D"/>
    <w:rsid w:val="0AB96515"/>
    <w:rsid w:val="0ABD0ABF"/>
    <w:rsid w:val="0AC10F82"/>
    <w:rsid w:val="0AC43BFC"/>
    <w:rsid w:val="0AC534D0"/>
    <w:rsid w:val="0AC97464"/>
    <w:rsid w:val="0ADD2F10"/>
    <w:rsid w:val="0AE75860"/>
    <w:rsid w:val="0B0D7FE7"/>
    <w:rsid w:val="0B114967"/>
    <w:rsid w:val="0B236BE5"/>
    <w:rsid w:val="0B261F6D"/>
    <w:rsid w:val="0B2A3504"/>
    <w:rsid w:val="0B301291"/>
    <w:rsid w:val="0B413A44"/>
    <w:rsid w:val="0B444D3D"/>
    <w:rsid w:val="0B492325"/>
    <w:rsid w:val="0B4B0001"/>
    <w:rsid w:val="0B5415F2"/>
    <w:rsid w:val="0B5F3925"/>
    <w:rsid w:val="0B6B22C9"/>
    <w:rsid w:val="0B903ADE"/>
    <w:rsid w:val="0B9466AC"/>
    <w:rsid w:val="0B957DFF"/>
    <w:rsid w:val="0B976425"/>
    <w:rsid w:val="0BAC41E4"/>
    <w:rsid w:val="0BB7550F"/>
    <w:rsid w:val="0BB9723C"/>
    <w:rsid w:val="0BBF3054"/>
    <w:rsid w:val="0BBF4F65"/>
    <w:rsid w:val="0BD22349"/>
    <w:rsid w:val="0BE5606E"/>
    <w:rsid w:val="0BF26547"/>
    <w:rsid w:val="0BF56832"/>
    <w:rsid w:val="0BFC1173"/>
    <w:rsid w:val="0C2661F0"/>
    <w:rsid w:val="0C2A0BF5"/>
    <w:rsid w:val="0C2B4BCE"/>
    <w:rsid w:val="0C35511F"/>
    <w:rsid w:val="0C3B6140"/>
    <w:rsid w:val="0C4169D6"/>
    <w:rsid w:val="0C4A1EDF"/>
    <w:rsid w:val="0C4B5AB9"/>
    <w:rsid w:val="0C5A4BC9"/>
    <w:rsid w:val="0C5C1C12"/>
    <w:rsid w:val="0C5D4E4D"/>
    <w:rsid w:val="0C660DDA"/>
    <w:rsid w:val="0C692CAD"/>
    <w:rsid w:val="0C760F26"/>
    <w:rsid w:val="0C7F37E5"/>
    <w:rsid w:val="0C8B4DD8"/>
    <w:rsid w:val="0C8D626F"/>
    <w:rsid w:val="0CA63264"/>
    <w:rsid w:val="0CA75019"/>
    <w:rsid w:val="0CAE15C5"/>
    <w:rsid w:val="0CC066D9"/>
    <w:rsid w:val="0CC223BD"/>
    <w:rsid w:val="0CC464AF"/>
    <w:rsid w:val="0CDD2D53"/>
    <w:rsid w:val="0CF166D7"/>
    <w:rsid w:val="0CF87B8D"/>
    <w:rsid w:val="0CF956B3"/>
    <w:rsid w:val="0D1349C7"/>
    <w:rsid w:val="0D1457FD"/>
    <w:rsid w:val="0D1B53C2"/>
    <w:rsid w:val="0D1C0E4D"/>
    <w:rsid w:val="0D1E4B0A"/>
    <w:rsid w:val="0D22719E"/>
    <w:rsid w:val="0D2546FA"/>
    <w:rsid w:val="0D634416"/>
    <w:rsid w:val="0D635DAB"/>
    <w:rsid w:val="0D6B42BD"/>
    <w:rsid w:val="0D782A7C"/>
    <w:rsid w:val="0D813912"/>
    <w:rsid w:val="0D815DD4"/>
    <w:rsid w:val="0D973E0E"/>
    <w:rsid w:val="0D980066"/>
    <w:rsid w:val="0DA92236"/>
    <w:rsid w:val="0DB0690D"/>
    <w:rsid w:val="0DB40DFE"/>
    <w:rsid w:val="0DB46175"/>
    <w:rsid w:val="0DD04666"/>
    <w:rsid w:val="0DD06C7C"/>
    <w:rsid w:val="0DD5327C"/>
    <w:rsid w:val="0DD5696B"/>
    <w:rsid w:val="0DDB09F9"/>
    <w:rsid w:val="0DE14AC5"/>
    <w:rsid w:val="0DEA2BF8"/>
    <w:rsid w:val="0DFE11D3"/>
    <w:rsid w:val="0E0013EF"/>
    <w:rsid w:val="0E135696"/>
    <w:rsid w:val="0E14554F"/>
    <w:rsid w:val="0E1516DC"/>
    <w:rsid w:val="0E1F739B"/>
    <w:rsid w:val="0E29465B"/>
    <w:rsid w:val="0E2F5830"/>
    <w:rsid w:val="0E37485D"/>
    <w:rsid w:val="0E39220B"/>
    <w:rsid w:val="0E4A1D90"/>
    <w:rsid w:val="0E4C07DD"/>
    <w:rsid w:val="0E703AE2"/>
    <w:rsid w:val="0E9A06DB"/>
    <w:rsid w:val="0EA21367"/>
    <w:rsid w:val="0EB137D2"/>
    <w:rsid w:val="0EC51CF1"/>
    <w:rsid w:val="0EC87A33"/>
    <w:rsid w:val="0ED63CB7"/>
    <w:rsid w:val="0EE179E2"/>
    <w:rsid w:val="0EE77EB9"/>
    <w:rsid w:val="0EEE56EB"/>
    <w:rsid w:val="0EF80318"/>
    <w:rsid w:val="0EFF5A44"/>
    <w:rsid w:val="0F024CF3"/>
    <w:rsid w:val="0F076D6F"/>
    <w:rsid w:val="0F0F72F9"/>
    <w:rsid w:val="0F114F36"/>
    <w:rsid w:val="0F166DEA"/>
    <w:rsid w:val="0F27032B"/>
    <w:rsid w:val="0F29227F"/>
    <w:rsid w:val="0F296723"/>
    <w:rsid w:val="0F307AB2"/>
    <w:rsid w:val="0F334EAC"/>
    <w:rsid w:val="0F3550C8"/>
    <w:rsid w:val="0F4A19C8"/>
    <w:rsid w:val="0F4F525E"/>
    <w:rsid w:val="0F5B4403"/>
    <w:rsid w:val="0F5B4FA9"/>
    <w:rsid w:val="0F661726"/>
    <w:rsid w:val="0F6C4862"/>
    <w:rsid w:val="0F6C5FE1"/>
    <w:rsid w:val="0F7709E5"/>
    <w:rsid w:val="0F7B599F"/>
    <w:rsid w:val="0F9A317D"/>
    <w:rsid w:val="0F9A4F2B"/>
    <w:rsid w:val="0F9D4AAD"/>
    <w:rsid w:val="0FA2051D"/>
    <w:rsid w:val="0FA4446A"/>
    <w:rsid w:val="0FA755CE"/>
    <w:rsid w:val="0FA845A5"/>
    <w:rsid w:val="0FB474D5"/>
    <w:rsid w:val="0FBD3594"/>
    <w:rsid w:val="0FC959A2"/>
    <w:rsid w:val="0FCE11E4"/>
    <w:rsid w:val="0FD06B9F"/>
    <w:rsid w:val="0FD61CDB"/>
    <w:rsid w:val="0FDC2332"/>
    <w:rsid w:val="0FEE3B90"/>
    <w:rsid w:val="0FF00FEF"/>
    <w:rsid w:val="0FFC3E22"/>
    <w:rsid w:val="10173DF5"/>
    <w:rsid w:val="1021564D"/>
    <w:rsid w:val="102B4E28"/>
    <w:rsid w:val="104B7C9E"/>
    <w:rsid w:val="10540A0F"/>
    <w:rsid w:val="10561F5E"/>
    <w:rsid w:val="106311FD"/>
    <w:rsid w:val="107240FA"/>
    <w:rsid w:val="10796182"/>
    <w:rsid w:val="107A4E46"/>
    <w:rsid w:val="108160EB"/>
    <w:rsid w:val="108856CC"/>
    <w:rsid w:val="108B309E"/>
    <w:rsid w:val="108C782D"/>
    <w:rsid w:val="10963D8A"/>
    <w:rsid w:val="109854D9"/>
    <w:rsid w:val="109C6E4F"/>
    <w:rsid w:val="10A11BCB"/>
    <w:rsid w:val="10A86610"/>
    <w:rsid w:val="10B35A73"/>
    <w:rsid w:val="10B447FC"/>
    <w:rsid w:val="10C009C2"/>
    <w:rsid w:val="10CD1330"/>
    <w:rsid w:val="10CF6E57"/>
    <w:rsid w:val="10D43D2C"/>
    <w:rsid w:val="10D66437"/>
    <w:rsid w:val="10F659F2"/>
    <w:rsid w:val="10FD1C16"/>
    <w:rsid w:val="11230F50"/>
    <w:rsid w:val="112E0021"/>
    <w:rsid w:val="11523B51"/>
    <w:rsid w:val="115E45A8"/>
    <w:rsid w:val="11666A76"/>
    <w:rsid w:val="11670D99"/>
    <w:rsid w:val="1178129C"/>
    <w:rsid w:val="117874EE"/>
    <w:rsid w:val="11835756"/>
    <w:rsid w:val="118A332A"/>
    <w:rsid w:val="118B6DB2"/>
    <w:rsid w:val="11A26319"/>
    <w:rsid w:val="11A26D97"/>
    <w:rsid w:val="11A42091"/>
    <w:rsid w:val="11B20C52"/>
    <w:rsid w:val="11D30DB7"/>
    <w:rsid w:val="11D46C43"/>
    <w:rsid w:val="11D77A30"/>
    <w:rsid w:val="11DE5594"/>
    <w:rsid w:val="11E054D2"/>
    <w:rsid w:val="11E16D70"/>
    <w:rsid w:val="11F272A1"/>
    <w:rsid w:val="12045226"/>
    <w:rsid w:val="121511E7"/>
    <w:rsid w:val="124D44D7"/>
    <w:rsid w:val="124E685E"/>
    <w:rsid w:val="124F5A58"/>
    <w:rsid w:val="12521135"/>
    <w:rsid w:val="12542D8F"/>
    <w:rsid w:val="12575356"/>
    <w:rsid w:val="12614426"/>
    <w:rsid w:val="12635AA8"/>
    <w:rsid w:val="12661A3D"/>
    <w:rsid w:val="12744159"/>
    <w:rsid w:val="12955E7E"/>
    <w:rsid w:val="1297235E"/>
    <w:rsid w:val="12B216E7"/>
    <w:rsid w:val="12C329EB"/>
    <w:rsid w:val="12D76496"/>
    <w:rsid w:val="12DB5F87"/>
    <w:rsid w:val="12EB72D5"/>
    <w:rsid w:val="12ED3D94"/>
    <w:rsid w:val="12F44FF7"/>
    <w:rsid w:val="133236CD"/>
    <w:rsid w:val="13347445"/>
    <w:rsid w:val="133643FF"/>
    <w:rsid w:val="13385187"/>
    <w:rsid w:val="134F62C2"/>
    <w:rsid w:val="1356560D"/>
    <w:rsid w:val="135D2E40"/>
    <w:rsid w:val="135E2714"/>
    <w:rsid w:val="1362463C"/>
    <w:rsid w:val="136523E1"/>
    <w:rsid w:val="136821FF"/>
    <w:rsid w:val="13764C2F"/>
    <w:rsid w:val="13855EF2"/>
    <w:rsid w:val="13893C35"/>
    <w:rsid w:val="138B5B49"/>
    <w:rsid w:val="13963C5C"/>
    <w:rsid w:val="139A199E"/>
    <w:rsid w:val="13B660AC"/>
    <w:rsid w:val="13D36C5E"/>
    <w:rsid w:val="13E42C19"/>
    <w:rsid w:val="13ED41C3"/>
    <w:rsid w:val="13F258D1"/>
    <w:rsid w:val="14047BF0"/>
    <w:rsid w:val="14074B59"/>
    <w:rsid w:val="141259D8"/>
    <w:rsid w:val="14174080"/>
    <w:rsid w:val="14195F8E"/>
    <w:rsid w:val="14341B35"/>
    <w:rsid w:val="143A6CDD"/>
    <w:rsid w:val="143F42F3"/>
    <w:rsid w:val="1448304E"/>
    <w:rsid w:val="144D6A10"/>
    <w:rsid w:val="145002AE"/>
    <w:rsid w:val="145D29CB"/>
    <w:rsid w:val="14830CF0"/>
    <w:rsid w:val="14844BDA"/>
    <w:rsid w:val="14A14FAE"/>
    <w:rsid w:val="14A322E7"/>
    <w:rsid w:val="14A612C9"/>
    <w:rsid w:val="14B13BCB"/>
    <w:rsid w:val="14B96F81"/>
    <w:rsid w:val="14BB6070"/>
    <w:rsid w:val="14BC5E5B"/>
    <w:rsid w:val="14CB202B"/>
    <w:rsid w:val="14D50BBB"/>
    <w:rsid w:val="14D91B3C"/>
    <w:rsid w:val="14E05236"/>
    <w:rsid w:val="14E37374"/>
    <w:rsid w:val="14EF5D19"/>
    <w:rsid w:val="14F82861"/>
    <w:rsid w:val="14F915B7"/>
    <w:rsid w:val="14FB4921"/>
    <w:rsid w:val="15077C9A"/>
    <w:rsid w:val="150D5780"/>
    <w:rsid w:val="15204125"/>
    <w:rsid w:val="15210DCF"/>
    <w:rsid w:val="15296DA0"/>
    <w:rsid w:val="15325BC7"/>
    <w:rsid w:val="156E1C8F"/>
    <w:rsid w:val="157E28E0"/>
    <w:rsid w:val="158F4E06"/>
    <w:rsid w:val="15995C85"/>
    <w:rsid w:val="15AB4BE4"/>
    <w:rsid w:val="15B74ADA"/>
    <w:rsid w:val="15B900D5"/>
    <w:rsid w:val="15DB44F0"/>
    <w:rsid w:val="15DC79C2"/>
    <w:rsid w:val="15F93CEE"/>
    <w:rsid w:val="16011B6B"/>
    <w:rsid w:val="16082604"/>
    <w:rsid w:val="16105F47"/>
    <w:rsid w:val="161C2B3E"/>
    <w:rsid w:val="161E5027"/>
    <w:rsid w:val="162E461F"/>
    <w:rsid w:val="162F26CF"/>
    <w:rsid w:val="16331C36"/>
    <w:rsid w:val="163F066C"/>
    <w:rsid w:val="16481480"/>
    <w:rsid w:val="16516474"/>
    <w:rsid w:val="165C0CB1"/>
    <w:rsid w:val="166C65D1"/>
    <w:rsid w:val="16746F0C"/>
    <w:rsid w:val="16772B2D"/>
    <w:rsid w:val="16864AEE"/>
    <w:rsid w:val="169A1CB5"/>
    <w:rsid w:val="16A97980"/>
    <w:rsid w:val="16AC3F2C"/>
    <w:rsid w:val="16DF591A"/>
    <w:rsid w:val="16E01DBD"/>
    <w:rsid w:val="16E55624"/>
    <w:rsid w:val="16EA111F"/>
    <w:rsid w:val="16EB42BE"/>
    <w:rsid w:val="16F5513D"/>
    <w:rsid w:val="16F94C2D"/>
    <w:rsid w:val="16FD07E5"/>
    <w:rsid w:val="1726179A"/>
    <w:rsid w:val="1735378C"/>
    <w:rsid w:val="173A0E99"/>
    <w:rsid w:val="17424826"/>
    <w:rsid w:val="1743234C"/>
    <w:rsid w:val="17451C21"/>
    <w:rsid w:val="1747180C"/>
    <w:rsid w:val="17496995"/>
    <w:rsid w:val="174D74CF"/>
    <w:rsid w:val="1752433D"/>
    <w:rsid w:val="177C37EE"/>
    <w:rsid w:val="178564C1"/>
    <w:rsid w:val="17861FBF"/>
    <w:rsid w:val="178C0F21"/>
    <w:rsid w:val="17A447D0"/>
    <w:rsid w:val="17B117AC"/>
    <w:rsid w:val="17BF6B2C"/>
    <w:rsid w:val="17C74D2B"/>
    <w:rsid w:val="17CA19EC"/>
    <w:rsid w:val="17CC18DC"/>
    <w:rsid w:val="17CD6C41"/>
    <w:rsid w:val="17DE3E23"/>
    <w:rsid w:val="17DF339A"/>
    <w:rsid w:val="17E53F04"/>
    <w:rsid w:val="17F82375"/>
    <w:rsid w:val="18046C21"/>
    <w:rsid w:val="1808185B"/>
    <w:rsid w:val="18095209"/>
    <w:rsid w:val="18137F71"/>
    <w:rsid w:val="18257827"/>
    <w:rsid w:val="1827165F"/>
    <w:rsid w:val="18387277"/>
    <w:rsid w:val="18463EA2"/>
    <w:rsid w:val="18602A8A"/>
    <w:rsid w:val="186B56B7"/>
    <w:rsid w:val="18725E62"/>
    <w:rsid w:val="18733A42"/>
    <w:rsid w:val="187818BF"/>
    <w:rsid w:val="18812BF4"/>
    <w:rsid w:val="18814B4E"/>
    <w:rsid w:val="188B5D16"/>
    <w:rsid w:val="188C7F11"/>
    <w:rsid w:val="18910E95"/>
    <w:rsid w:val="189D783A"/>
    <w:rsid w:val="18A24E51"/>
    <w:rsid w:val="18B368DA"/>
    <w:rsid w:val="18BA7315"/>
    <w:rsid w:val="18C8788D"/>
    <w:rsid w:val="18C969BD"/>
    <w:rsid w:val="18CE751E"/>
    <w:rsid w:val="18D524FF"/>
    <w:rsid w:val="18E37943"/>
    <w:rsid w:val="190F698A"/>
    <w:rsid w:val="19151CBC"/>
    <w:rsid w:val="191E02D6"/>
    <w:rsid w:val="19466124"/>
    <w:rsid w:val="194D55A9"/>
    <w:rsid w:val="194D6883"/>
    <w:rsid w:val="194F6D66"/>
    <w:rsid w:val="19762565"/>
    <w:rsid w:val="19841C91"/>
    <w:rsid w:val="1991739F"/>
    <w:rsid w:val="19947F54"/>
    <w:rsid w:val="199E386A"/>
    <w:rsid w:val="19AA220F"/>
    <w:rsid w:val="19AD7F51"/>
    <w:rsid w:val="19B25567"/>
    <w:rsid w:val="19BB08C0"/>
    <w:rsid w:val="19BE215E"/>
    <w:rsid w:val="19BE3F0C"/>
    <w:rsid w:val="19C205E3"/>
    <w:rsid w:val="19C3137D"/>
    <w:rsid w:val="19C65F42"/>
    <w:rsid w:val="19D21766"/>
    <w:rsid w:val="19E93D6B"/>
    <w:rsid w:val="19EF657C"/>
    <w:rsid w:val="19F45B80"/>
    <w:rsid w:val="19FF69FF"/>
    <w:rsid w:val="1A0A07EC"/>
    <w:rsid w:val="1A0C4BB2"/>
    <w:rsid w:val="1A1025AF"/>
    <w:rsid w:val="1A111B7E"/>
    <w:rsid w:val="1A1853B9"/>
    <w:rsid w:val="1A1A60A6"/>
    <w:rsid w:val="1A1A6DEE"/>
    <w:rsid w:val="1A200723"/>
    <w:rsid w:val="1A43070E"/>
    <w:rsid w:val="1A6F1609"/>
    <w:rsid w:val="1A8011C2"/>
    <w:rsid w:val="1A9058A9"/>
    <w:rsid w:val="1A950859"/>
    <w:rsid w:val="1A9A04D5"/>
    <w:rsid w:val="1AA11EB5"/>
    <w:rsid w:val="1AA56F9B"/>
    <w:rsid w:val="1AB5530F"/>
    <w:rsid w:val="1AC61371"/>
    <w:rsid w:val="1ACC0512"/>
    <w:rsid w:val="1AD02148"/>
    <w:rsid w:val="1AE92A5B"/>
    <w:rsid w:val="1AFF2141"/>
    <w:rsid w:val="1B0004E7"/>
    <w:rsid w:val="1B171B26"/>
    <w:rsid w:val="1B176ECC"/>
    <w:rsid w:val="1B252192"/>
    <w:rsid w:val="1B2E467B"/>
    <w:rsid w:val="1B4072CF"/>
    <w:rsid w:val="1B43291B"/>
    <w:rsid w:val="1B486183"/>
    <w:rsid w:val="1B4C581A"/>
    <w:rsid w:val="1B4F12C0"/>
    <w:rsid w:val="1B4F67D9"/>
    <w:rsid w:val="1B52383F"/>
    <w:rsid w:val="1B610FF3"/>
    <w:rsid w:val="1B6E63C8"/>
    <w:rsid w:val="1B721452"/>
    <w:rsid w:val="1B747ECF"/>
    <w:rsid w:val="1B926040"/>
    <w:rsid w:val="1B947225"/>
    <w:rsid w:val="1BA65CC5"/>
    <w:rsid w:val="1BB04F63"/>
    <w:rsid w:val="1BB8267A"/>
    <w:rsid w:val="1BC53330"/>
    <w:rsid w:val="1BC7354C"/>
    <w:rsid w:val="1BCB1FD9"/>
    <w:rsid w:val="1BD125ED"/>
    <w:rsid w:val="1BD21EF1"/>
    <w:rsid w:val="1BD417C5"/>
    <w:rsid w:val="1BE54009"/>
    <w:rsid w:val="1BE7774A"/>
    <w:rsid w:val="1C043F09"/>
    <w:rsid w:val="1C13053F"/>
    <w:rsid w:val="1C154EDE"/>
    <w:rsid w:val="1C1E0C92"/>
    <w:rsid w:val="1C1F427D"/>
    <w:rsid w:val="1C292C5C"/>
    <w:rsid w:val="1C47643B"/>
    <w:rsid w:val="1C476E73"/>
    <w:rsid w:val="1C4A101B"/>
    <w:rsid w:val="1C597F1C"/>
    <w:rsid w:val="1C625385"/>
    <w:rsid w:val="1C631B69"/>
    <w:rsid w:val="1C6A545F"/>
    <w:rsid w:val="1C6B1F1F"/>
    <w:rsid w:val="1C6D27D4"/>
    <w:rsid w:val="1C6D60B9"/>
    <w:rsid w:val="1C780C83"/>
    <w:rsid w:val="1C7879D5"/>
    <w:rsid w:val="1C7F3443"/>
    <w:rsid w:val="1C9A09D7"/>
    <w:rsid w:val="1C9B22E3"/>
    <w:rsid w:val="1C9C6787"/>
    <w:rsid w:val="1C9D42AD"/>
    <w:rsid w:val="1CA4563B"/>
    <w:rsid w:val="1CB552A0"/>
    <w:rsid w:val="1CBF2475"/>
    <w:rsid w:val="1CF00880"/>
    <w:rsid w:val="1CF71C0F"/>
    <w:rsid w:val="1CFA16FF"/>
    <w:rsid w:val="1D003B60"/>
    <w:rsid w:val="1D13631D"/>
    <w:rsid w:val="1D1A5EB3"/>
    <w:rsid w:val="1D1D719C"/>
    <w:rsid w:val="1D2A17EF"/>
    <w:rsid w:val="1D2D5D3E"/>
    <w:rsid w:val="1D3006E4"/>
    <w:rsid w:val="1D364B38"/>
    <w:rsid w:val="1D3B0295"/>
    <w:rsid w:val="1D3E783E"/>
    <w:rsid w:val="1D453462"/>
    <w:rsid w:val="1D526E45"/>
    <w:rsid w:val="1D540512"/>
    <w:rsid w:val="1D57445C"/>
    <w:rsid w:val="1D5F6B01"/>
    <w:rsid w:val="1D7F1C04"/>
    <w:rsid w:val="1D8D2573"/>
    <w:rsid w:val="1D96599D"/>
    <w:rsid w:val="1DA06387"/>
    <w:rsid w:val="1DB4038D"/>
    <w:rsid w:val="1DBA2C3C"/>
    <w:rsid w:val="1DBD5D23"/>
    <w:rsid w:val="1DC03470"/>
    <w:rsid w:val="1DC36D97"/>
    <w:rsid w:val="1DC37D43"/>
    <w:rsid w:val="1DC55869"/>
    <w:rsid w:val="1DD5485E"/>
    <w:rsid w:val="1DD737EE"/>
    <w:rsid w:val="1DDF4451"/>
    <w:rsid w:val="1E0526C2"/>
    <w:rsid w:val="1E1919E2"/>
    <w:rsid w:val="1E2A1B70"/>
    <w:rsid w:val="1E2F7187"/>
    <w:rsid w:val="1E317675"/>
    <w:rsid w:val="1E3E5BD7"/>
    <w:rsid w:val="1E4569AA"/>
    <w:rsid w:val="1E4850BC"/>
    <w:rsid w:val="1E621B87"/>
    <w:rsid w:val="1E674B72"/>
    <w:rsid w:val="1E691C0A"/>
    <w:rsid w:val="1E6D7CAF"/>
    <w:rsid w:val="1E720882"/>
    <w:rsid w:val="1E7F3A49"/>
    <w:rsid w:val="1E7F5B46"/>
    <w:rsid w:val="1E8F40C9"/>
    <w:rsid w:val="1E9235D3"/>
    <w:rsid w:val="1E9445DD"/>
    <w:rsid w:val="1E971C57"/>
    <w:rsid w:val="1E9F255E"/>
    <w:rsid w:val="1EA872D7"/>
    <w:rsid w:val="1EAE07F6"/>
    <w:rsid w:val="1EB8717C"/>
    <w:rsid w:val="1EC668D4"/>
    <w:rsid w:val="1ECB3353"/>
    <w:rsid w:val="1EDA17E8"/>
    <w:rsid w:val="1EDB10BC"/>
    <w:rsid w:val="1EDE6C90"/>
    <w:rsid w:val="1EDF295B"/>
    <w:rsid w:val="1EE2069D"/>
    <w:rsid w:val="1EF53F2C"/>
    <w:rsid w:val="1EFD1033"/>
    <w:rsid w:val="1EFE5190"/>
    <w:rsid w:val="1F0028D1"/>
    <w:rsid w:val="1F02047B"/>
    <w:rsid w:val="1F073C5F"/>
    <w:rsid w:val="1F171E3C"/>
    <w:rsid w:val="1F2C1918"/>
    <w:rsid w:val="1F2C34A5"/>
    <w:rsid w:val="1F311F01"/>
    <w:rsid w:val="1F362114"/>
    <w:rsid w:val="1F422EEA"/>
    <w:rsid w:val="1F43743A"/>
    <w:rsid w:val="1F570348"/>
    <w:rsid w:val="1F6410B2"/>
    <w:rsid w:val="1F8654CC"/>
    <w:rsid w:val="1F882FF2"/>
    <w:rsid w:val="1F884DA0"/>
    <w:rsid w:val="1F9A4AD4"/>
    <w:rsid w:val="1F9B41F9"/>
    <w:rsid w:val="1F9C4CF0"/>
    <w:rsid w:val="1F9E2816"/>
    <w:rsid w:val="1FAB6CE1"/>
    <w:rsid w:val="1FB5458E"/>
    <w:rsid w:val="1FB913FE"/>
    <w:rsid w:val="1FBF278C"/>
    <w:rsid w:val="1FC55794"/>
    <w:rsid w:val="1FC61074"/>
    <w:rsid w:val="1FC97167"/>
    <w:rsid w:val="1FCC221F"/>
    <w:rsid w:val="1FD77CF7"/>
    <w:rsid w:val="1FDC6DF3"/>
    <w:rsid w:val="1FDD482E"/>
    <w:rsid w:val="1FE12702"/>
    <w:rsid w:val="1FEF4E1F"/>
    <w:rsid w:val="1FF936D5"/>
    <w:rsid w:val="200C3EF7"/>
    <w:rsid w:val="201523AC"/>
    <w:rsid w:val="201557E0"/>
    <w:rsid w:val="20234AC9"/>
    <w:rsid w:val="20525CB5"/>
    <w:rsid w:val="20566C4C"/>
    <w:rsid w:val="205A32C2"/>
    <w:rsid w:val="205D622D"/>
    <w:rsid w:val="20675088"/>
    <w:rsid w:val="208207C8"/>
    <w:rsid w:val="208E129B"/>
    <w:rsid w:val="209A346E"/>
    <w:rsid w:val="20AB66B0"/>
    <w:rsid w:val="20AE781D"/>
    <w:rsid w:val="20B31ADA"/>
    <w:rsid w:val="20B61DE1"/>
    <w:rsid w:val="20BD4F1E"/>
    <w:rsid w:val="20CA7B44"/>
    <w:rsid w:val="20CF4C51"/>
    <w:rsid w:val="20D61B3B"/>
    <w:rsid w:val="20D63E58"/>
    <w:rsid w:val="20D64DCD"/>
    <w:rsid w:val="20D66215"/>
    <w:rsid w:val="20E34258"/>
    <w:rsid w:val="20E923F7"/>
    <w:rsid w:val="20F67FEA"/>
    <w:rsid w:val="211A2370"/>
    <w:rsid w:val="21300ADF"/>
    <w:rsid w:val="213F1C3D"/>
    <w:rsid w:val="214B74BE"/>
    <w:rsid w:val="21555156"/>
    <w:rsid w:val="2159732E"/>
    <w:rsid w:val="215D487C"/>
    <w:rsid w:val="216D3666"/>
    <w:rsid w:val="2184510F"/>
    <w:rsid w:val="21924CFE"/>
    <w:rsid w:val="219519F6"/>
    <w:rsid w:val="219F4623"/>
    <w:rsid w:val="21A63C04"/>
    <w:rsid w:val="21AA283A"/>
    <w:rsid w:val="21AF11B5"/>
    <w:rsid w:val="21B82E88"/>
    <w:rsid w:val="21D0685C"/>
    <w:rsid w:val="21D3005F"/>
    <w:rsid w:val="21E3110C"/>
    <w:rsid w:val="21E87AF7"/>
    <w:rsid w:val="21EE397B"/>
    <w:rsid w:val="21F241DB"/>
    <w:rsid w:val="21F4671D"/>
    <w:rsid w:val="21FA1D70"/>
    <w:rsid w:val="21FA7AAB"/>
    <w:rsid w:val="21FB3F4F"/>
    <w:rsid w:val="21FC0048"/>
    <w:rsid w:val="21FF3314"/>
    <w:rsid w:val="22067286"/>
    <w:rsid w:val="22076800"/>
    <w:rsid w:val="220C6B39"/>
    <w:rsid w:val="220D6FFE"/>
    <w:rsid w:val="221336D4"/>
    <w:rsid w:val="221338AA"/>
    <w:rsid w:val="22394A78"/>
    <w:rsid w:val="225F728E"/>
    <w:rsid w:val="22631AF5"/>
    <w:rsid w:val="22644610"/>
    <w:rsid w:val="22657AB4"/>
    <w:rsid w:val="226E40E6"/>
    <w:rsid w:val="22733580"/>
    <w:rsid w:val="227B26DA"/>
    <w:rsid w:val="22813D29"/>
    <w:rsid w:val="22871622"/>
    <w:rsid w:val="228757E3"/>
    <w:rsid w:val="22A243CB"/>
    <w:rsid w:val="22C5455D"/>
    <w:rsid w:val="22CE3412"/>
    <w:rsid w:val="22D123D2"/>
    <w:rsid w:val="22D80CBB"/>
    <w:rsid w:val="22DD18A7"/>
    <w:rsid w:val="22F22A0F"/>
    <w:rsid w:val="23113671"/>
    <w:rsid w:val="23137077"/>
    <w:rsid w:val="23192D01"/>
    <w:rsid w:val="231C2B3E"/>
    <w:rsid w:val="232F00A6"/>
    <w:rsid w:val="2337002B"/>
    <w:rsid w:val="233D0598"/>
    <w:rsid w:val="234F5BD5"/>
    <w:rsid w:val="235A1E65"/>
    <w:rsid w:val="23651655"/>
    <w:rsid w:val="236D2C2B"/>
    <w:rsid w:val="237613B4"/>
    <w:rsid w:val="2390179D"/>
    <w:rsid w:val="23A84A38"/>
    <w:rsid w:val="23A94F44"/>
    <w:rsid w:val="23D031BA"/>
    <w:rsid w:val="23EB6C9E"/>
    <w:rsid w:val="23F30CF0"/>
    <w:rsid w:val="240D1139"/>
    <w:rsid w:val="240E508A"/>
    <w:rsid w:val="241733C3"/>
    <w:rsid w:val="241B24FE"/>
    <w:rsid w:val="24294678"/>
    <w:rsid w:val="2451208D"/>
    <w:rsid w:val="245142FB"/>
    <w:rsid w:val="245B51F8"/>
    <w:rsid w:val="24726959"/>
    <w:rsid w:val="24771887"/>
    <w:rsid w:val="247B23D8"/>
    <w:rsid w:val="2480073C"/>
    <w:rsid w:val="248578B0"/>
    <w:rsid w:val="248875F1"/>
    <w:rsid w:val="248B0E8F"/>
    <w:rsid w:val="249E0BC2"/>
    <w:rsid w:val="24AD6F94"/>
    <w:rsid w:val="24C341A1"/>
    <w:rsid w:val="24C60CE2"/>
    <w:rsid w:val="24D55CDA"/>
    <w:rsid w:val="24D665AE"/>
    <w:rsid w:val="24DC16EA"/>
    <w:rsid w:val="24EB0ADA"/>
    <w:rsid w:val="250255F5"/>
    <w:rsid w:val="250F386E"/>
    <w:rsid w:val="25162E4E"/>
    <w:rsid w:val="251C0851"/>
    <w:rsid w:val="251D41DD"/>
    <w:rsid w:val="25201F1F"/>
    <w:rsid w:val="252F4073"/>
    <w:rsid w:val="252F74EF"/>
    <w:rsid w:val="253D03DB"/>
    <w:rsid w:val="253D487F"/>
    <w:rsid w:val="25421E95"/>
    <w:rsid w:val="25496D80"/>
    <w:rsid w:val="25506360"/>
    <w:rsid w:val="25545725"/>
    <w:rsid w:val="255816B9"/>
    <w:rsid w:val="256065E1"/>
    <w:rsid w:val="25622C13"/>
    <w:rsid w:val="25656305"/>
    <w:rsid w:val="25675458"/>
    <w:rsid w:val="2569263E"/>
    <w:rsid w:val="2572277A"/>
    <w:rsid w:val="2574470D"/>
    <w:rsid w:val="25812575"/>
    <w:rsid w:val="258778A8"/>
    <w:rsid w:val="258E5322"/>
    <w:rsid w:val="25907BD5"/>
    <w:rsid w:val="2591671F"/>
    <w:rsid w:val="25A36726"/>
    <w:rsid w:val="25AC5A5E"/>
    <w:rsid w:val="25AD37B3"/>
    <w:rsid w:val="25B05051"/>
    <w:rsid w:val="25B32729"/>
    <w:rsid w:val="25B54FFE"/>
    <w:rsid w:val="25C1100C"/>
    <w:rsid w:val="25C74149"/>
    <w:rsid w:val="25C838FB"/>
    <w:rsid w:val="25CE197B"/>
    <w:rsid w:val="25D23DA0"/>
    <w:rsid w:val="25D32387"/>
    <w:rsid w:val="25D45CF3"/>
    <w:rsid w:val="25DD571A"/>
    <w:rsid w:val="25DE1BBE"/>
    <w:rsid w:val="25FA62CC"/>
    <w:rsid w:val="26025181"/>
    <w:rsid w:val="26046956"/>
    <w:rsid w:val="261A696E"/>
    <w:rsid w:val="26215F4F"/>
    <w:rsid w:val="26220B72"/>
    <w:rsid w:val="262E2EF9"/>
    <w:rsid w:val="26301CEE"/>
    <w:rsid w:val="26312ECF"/>
    <w:rsid w:val="263F60ED"/>
    <w:rsid w:val="2652435A"/>
    <w:rsid w:val="26594AF1"/>
    <w:rsid w:val="265A102C"/>
    <w:rsid w:val="265E0AC9"/>
    <w:rsid w:val="26604402"/>
    <w:rsid w:val="266F36FB"/>
    <w:rsid w:val="268A38F7"/>
    <w:rsid w:val="268E10DF"/>
    <w:rsid w:val="268E46C9"/>
    <w:rsid w:val="26942D94"/>
    <w:rsid w:val="26946721"/>
    <w:rsid w:val="26A166CF"/>
    <w:rsid w:val="26AA5F44"/>
    <w:rsid w:val="26BC7C2C"/>
    <w:rsid w:val="26CE674B"/>
    <w:rsid w:val="26D66D39"/>
    <w:rsid w:val="26D905D7"/>
    <w:rsid w:val="26DF689D"/>
    <w:rsid w:val="26E33204"/>
    <w:rsid w:val="26F64CE5"/>
    <w:rsid w:val="26FC7E22"/>
    <w:rsid w:val="26FD2518"/>
    <w:rsid w:val="270E64D3"/>
    <w:rsid w:val="271A3A43"/>
    <w:rsid w:val="27242CE0"/>
    <w:rsid w:val="27277064"/>
    <w:rsid w:val="27282656"/>
    <w:rsid w:val="27313F6F"/>
    <w:rsid w:val="2749750B"/>
    <w:rsid w:val="274D1422"/>
    <w:rsid w:val="27533EE6"/>
    <w:rsid w:val="275D64A6"/>
    <w:rsid w:val="275F00AD"/>
    <w:rsid w:val="278165B2"/>
    <w:rsid w:val="2790554C"/>
    <w:rsid w:val="27A9420C"/>
    <w:rsid w:val="27AE789D"/>
    <w:rsid w:val="27B53919"/>
    <w:rsid w:val="27BF77CD"/>
    <w:rsid w:val="27CC1233"/>
    <w:rsid w:val="27D077AB"/>
    <w:rsid w:val="27D35027"/>
    <w:rsid w:val="27DF5779"/>
    <w:rsid w:val="27E866C2"/>
    <w:rsid w:val="27F24574"/>
    <w:rsid w:val="27FA0805"/>
    <w:rsid w:val="280C16FB"/>
    <w:rsid w:val="280D0539"/>
    <w:rsid w:val="2815045C"/>
    <w:rsid w:val="282615FA"/>
    <w:rsid w:val="28321D4D"/>
    <w:rsid w:val="2859377E"/>
    <w:rsid w:val="285976EF"/>
    <w:rsid w:val="285E55BE"/>
    <w:rsid w:val="28844573"/>
    <w:rsid w:val="288527C5"/>
    <w:rsid w:val="28891840"/>
    <w:rsid w:val="289009E7"/>
    <w:rsid w:val="2895052E"/>
    <w:rsid w:val="28956780"/>
    <w:rsid w:val="289A78F2"/>
    <w:rsid w:val="28B210E0"/>
    <w:rsid w:val="28BC5ABB"/>
    <w:rsid w:val="28BF46B0"/>
    <w:rsid w:val="28D50685"/>
    <w:rsid w:val="28E3573D"/>
    <w:rsid w:val="28ED4CDC"/>
    <w:rsid w:val="28EF5E90"/>
    <w:rsid w:val="28F647B0"/>
    <w:rsid w:val="28FF2559"/>
    <w:rsid w:val="290A574F"/>
    <w:rsid w:val="29115E06"/>
    <w:rsid w:val="29143B49"/>
    <w:rsid w:val="29195CD1"/>
    <w:rsid w:val="29235B3A"/>
    <w:rsid w:val="292A336C"/>
    <w:rsid w:val="29300EB7"/>
    <w:rsid w:val="293837D0"/>
    <w:rsid w:val="293935AF"/>
    <w:rsid w:val="293F64CE"/>
    <w:rsid w:val="2940669C"/>
    <w:rsid w:val="295201CD"/>
    <w:rsid w:val="295719FA"/>
    <w:rsid w:val="295D2FE8"/>
    <w:rsid w:val="29654E52"/>
    <w:rsid w:val="296835FB"/>
    <w:rsid w:val="2974222F"/>
    <w:rsid w:val="297629A9"/>
    <w:rsid w:val="298567F4"/>
    <w:rsid w:val="298A0B02"/>
    <w:rsid w:val="29BF3AB4"/>
    <w:rsid w:val="29C43C1E"/>
    <w:rsid w:val="29C9654D"/>
    <w:rsid w:val="29DB01C2"/>
    <w:rsid w:val="29E11C7D"/>
    <w:rsid w:val="29E22871"/>
    <w:rsid w:val="29ED62F3"/>
    <w:rsid w:val="29F3375E"/>
    <w:rsid w:val="29F574D6"/>
    <w:rsid w:val="29FA4FB0"/>
    <w:rsid w:val="2A0C5A0B"/>
    <w:rsid w:val="2A0E2346"/>
    <w:rsid w:val="2A0F432F"/>
    <w:rsid w:val="2A110088"/>
    <w:rsid w:val="2A222295"/>
    <w:rsid w:val="2A2433CD"/>
    <w:rsid w:val="2A2878AC"/>
    <w:rsid w:val="2A3D625C"/>
    <w:rsid w:val="2A4A08BA"/>
    <w:rsid w:val="2A573CED"/>
    <w:rsid w:val="2A5C57A7"/>
    <w:rsid w:val="2A7523C5"/>
    <w:rsid w:val="2A773D4B"/>
    <w:rsid w:val="2A795BE3"/>
    <w:rsid w:val="2A8B3997"/>
    <w:rsid w:val="2A990F84"/>
    <w:rsid w:val="2AA6648A"/>
    <w:rsid w:val="2AAF6204"/>
    <w:rsid w:val="2AC038F1"/>
    <w:rsid w:val="2ACA020E"/>
    <w:rsid w:val="2ACF3892"/>
    <w:rsid w:val="2AE13EFE"/>
    <w:rsid w:val="2AE53E00"/>
    <w:rsid w:val="2AE61515"/>
    <w:rsid w:val="2AE81F5F"/>
    <w:rsid w:val="2AED771C"/>
    <w:rsid w:val="2B013C59"/>
    <w:rsid w:val="2B0B0C9B"/>
    <w:rsid w:val="2B147E30"/>
    <w:rsid w:val="2B177920"/>
    <w:rsid w:val="2B2037DE"/>
    <w:rsid w:val="2B2362C5"/>
    <w:rsid w:val="2B23758D"/>
    <w:rsid w:val="2B275AF8"/>
    <w:rsid w:val="2B2A31B0"/>
    <w:rsid w:val="2B391645"/>
    <w:rsid w:val="2B4324C3"/>
    <w:rsid w:val="2B4621AA"/>
    <w:rsid w:val="2B59701E"/>
    <w:rsid w:val="2B5973CD"/>
    <w:rsid w:val="2B6662C1"/>
    <w:rsid w:val="2B685CAD"/>
    <w:rsid w:val="2B7642E0"/>
    <w:rsid w:val="2B7D7783"/>
    <w:rsid w:val="2B8E608D"/>
    <w:rsid w:val="2B940F71"/>
    <w:rsid w:val="2B960569"/>
    <w:rsid w:val="2BA17113"/>
    <w:rsid w:val="2BA50A88"/>
    <w:rsid w:val="2BC5737C"/>
    <w:rsid w:val="2BCF4CC2"/>
    <w:rsid w:val="2BD26D3D"/>
    <w:rsid w:val="2BD31A99"/>
    <w:rsid w:val="2BD66EBA"/>
    <w:rsid w:val="2BDB43A8"/>
    <w:rsid w:val="2BDB7D7C"/>
    <w:rsid w:val="2BDF3F0E"/>
    <w:rsid w:val="2BE9306B"/>
    <w:rsid w:val="2BF65788"/>
    <w:rsid w:val="2C0415FF"/>
    <w:rsid w:val="2C070825"/>
    <w:rsid w:val="2C101CE9"/>
    <w:rsid w:val="2C107FEF"/>
    <w:rsid w:val="2C161986"/>
    <w:rsid w:val="2C167BD8"/>
    <w:rsid w:val="2C1C793A"/>
    <w:rsid w:val="2C290748"/>
    <w:rsid w:val="2C3167C0"/>
    <w:rsid w:val="2C345F27"/>
    <w:rsid w:val="2C37112D"/>
    <w:rsid w:val="2C5524AE"/>
    <w:rsid w:val="2C616654"/>
    <w:rsid w:val="2C635C77"/>
    <w:rsid w:val="2C6B3DB4"/>
    <w:rsid w:val="2C6D356D"/>
    <w:rsid w:val="2C791FE0"/>
    <w:rsid w:val="2C90798A"/>
    <w:rsid w:val="2C9F7BCD"/>
    <w:rsid w:val="2CA41176"/>
    <w:rsid w:val="2CB64630"/>
    <w:rsid w:val="2CB84FA2"/>
    <w:rsid w:val="2CC13CC3"/>
    <w:rsid w:val="2CD71115"/>
    <w:rsid w:val="2CD978E2"/>
    <w:rsid w:val="2CF40EA6"/>
    <w:rsid w:val="2CF4111F"/>
    <w:rsid w:val="2D087520"/>
    <w:rsid w:val="2D0B7E51"/>
    <w:rsid w:val="2D1429E7"/>
    <w:rsid w:val="2D41464C"/>
    <w:rsid w:val="2D4867F4"/>
    <w:rsid w:val="2D493BEB"/>
    <w:rsid w:val="2D4D587B"/>
    <w:rsid w:val="2D572256"/>
    <w:rsid w:val="2D6230D5"/>
    <w:rsid w:val="2DA37249"/>
    <w:rsid w:val="2DA74F8B"/>
    <w:rsid w:val="2DAA05D8"/>
    <w:rsid w:val="2DBC0253"/>
    <w:rsid w:val="2DDE034D"/>
    <w:rsid w:val="2DDF67DB"/>
    <w:rsid w:val="2E0121A1"/>
    <w:rsid w:val="2E0F2B31"/>
    <w:rsid w:val="2E112405"/>
    <w:rsid w:val="2E1D524D"/>
    <w:rsid w:val="2E2B796A"/>
    <w:rsid w:val="2E2E6DC9"/>
    <w:rsid w:val="2E5077D3"/>
    <w:rsid w:val="2E5470F7"/>
    <w:rsid w:val="2E56075F"/>
    <w:rsid w:val="2E5A1FFE"/>
    <w:rsid w:val="2E675B86"/>
    <w:rsid w:val="2E7221A8"/>
    <w:rsid w:val="2E744143"/>
    <w:rsid w:val="2E782484"/>
    <w:rsid w:val="2E7D3F3E"/>
    <w:rsid w:val="2E8C07FB"/>
    <w:rsid w:val="2E9C6265"/>
    <w:rsid w:val="2EBD1038"/>
    <w:rsid w:val="2EC4391B"/>
    <w:rsid w:val="2EC6073D"/>
    <w:rsid w:val="2EEB3426"/>
    <w:rsid w:val="2EEC3FC4"/>
    <w:rsid w:val="2EF57F78"/>
    <w:rsid w:val="2EFF4953"/>
    <w:rsid w:val="2F012479"/>
    <w:rsid w:val="2F05640D"/>
    <w:rsid w:val="2F1F5888"/>
    <w:rsid w:val="2F2B245C"/>
    <w:rsid w:val="2F377112"/>
    <w:rsid w:val="2F4179D4"/>
    <w:rsid w:val="2F481F87"/>
    <w:rsid w:val="2F49630D"/>
    <w:rsid w:val="2F4A44FC"/>
    <w:rsid w:val="2F4B5DEA"/>
    <w:rsid w:val="2F574FCA"/>
    <w:rsid w:val="2F6453A1"/>
    <w:rsid w:val="2F662726"/>
    <w:rsid w:val="2F7801EA"/>
    <w:rsid w:val="2F8F5E66"/>
    <w:rsid w:val="2F911A4F"/>
    <w:rsid w:val="2FAF07E0"/>
    <w:rsid w:val="2FCA3FE7"/>
    <w:rsid w:val="2FCE3BFF"/>
    <w:rsid w:val="2FD45DE0"/>
    <w:rsid w:val="2FD47B8E"/>
    <w:rsid w:val="2FDE0A0C"/>
    <w:rsid w:val="2FE04785"/>
    <w:rsid w:val="2FE53B49"/>
    <w:rsid w:val="2FF92DBF"/>
    <w:rsid w:val="2FFC0BBD"/>
    <w:rsid w:val="301F34FF"/>
    <w:rsid w:val="30221DFE"/>
    <w:rsid w:val="30234671"/>
    <w:rsid w:val="302723B3"/>
    <w:rsid w:val="30345D31"/>
    <w:rsid w:val="30564A47"/>
    <w:rsid w:val="30613E51"/>
    <w:rsid w:val="306465A4"/>
    <w:rsid w:val="30683D24"/>
    <w:rsid w:val="30705B08"/>
    <w:rsid w:val="307A24E3"/>
    <w:rsid w:val="30930DC9"/>
    <w:rsid w:val="30981971"/>
    <w:rsid w:val="309B06AC"/>
    <w:rsid w:val="309C1E01"/>
    <w:rsid w:val="30AF5CB6"/>
    <w:rsid w:val="30B71989"/>
    <w:rsid w:val="30B8300C"/>
    <w:rsid w:val="30C34783"/>
    <w:rsid w:val="30C8281A"/>
    <w:rsid w:val="30D530DC"/>
    <w:rsid w:val="30D60A08"/>
    <w:rsid w:val="30E06F3B"/>
    <w:rsid w:val="30E72737"/>
    <w:rsid w:val="30F5600E"/>
    <w:rsid w:val="30F71865"/>
    <w:rsid w:val="31122A3D"/>
    <w:rsid w:val="3115220C"/>
    <w:rsid w:val="31181CFC"/>
    <w:rsid w:val="3128447F"/>
    <w:rsid w:val="312B1A2F"/>
    <w:rsid w:val="31305298"/>
    <w:rsid w:val="314605E5"/>
    <w:rsid w:val="314825E1"/>
    <w:rsid w:val="315A38F0"/>
    <w:rsid w:val="31605B7D"/>
    <w:rsid w:val="3163741B"/>
    <w:rsid w:val="31660CB9"/>
    <w:rsid w:val="319677F1"/>
    <w:rsid w:val="31997D9D"/>
    <w:rsid w:val="319D4CC9"/>
    <w:rsid w:val="31A517E2"/>
    <w:rsid w:val="31AF35E1"/>
    <w:rsid w:val="31B16548"/>
    <w:rsid w:val="31B22151"/>
    <w:rsid w:val="31B53FC1"/>
    <w:rsid w:val="31BE28A4"/>
    <w:rsid w:val="31D521CB"/>
    <w:rsid w:val="31DD5420"/>
    <w:rsid w:val="31E00A6C"/>
    <w:rsid w:val="31E06CBE"/>
    <w:rsid w:val="31E51575"/>
    <w:rsid w:val="31EA5447"/>
    <w:rsid w:val="321307EA"/>
    <w:rsid w:val="32221084"/>
    <w:rsid w:val="322A16AC"/>
    <w:rsid w:val="322A5D7D"/>
    <w:rsid w:val="322A6129"/>
    <w:rsid w:val="322A6639"/>
    <w:rsid w:val="324A2ACB"/>
    <w:rsid w:val="32521FA8"/>
    <w:rsid w:val="32606800"/>
    <w:rsid w:val="32612520"/>
    <w:rsid w:val="326C2300"/>
    <w:rsid w:val="32794A1C"/>
    <w:rsid w:val="327C53D0"/>
    <w:rsid w:val="327F1714"/>
    <w:rsid w:val="32851613"/>
    <w:rsid w:val="32943604"/>
    <w:rsid w:val="329D0D10"/>
    <w:rsid w:val="32A37E25"/>
    <w:rsid w:val="32BF0681"/>
    <w:rsid w:val="32CB5278"/>
    <w:rsid w:val="32CE6B16"/>
    <w:rsid w:val="32E5009F"/>
    <w:rsid w:val="32E660CD"/>
    <w:rsid w:val="32E66EB1"/>
    <w:rsid w:val="32EB368F"/>
    <w:rsid w:val="32FD564D"/>
    <w:rsid w:val="33042538"/>
    <w:rsid w:val="33160912"/>
    <w:rsid w:val="331663BC"/>
    <w:rsid w:val="33323549"/>
    <w:rsid w:val="33437504"/>
    <w:rsid w:val="33472ECD"/>
    <w:rsid w:val="334D4D38"/>
    <w:rsid w:val="33557238"/>
    <w:rsid w:val="335F3C12"/>
    <w:rsid w:val="336254B1"/>
    <w:rsid w:val="336A1A14"/>
    <w:rsid w:val="336D5094"/>
    <w:rsid w:val="337A4F9F"/>
    <w:rsid w:val="337E7E8A"/>
    <w:rsid w:val="3381627F"/>
    <w:rsid w:val="338A1260"/>
    <w:rsid w:val="33933C5D"/>
    <w:rsid w:val="33AC2F08"/>
    <w:rsid w:val="33B201E6"/>
    <w:rsid w:val="33BC5467"/>
    <w:rsid w:val="33D36C88"/>
    <w:rsid w:val="33DA09AC"/>
    <w:rsid w:val="33E76E23"/>
    <w:rsid w:val="33EB07BD"/>
    <w:rsid w:val="34115DFF"/>
    <w:rsid w:val="3417273F"/>
    <w:rsid w:val="34337579"/>
    <w:rsid w:val="344352E2"/>
    <w:rsid w:val="34694EA5"/>
    <w:rsid w:val="346A5B09"/>
    <w:rsid w:val="347F4D79"/>
    <w:rsid w:val="34825E0A"/>
    <w:rsid w:val="34836693"/>
    <w:rsid w:val="34867053"/>
    <w:rsid w:val="349F41F7"/>
    <w:rsid w:val="34A70358"/>
    <w:rsid w:val="34B306BA"/>
    <w:rsid w:val="34C51A78"/>
    <w:rsid w:val="34CA155F"/>
    <w:rsid w:val="34DC3F5F"/>
    <w:rsid w:val="34E40EFF"/>
    <w:rsid w:val="34EF4E52"/>
    <w:rsid w:val="35196179"/>
    <w:rsid w:val="352670DE"/>
    <w:rsid w:val="352B0250"/>
    <w:rsid w:val="354C6407"/>
    <w:rsid w:val="35507CB7"/>
    <w:rsid w:val="355243BF"/>
    <w:rsid w:val="355D66C9"/>
    <w:rsid w:val="35636D7A"/>
    <w:rsid w:val="35727DCB"/>
    <w:rsid w:val="35731BF7"/>
    <w:rsid w:val="35770D8A"/>
    <w:rsid w:val="3586192A"/>
    <w:rsid w:val="358838F4"/>
    <w:rsid w:val="359E6C74"/>
    <w:rsid w:val="35A07CE7"/>
    <w:rsid w:val="35A227E3"/>
    <w:rsid w:val="35A921E9"/>
    <w:rsid w:val="35A973C7"/>
    <w:rsid w:val="35B50461"/>
    <w:rsid w:val="35B55A68"/>
    <w:rsid w:val="35BC228E"/>
    <w:rsid w:val="35C4150F"/>
    <w:rsid w:val="35D97CAC"/>
    <w:rsid w:val="35DB7EC8"/>
    <w:rsid w:val="35F5085E"/>
    <w:rsid w:val="36006737"/>
    <w:rsid w:val="3600792F"/>
    <w:rsid w:val="36077888"/>
    <w:rsid w:val="361433DA"/>
    <w:rsid w:val="36232900"/>
    <w:rsid w:val="36346AB6"/>
    <w:rsid w:val="36363350"/>
    <w:rsid w:val="36372206"/>
    <w:rsid w:val="36372C24"/>
    <w:rsid w:val="363A42AF"/>
    <w:rsid w:val="36467D5A"/>
    <w:rsid w:val="365570AC"/>
    <w:rsid w:val="3656097F"/>
    <w:rsid w:val="36563EA7"/>
    <w:rsid w:val="36624145"/>
    <w:rsid w:val="36625EF3"/>
    <w:rsid w:val="3680281D"/>
    <w:rsid w:val="3684649F"/>
    <w:rsid w:val="368C2F70"/>
    <w:rsid w:val="368C4D1E"/>
    <w:rsid w:val="368D1D56"/>
    <w:rsid w:val="369843C0"/>
    <w:rsid w:val="3699568D"/>
    <w:rsid w:val="36AA33F6"/>
    <w:rsid w:val="36AA5AEC"/>
    <w:rsid w:val="36B63803"/>
    <w:rsid w:val="36B74B2C"/>
    <w:rsid w:val="36B81FB7"/>
    <w:rsid w:val="36C23D0A"/>
    <w:rsid w:val="36C911E0"/>
    <w:rsid w:val="36DE0CC8"/>
    <w:rsid w:val="36EB4F9F"/>
    <w:rsid w:val="36FB2A76"/>
    <w:rsid w:val="36FF3742"/>
    <w:rsid w:val="370A2254"/>
    <w:rsid w:val="370D253F"/>
    <w:rsid w:val="3720190B"/>
    <w:rsid w:val="374D6BA3"/>
    <w:rsid w:val="37561731"/>
    <w:rsid w:val="37577F26"/>
    <w:rsid w:val="375D1E78"/>
    <w:rsid w:val="377038F8"/>
    <w:rsid w:val="37767142"/>
    <w:rsid w:val="37813E56"/>
    <w:rsid w:val="37985945"/>
    <w:rsid w:val="37990031"/>
    <w:rsid w:val="379C0864"/>
    <w:rsid w:val="37A83DDA"/>
    <w:rsid w:val="37BF1123"/>
    <w:rsid w:val="37D90437"/>
    <w:rsid w:val="37E10BE6"/>
    <w:rsid w:val="37E316DF"/>
    <w:rsid w:val="37E41D6F"/>
    <w:rsid w:val="37EA0213"/>
    <w:rsid w:val="37EC020D"/>
    <w:rsid w:val="37F0752F"/>
    <w:rsid w:val="38092C35"/>
    <w:rsid w:val="380E1CB6"/>
    <w:rsid w:val="381D3669"/>
    <w:rsid w:val="381F5054"/>
    <w:rsid w:val="38237904"/>
    <w:rsid w:val="383220DA"/>
    <w:rsid w:val="38351B40"/>
    <w:rsid w:val="383526D3"/>
    <w:rsid w:val="383668BD"/>
    <w:rsid w:val="38415308"/>
    <w:rsid w:val="38431D54"/>
    <w:rsid w:val="38433742"/>
    <w:rsid w:val="384C6E5B"/>
    <w:rsid w:val="384F54AE"/>
    <w:rsid w:val="38643366"/>
    <w:rsid w:val="387E4B3B"/>
    <w:rsid w:val="38983E4E"/>
    <w:rsid w:val="38B156E2"/>
    <w:rsid w:val="38B72415"/>
    <w:rsid w:val="38BD7695"/>
    <w:rsid w:val="38BE13DB"/>
    <w:rsid w:val="38CE326B"/>
    <w:rsid w:val="38E803A4"/>
    <w:rsid w:val="38F0305B"/>
    <w:rsid w:val="38F04B48"/>
    <w:rsid w:val="38FC4156"/>
    <w:rsid w:val="39050DB8"/>
    <w:rsid w:val="3911775D"/>
    <w:rsid w:val="39167469"/>
    <w:rsid w:val="392D55AE"/>
    <w:rsid w:val="395F496C"/>
    <w:rsid w:val="396C2549"/>
    <w:rsid w:val="39706B79"/>
    <w:rsid w:val="398E7860"/>
    <w:rsid w:val="39917042"/>
    <w:rsid w:val="39992A49"/>
    <w:rsid w:val="39A131D7"/>
    <w:rsid w:val="39A700C1"/>
    <w:rsid w:val="39B06F76"/>
    <w:rsid w:val="39BA4298"/>
    <w:rsid w:val="39BD1693"/>
    <w:rsid w:val="39D401D1"/>
    <w:rsid w:val="39DC420F"/>
    <w:rsid w:val="39DF785B"/>
    <w:rsid w:val="39F95BAF"/>
    <w:rsid w:val="3A0266BB"/>
    <w:rsid w:val="3A053765"/>
    <w:rsid w:val="3A0E1EEE"/>
    <w:rsid w:val="3A137F81"/>
    <w:rsid w:val="3A1E4827"/>
    <w:rsid w:val="3A1F1E78"/>
    <w:rsid w:val="3A2974D3"/>
    <w:rsid w:val="3A383F6D"/>
    <w:rsid w:val="3A435FDA"/>
    <w:rsid w:val="3A492A71"/>
    <w:rsid w:val="3A563FC1"/>
    <w:rsid w:val="3A5831F3"/>
    <w:rsid w:val="3A5B15D7"/>
    <w:rsid w:val="3A6D130B"/>
    <w:rsid w:val="3A7C6384"/>
    <w:rsid w:val="3A9313F6"/>
    <w:rsid w:val="3A9E7716"/>
    <w:rsid w:val="3AA0348E"/>
    <w:rsid w:val="3AA361D6"/>
    <w:rsid w:val="3AA72B05"/>
    <w:rsid w:val="3AC32CD9"/>
    <w:rsid w:val="3AD35612"/>
    <w:rsid w:val="3ADB0022"/>
    <w:rsid w:val="3ADB2718"/>
    <w:rsid w:val="3AE140A2"/>
    <w:rsid w:val="3AEC72F4"/>
    <w:rsid w:val="3B017EED"/>
    <w:rsid w:val="3B0A6B5A"/>
    <w:rsid w:val="3B124611"/>
    <w:rsid w:val="3B1A3241"/>
    <w:rsid w:val="3B2123A0"/>
    <w:rsid w:val="3B2E2848"/>
    <w:rsid w:val="3B36794F"/>
    <w:rsid w:val="3B4756B8"/>
    <w:rsid w:val="3B4B51FE"/>
    <w:rsid w:val="3B4C7172"/>
    <w:rsid w:val="3B6169C8"/>
    <w:rsid w:val="3B6A5E81"/>
    <w:rsid w:val="3B6B584A"/>
    <w:rsid w:val="3B790C66"/>
    <w:rsid w:val="3B8C5173"/>
    <w:rsid w:val="3B9E00AB"/>
    <w:rsid w:val="3BA96372"/>
    <w:rsid w:val="3BB6283D"/>
    <w:rsid w:val="3BB8636F"/>
    <w:rsid w:val="3BBD5812"/>
    <w:rsid w:val="3BC746F9"/>
    <w:rsid w:val="3BC855F1"/>
    <w:rsid w:val="3BD57167"/>
    <w:rsid w:val="3BD72EE0"/>
    <w:rsid w:val="3BFD7385"/>
    <w:rsid w:val="3C033CD5"/>
    <w:rsid w:val="3C0878F9"/>
    <w:rsid w:val="3C0E61D6"/>
    <w:rsid w:val="3C1732DC"/>
    <w:rsid w:val="3C1934F8"/>
    <w:rsid w:val="3C4F6C2D"/>
    <w:rsid w:val="3C506ABF"/>
    <w:rsid w:val="3C55170A"/>
    <w:rsid w:val="3C600D79"/>
    <w:rsid w:val="3C6A6406"/>
    <w:rsid w:val="3C781E89"/>
    <w:rsid w:val="3C886DBE"/>
    <w:rsid w:val="3C8B0798"/>
    <w:rsid w:val="3C946AA2"/>
    <w:rsid w:val="3CA8487C"/>
    <w:rsid w:val="3CAA05F4"/>
    <w:rsid w:val="3CB04AA5"/>
    <w:rsid w:val="3CDB69FF"/>
    <w:rsid w:val="3CEA7F0A"/>
    <w:rsid w:val="3CEE798C"/>
    <w:rsid w:val="3CFC5061"/>
    <w:rsid w:val="3CFD4BC8"/>
    <w:rsid w:val="3D0E5D62"/>
    <w:rsid w:val="3D0F66A9"/>
    <w:rsid w:val="3D2E16FA"/>
    <w:rsid w:val="3D3E2AEA"/>
    <w:rsid w:val="3D5642D8"/>
    <w:rsid w:val="3D597924"/>
    <w:rsid w:val="3D6861F2"/>
    <w:rsid w:val="3D691F33"/>
    <w:rsid w:val="3D6A38DF"/>
    <w:rsid w:val="3D793B23"/>
    <w:rsid w:val="3D7F382F"/>
    <w:rsid w:val="3DCC459A"/>
    <w:rsid w:val="3DCE0312"/>
    <w:rsid w:val="3DEC2897"/>
    <w:rsid w:val="3DF00B18"/>
    <w:rsid w:val="3DF072BC"/>
    <w:rsid w:val="3DF61F08"/>
    <w:rsid w:val="3DF8713D"/>
    <w:rsid w:val="3DFA6D7E"/>
    <w:rsid w:val="3DFE3703"/>
    <w:rsid w:val="3E076967"/>
    <w:rsid w:val="3E10092B"/>
    <w:rsid w:val="3E1339B8"/>
    <w:rsid w:val="3E175815"/>
    <w:rsid w:val="3E1D4DF6"/>
    <w:rsid w:val="3E2A4E7A"/>
    <w:rsid w:val="3E320D17"/>
    <w:rsid w:val="3E375EB7"/>
    <w:rsid w:val="3E500D27"/>
    <w:rsid w:val="3E530817"/>
    <w:rsid w:val="3E54308D"/>
    <w:rsid w:val="3E5A7DF8"/>
    <w:rsid w:val="3E5D1F87"/>
    <w:rsid w:val="3E6447D3"/>
    <w:rsid w:val="3E6B1C93"/>
    <w:rsid w:val="3E6E56EE"/>
    <w:rsid w:val="3E8D7925"/>
    <w:rsid w:val="3EA90437"/>
    <w:rsid w:val="3EB017C6"/>
    <w:rsid w:val="3EB05AED"/>
    <w:rsid w:val="3EB76FF8"/>
    <w:rsid w:val="3ECA6D2C"/>
    <w:rsid w:val="3ED23D78"/>
    <w:rsid w:val="3EDE6333"/>
    <w:rsid w:val="3EDF2347"/>
    <w:rsid w:val="3EEE5102"/>
    <w:rsid w:val="3F033FEC"/>
    <w:rsid w:val="3F0B1923"/>
    <w:rsid w:val="3F0B792A"/>
    <w:rsid w:val="3F1B7587"/>
    <w:rsid w:val="3F1C5008"/>
    <w:rsid w:val="3F2521B4"/>
    <w:rsid w:val="3F316DAB"/>
    <w:rsid w:val="3F3B5533"/>
    <w:rsid w:val="3F3F2C7B"/>
    <w:rsid w:val="3F425832"/>
    <w:rsid w:val="3F433A5A"/>
    <w:rsid w:val="3F4E3BC6"/>
    <w:rsid w:val="3F4F28EF"/>
    <w:rsid w:val="3F5E7474"/>
    <w:rsid w:val="3F636838"/>
    <w:rsid w:val="3F6A31A9"/>
    <w:rsid w:val="3F6F74D4"/>
    <w:rsid w:val="3F9368DF"/>
    <w:rsid w:val="3F95226A"/>
    <w:rsid w:val="3F9D4665"/>
    <w:rsid w:val="3FA070A0"/>
    <w:rsid w:val="3FAF7CCF"/>
    <w:rsid w:val="3FB02481"/>
    <w:rsid w:val="3FBB18DE"/>
    <w:rsid w:val="3FBF649B"/>
    <w:rsid w:val="3FC372B1"/>
    <w:rsid w:val="3FC51C6A"/>
    <w:rsid w:val="3FD376A5"/>
    <w:rsid w:val="3FE625B7"/>
    <w:rsid w:val="3FE937F2"/>
    <w:rsid w:val="3FEF23B5"/>
    <w:rsid w:val="3FF57DD8"/>
    <w:rsid w:val="3FF73B50"/>
    <w:rsid w:val="3FFB5A4A"/>
    <w:rsid w:val="3FFF4F2D"/>
    <w:rsid w:val="400A3D6D"/>
    <w:rsid w:val="40226F0D"/>
    <w:rsid w:val="40387CC5"/>
    <w:rsid w:val="403C00A3"/>
    <w:rsid w:val="403C3BE2"/>
    <w:rsid w:val="4040570D"/>
    <w:rsid w:val="404A2C98"/>
    <w:rsid w:val="404C5EDA"/>
    <w:rsid w:val="40550C7A"/>
    <w:rsid w:val="4057771C"/>
    <w:rsid w:val="405C51AD"/>
    <w:rsid w:val="40605119"/>
    <w:rsid w:val="40676C84"/>
    <w:rsid w:val="406B02EA"/>
    <w:rsid w:val="40866C82"/>
    <w:rsid w:val="40880C4C"/>
    <w:rsid w:val="408A4739"/>
    <w:rsid w:val="408B4299"/>
    <w:rsid w:val="40A1479E"/>
    <w:rsid w:val="40B31E61"/>
    <w:rsid w:val="40B530C4"/>
    <w:rsid w:val="40C652D1"/>
    <w:rsid w:val="40C72A04"/>
    <w:rsid w:val="40D42D39"/>
    <w:rsid w:val="40E439A9"/>
    <w:rsid w:val="40EE09FF"/>
    <w:rsid w:val="4103199B"/>
    <w:rsid w:val="41043174"/>
    <w:rsid w:val="410C362B"/>
    <w:rsid w:val="4125649B"/>
    <w:rsid w:val="413E472E"/>
    <w:rsid w:val="415574F0"/>
    <w:rsid w:val="41565E7A"/>
    <w:rsid w:val="41576633"/>
    <w:rsid w:val="4162324B"/>
    <w:rsid w:val="416845DA"/>
    <w:rsid w:val="416F3BBA"/>
    <w:rsid w:val="41806F83"/>
    <w:rsid w:val="41913B31"/>
    <w:rsid w:val="419D0727"/>
    <w:rsid w:val="41A76EB0"/>
    <w:rsid w:val="41AF045B"/>
    <w:rsid w:val="41CA2B9F"/>
    <w:rsid w:val="41CB6C26"/>
    <w:rsid w:val="41CC2DBB"/>
    <w:rsid w:val="41E73751"/>
    <w:rsid w:val="41E9396D"/>
    <w:rsid w:val="41F55F03"/>
    <w:rsid w:val="41FF0A9A"/>
    <w:rsid w:val="42016B63"/>
    <w:rsid w:val="42075BA1"/>
    <w:rsid w:val="42117F79"/>
    <w:rsid w:val="42120483"/>
    <w:rsid w:val="42156510"/>
    <w:rsid w:val="42246753"/>
    <w:rsid w:val="42250FE1"/>
    <w:rsid w:val="422C5607"/>
    <w:rsid w:val="42420316"/>
    <w:rsid w:val="42457BF3"/>
    <w:rsid w:val="42497F67"/>
    <w:rsid w:val="424D6740"/>
    <w:rsid w:val="42664FBD"/>
    <w:rsid w:val="426D74C6"/>
    <w:rsid w:val="426F2F34"/>
    <w:rsid w:val="428B4A24"/>
    <w:rsid w:val="429C0DE9"/>
    <w:rsid w:val="429F402B"/>
    <w:rsid w:val="42B63E88"/>
    <w:rsid w:val="42C83C9E"/>
    <w:rsid w:val="42D34FAF"/>
    <w:rsid w:val="42DD6902"/>
    <w:rsid w:val="42E44134"/>
    <w:rsid w:val="42F26851"/>
    <w:rsid w:val="42F44377"/>
    <w:rsid w:val="42FC76D0"/>
    <w:rsid w:val="43000F6E"/>
    <w:rsid w:val="43001BC9"/>
    <w:rsid w:val="43144092"/>
    <w:rsid w:val="4329056E"/>
    <w:rsid w:val="433F094E"/>
    <w:rsid w:val="434075BC"/>
    <w:rsid w:val="43454BD3"/>
    <w:rsid w:val="434A21E9"/>
    <w:rsid w:val="435669C6"/>
    <w:rsid w:val="43622167"/>
    <w:rsid w:val="43672D9B"/>
    <w:rsid w:val="436B215F"/>
    <w:rsid w:val="437445E4"/>
    <w:rsid w:val="437A3BAA"/>
    <w:rsid w:val="437E6337"/>
    <w:rsid w:val="438A0837"/>
    <w:rsid w:val="4393642C"/>
    <w:rsid w:val="43975748"/>
    <w:rsid w:val="43AF32DF"/>
    <w:rsid w:val="43B160BD"/>
    <w:rsid w:val="43C85535"/>
    <w:rsid w:val="43D81418"/>
    <w:rsid w:val="43E837B0"/>
    <w:rsid w:val="43EB275F"/>
    <w:rsid w:val="440A7902"/>
    <w:rsid w:val="440B5E1C"/>
    <w:rsid w:val="440C49F5"/>
    <w:rsid w:val="44134CD1"/>
    <w:rsid w:val="44181257"/>
    <w:rsid w:val="44304C25"/>
    <w:rsid w:val="444035EC"/>
    <w:rsid w:val="44463281"/>
    <w:rsid w:val="444C01E3"/>
    <w:rsid w:val="445F4171"/>
    <w:rsid w:val="445F7F16"/>
    <w:rsid w:val="446761E9"/>
    <w:rsid w:val="446A70CE"/>
    <w:rsid w:val="446E2B27"/>
    <w:rsid w:val="447339C1"/>
    <w:rsid w:val="44855F76"/>
    <w:rsid w:val="44896D41"/>
    <w:rsid w:val="448D337E"/>
    <w:rsid w:val="448F2F54"/>
    <w:rsid w:val="44913E48"/>
    <w:rsid w:val="44A5234A"/>
    <w:rsid w:val="44AA046E"/>
    <w:rsid w:val="44AB12E8"/>
    <w:rsid w:val="44B46653"/>
    <w:rsid w:val="44B6565C"/>
    <w:rsid w:val="44C164DB"/>
    <w:rsid w:val="44C55CAC"/>
    <w:rsid w:val="44F00B6E"/>
    <w:rsid w:val="44FF7003"/>
    <w:rsid w:val="4519311D"/>
    <w:rsid w:val="451F76A5"/>
    <w:rsid w:val="45275804"/>
    <w:rsid w:val="452D3B70"/>
    <w:rsid w:val="45360E53"/>
    <w:rsid w:val="45392515"/>
    <w:rsid w:val="453F3CA3"/>
    <w:rsid w:val="45450D0E"/>
    <w:rsid w:val="45476D1F"/>
    <w:rsid w:val="454F2363"/>
    <w:rsid w:val="454F5136"/>
    <w:rsid w:val="45571F6A"/>
    <w:rsid w:val="4577303D"/>
    <w:rsid w:val="45777C5A"/>
    <w:rsid w:val="4578573D"/>
    <w:rsid w:val="458044F8"/>
    <w:rsid w:val="458539AC"/>
    <w:rsid w:val="45905EAD"/>
    <w:rsid w:val="459267E2"/>
    <w:rsid w:val="459A35C2"/>
    <w:rsid w:val="45DD139D"/>
    <w:rsid w:val="45DE38AE"/>
    <w:rsid w:val="46072613"/>
    <w:rsid w:val="46133710"/>
    <w:rsid w:val="46144D30"/>
    <w:rsid w:val="461818B8"/>
    <w:rsid w:val="462B7D2E"/>
    <w:rsid w:val="463158E2"/>
    <w:rsid w:val="46357180"/>
    <w:rsid w:val="46380A1F"/>
    <w:rsid w:val="46445615"/>
    <w:rsid w:val="46471710"/>
    <w:rsid w:val="464C0026"/>
    <w:rsid w:val="4654512D"/>
    <w:rsid w:val="466540A3"/>
    <w:rsid w:val="46673C6F"/>
    <w:rsid w:val="467712DF"/>
    <w:rsid w:val="467D77C6"/>
    <w:rsid w:val="4682759B"/>
    <w:rsid w:val="46885E2A"/>
    <w:rsid w:val="468927D9"/>
    <w:rsid w:val="46965745"/>
    <w:rsid w:val="469667B4"/>
    <w:rsid w:val="46B07D57"/>
    <w:rsid w:val="46CE1383"/>
    <w:rsid w:val="46CF6E7E"/>
    <w:rsid w:val="46CF7B75"/>
    <w:rsid w:val="46D5060B"/>
    <w:rsid w:val="46E82445"/>
    <w:rsid w:val="46FE60CF"/>
    <w:rsid w:val="46FF597E"/>
    <w:rsid w:val="4703102D"/>
    <w:rsid w:val="470449C0"/>
    <w:rsid w:val="471011CD"/>
    <w:rsid w:val="471E31A7"/>
    <w:rsid w:val="471E6C9C"/>
    <w:rsid w:val="472B0583"/>
    <w:rsid w:val="474F32E7"/>
    <w:rsid w:val="476A1449"/>
    <w:rsid w:val="47797541"/>
    <w:rsid w:val="47816497"/>
    <w:rsid w:val="47A301AD"/>
    <w:rsid w:val="47A54920"/>
    <w:rsid w:val="47AF6ABF"/>
    <w:rsid w:val="47B65380"/>
    <w:rsid w:val="47EA5D49"/>
    <w:rsid w:val="47F01338"/>
    <w:rsid w:val="47FE7A46"/>
    <w:rsid w:val="48082673"/>
    <w:rsid w:val="480E5EDB"/>
    <w:rsid w:val="48106929"/>
    <w:rsid w:val="481A1D8F"/>
    <w:rsid w:val="481F4D88"/>
    <w:rsid w:val="48261C13"/>
    <w:rsid w:val="484304B9"/>
    <w:rsid w:val="48486B1C"/>
    <w:rsid w:val="4851763E"/>
    <w:rsid w:val="487675DC"/>
    <w:rsid w:val="488176E9"/>
    <w:rsid w:val="48821346"/>
    <w:rsid w:val="489130C1"/>
    <w:rsid w:val="48A15DB4"/>
    <w:rsid w:val="48A759E8"/>
    <w:rsid w:val="48B00D40"/>
    <w:rsid w:val="48B56357"/>
    <w:rsid w:val="48B73432"/>
    <w:rsid w:val="48B822F9"/>
    <w:rsid w:val="48BB1493"/>
    <w:rsid w:val="48C434D2"/>
    <w:rsid w:val="48D16F09"/>
    <w:rsid w:val="48EB2598"/>
    <w:rsid w:val="48F40AE1"/>
    <w:rsid w:val="48FE32A1"/>
    <w:rsid w:val="49070F06"/>
    <w:rsid w:val="493F3E72"/>
    <w:rsid w:val="49472D6A"/>
    <w:rsid w:val="49585D98"/>
    <w:rsid w:val="495E69EE"/>
    <w:rsid w:val="49730F71"/>
    <w:rsid w:val="49747FC0"/>
    <w:rsid w:val="497E0E3E"/>
    <w:rsid w:val="497F6965"/>
    <w:rsid w:val="498740F9"/>
    <w:rsid w:val="498E392B"/>
    <w:rsid w:val="49A650BA"/>
    <w:rsid w:val="49AA4B83"/>
    <w:rsid w:val="49AC7AD7"/>
    <w:rsid w:val="49B04D70"/>
    <w:rsid w:val="49C34AA3"/>
    <w:rsid w:val="49E51B74"/>
    <w:rsid w:val="49F153DD"/>
    <w:rsid w:val="4A007AA5"/>
    <w:rsid w:val="4A161077"/>
    <w:rsid w:val="4A271019"/>
    <w:rsid w:val="4A341234"/>
    <w:rsid w:val="4A481771"/>
    <w:rsid w:val="4A4C2CEB"/>
    <w:rsid w:val="4A4C68D0"/>
    <w:rsid w:val="4A722025"/>
    <w:rsid w:val="4A7F653C"/>
    <w:rsid w:val="4A800BE6"/>
    <w:rsid w:val="4A8561FD"/>
    <w:rsid w:val="4A89120C"/>
    <w:rsid w:val="4A8A5925"/>
    <w:rsid w:val="4A914BA1"/>
    <w:rsid w:val="4A9215CA"/>
    <w:rsid w:val="4AA54D06"/>
    <w:rsid w:val="4AA81F51"/>
    <w:rsid w:val="4AAA33FC"/>
    <w:rsid w:val="4AAF1929"/>
    <w:rsid w:val="4AB446BC"/>
    <w:rsid w:val="4AB94001"/>
    <w:rsid w:val="4AD36F68"/>
    <w:rsid w:val="4AE20F59"/>
    <w:rsid w:val="4AE561DB"/>
    <w:rsid w:val="4AED6BE2"/>
    <w:rsid w:val="4B0B4954"/>
    <w:rsid w:val="4B165C00"/>
    <w:rsid w:val="4B1E0C59"/>
    <w:rsid w:val="4B235835"/>
    <w:rsid w:val="4B3519D1"/>
    <w:rsid w:val="4B3C20A4"/>
    <w:rsid w:val="4B3D64C9"/>
    <w:rsid w:val="4B4340EE"/>
    <w:rsid w:val="4B49722A"/>
    <w:rsid w:val="4B5E421B"/>
    <w:rsid w:val="4B646826"/>
    <w:rsid w:val="4B6C6A23"/>
    <w:rsid w:val="4B7047B7"/>
    <w:rsid w:val="4B7D3E13"/>
    <w:rsid w:val="4B7F4A21"/>
    <w:rsid w:val="4B8F39AF"/>
    <w:rsid w:val="4B94275C"/>
    <w:rsid w:val="4B95421D"/>
    <w:rsid w:val="4BA34B8C"/>
    <w:rsid w:val="4BAA1818"/>
    <w:rsid w:val="4BAB0C3A"/>
    <w:rsid w:val="4BB24DCF"/>
    <w:rsid w:val="4BB950FE"/>
    <w:rsid w:val="4BBD5D77"/>
    <w:rsid w:val="4BC93EC7"/>
    <w:rsid w:val="4BF21670"/>
    <w:rsid w:val="4C03678D"/>
    <w:rsid w:val="4C19436A"/>
    <w:rsid w:val="4C207F8B"/>
    <w:rsid w:val="4C2D4456"/>
    <w:rsid w:val="4C384037"/>
    <w:rsid w:val="4C3B51A0"/>
    <w:rsid w:val="4C3C28EB"/>
    <w:rsid w:val="4C3C4224"/>
    <w:rsid w:val="4C4239AD"/>
    <w:rsid w:val="4C4243A5"/>
    <w:rsid w:val="4C523EBC"/>
    <w:rsid w:val="4C526500"/>
    <w:rsid w:val="4C5B09CA"/>
    <w:rsid w:val="4C5B0FC3"/>
    <w:rsid w:val="4C613484"/>
    <w:rsid w:val="4C681A92"/>
    <w:rsid w:val="4C686D9E"/>
    <w:rsid w:val="4C804ECE"/>
    <w:rsid w:val="4C92075D"/>
    <w:rsid w:val="4C973E6B"/>
    <w:rsid w:val="4CA24E44"/>
    <w:rsid w:val="4CBA6F9B"/>
    <w:rsid w:val="4CBE77A4"/>
    <w:rsid w:val="4CC4300C"/>
    <w:rsid w:val="4CC528E0"/>
    <w:rsid w:val="4CC748AA"/>
    <w:rsid w:val="4CCE1D81"/>
    <w:rsid w:val="4CD4109C"/>
    <w:rsid w:val="4CDF0B23"/>
    <w:rsid w:val="4CF02F19"/>
    <w:rsid w:val="4CF84A64"/>
    <w:rsid w:val="4D0072CE"/>
    <w:rsid w:val="4D1817B0"/>
    <w:rsid w:val="4D1D10B3"/>
    <w:rsid w:val="4D1F1AC6"/>
    <w:rsid w:val="4D3637DE"/>
    <w:rsid w:val="4D3A1520"/>
    <w:rsid w:val="4D686A97"/>
    <w:rsid w:val="4D84556B"/>
    <w:rsid w:val="4D9D79B3"/>
    <w:rsid w:val="4D9F3A3B"/>
    <w:rsid w:val="4D9F6CFB"/>
    <w:rsid w:val="4DAD61EA"/>
    <w:rsid w:val="4DAE6043"/>
    <w:rsid w:val="4DB5324E"/>
    <w:rsid w:val="4DC42B98"/>
    <w:rsid w:val="4DC96400"/>
    <w:rsid w:val="4DCB03CA"/>
    <w:rsid w:val="4DD332AB"/>
    <w:rsid w:val="4DE37A0E"/>
    <w:rsid w:val="4DE80F7C"/>
    <w:rsid w:val="4E0C2EFD"/>
    <w:rsid w:val="4E1A6C5C"/>
    <w:rsid w:val="4E2215E3"/>
    <w:rsid w:val="4E2A50F1"/>
    <w:rsid w:val="4E2B2C17"/>
    <w:rsid w:val="4E2C7B48"/>
    <w:rsid w:val="4E395334"/>
    <w:rsid w:val="4E465CA3"/>
    <w:rsid w:val="4E4F2DA9"/>
    <w:rsid w:val="4E543301"/>
    <w:rsid w:val="4E630603"/>
    <w:rsid w:val="4E6525CD"/>
    <w:rsid w:val="4E6600F3"/>
    <w:rsid w:val="4E7755E3"/>
    <w:rsid w:val="4EB66985"/>
    <w:rsid w:val="4EC54E1A"/>
    <w:rsid w:val="4ECA2430"/>
    <w:rsid w:val="4ECC7A1F"/>
    <w:rsid w:val="4ED82D9F"/>
    <w:rsid w:val="4EDD6607"/>
    <w:rsid w:val="4EE03A01"/>
    <w:rsid w:val="4EE35F2B"/>
    <w:rsid w:val="4EE80275"/>
    <w:rsid w:val="4EE91D9C"/>
    <w:rsid w:val="4EE94FAC"/>
    <w:rsid w:val="4F1A3E03"/>
    <w:rsid w:val="4F1B2C8C"/>
    <w:rsid w:val="4F2953A8"/>
    <w:rsid w:val="4F3D0E54"/>
    <w:rsid w:val="4F3E0A38"/>
    <w:rsid w:val="4F404829"/>
    <w:rsid w:val="4F4E6978"/>
    <w:rsid w:val="4F734876"/>
    <w:rsid w:val="4F846A83"/>
    <w:rsid w:val="4F936CC6"/>
    <w:rsid w:val="4FAB400F"/>
    <w:rsid w:val="4FAC0B4A"/>
    <w:rsid w:val="4FAE3B00"/>
    <w:rsid w:val="4FB31116"/>
    <w:rsid w:val="4FB73E9A"/>
    <w:rsid w:val="4FBA4253"/>
    <w:rsid w:val="4FBA6948"/>
    <w:rsid w:val="4FE32E29"/>
    <w:rsid w:val="4FFE31ED"/>
    <w:rsid w:val="4FFE60C6"/>
    <w:rsid w:val="500707B0"/>
    <w:rsid w:val="500812B3"/>
    <w:rsid w:val="500D6A78"/>
    <w:rsid w:val="50121BC3"/>
    <w:rsid w:val="501871CB"/>
    <w:rsid w:val="50427A53"/>
    <w:rsid w:val="50436421"/>
    <w:rsid w:val="50482FB7"/>
    <w:rsid w:val="504D156B"/>
    <w:rsid w:val="505828B7"/>
    <w:rsid w:val="50597C5E"/>
    <w:rsid w:val="50840AB5"/>
    <w:rsid w:val="5084657F"/>
    <w:rsid w:val="50865D61"/>
    <w:rsid w:val="508E5A01"/>
    <w:rsid w:val="509947B0"/>
    <w:rsid w:val="50995025"/>
    <w:rsid w:val="509B224B"/>
    <w:rsid w:val="50A675B9"/>
    <w:rsid w:val="50A867A1"/>
    <w:rsid w:val="50AB6511"/>
    <w:rsid w:val="50C7131D"/>
    <w:rsid w:val="50C95F3E"/>
    <w:rsid w:val="50D737EC"/>
    <w:rsid w:val="50E35A2B"/>
    <w:rsid w:val="50E97F21"/>
    <w:rsid w:val="50F360E5"/>
    <w:rsid w:val="510818DE"/>
    <w:rsid w:val="51134562"/>
    <w:rsid w:val="511846EA"/>
    <w:rsid w:val="512661BD"/>
    <w:rsid w:val="513E2C61"/>
    <w:rsid w:val="515065C6"/>
    <w:rsid w:val="5153495F"/>
    <w:rsid w:val="5155230E"/>
    <w:rsid w:val="515A3AF4"/>
    <w:rsid w:val="51A451BA"/>
    <w:rsid w:val="51AC406F"/>
    <w:rsid w:val="51B11685"/>
    <w:rsid w:val="51BC74B6"/>
    <w:rsid w:val="51C07B1A"/>
    <w:rsid w:val="51D07D5D"/>
    <w:rsid w:val="51DE005C"/>
    <w:rsid w:val="51E132B5"/>
    <w:rsid w:val="51E43809"/>
    <w:rsid w:val="51F11262"/>
    <w:rsid w:val="51FC4FF6"/>
    <w:rsid w:val="521C4A17"/>
    <w:rsid w:val="521D0CD3"/>
    <w:rsid w:val="521E2410"/>
    <w:rsid w:val="5224454D"/>
    <w:rsid w:val="522E2CD6"/>
    <w:rsid w:val="52306A4E"/>
    <w:rsid w:val="5235797A"/>
    <w:rsid w:val="523C53F3"/>
    <w:rsid w:val="523F3135"/>
    <w:rsid w:val="5246001F"/>
    <w:rsid w:val="52551F21"/>
    <w:rsid w:val="525D2AFD"/>
    <w:rsid w:val="525E35BB"/>
    <w:rsid w:val="52636481"/>
    <w:rsid w:val="52656676"/>
    <w:rsid w:val="52732285"/>
    <w:rsid w:val="527A5F1B"/>
    <w:rsid w:val="52833022"/>
    <w:rsid w:val="52861F74"/>
    <w:rsid w:val="52943481"/>
    <w:rsid w:val="529E70E6"/>
    <w:rsid w:val="529F5EE4"/>
    <w:rsid w:val="52AA2CA4"/>
    <w:rsid w:val="52AE4350"/>
    <w:rsid w:val="52B4142D"/>
    <w:rsid w:val="52B72D90"/>
    <w:rsid w:val="52C8548A"/>
    <w:rsid w:val="52D71FC3"/>
    <w:rsid w:val="52E00474"/>
    <w:rsid w:val="52EE6BE4"/>
    <w:rsid w:val="52F2377C"/>
    <w:rsid w:val="53073C53"/>
    <w:rsid w:val="531225F7"/>
    <w:rsid w:val="531968C6"/>
    <w:rsid w:val="53253909"/>
    <w:rsid w:val="53290A9D"/>
    <w:rsid w:val="53476745"/>
    <w:rsid w:val="534871F3"/>
    <w:rsid w:val="534E00AE"/>
    <w:rsid w:val="535248BD"/>
    <w:rsid w:val="53535CE7"/>
    <w:rsid w:val="5354676C"/>
    <w:rsid w:val="5357547E"/>
    <w:rsid w:val="535B16A1"/>
    <w:rsid w:val="535C6817"/>
    <w:rsid w:val="53620E89"/>
    <w:rsid w:val="536966BB"/>
    <w:rsid w:val="537A4D81"/>
    <w:rsid w:val="537D5CC3"/>
    <w:rsid w:val="538E7ED0"/>
    <w:rsid w:val="53952C79"/>
    <w:rsid w:val="539E0D4B"/>
    <w:rsid w:val="53AC050C"/>
    <w:rsid w:val="53BD0749"/>
    <w:rsid w:val="53C438F2"/>
    <w:rsid w:val="53CE651E"/>
    <w:rsid w:val="53CF651F"/>
    <w:rsid w:val="53D95C9D"/>
    <w:rsid w:val="53DF04C9"/>
    <w:rsid w:val="53E81C4A"/>
    <w:rsid w:val="541F321E"/>
    <w:rsid w:val="54240834"/>
    <w:rsid w:val="542D448F"/>
    <w:rsid w:val="54364A4A"/>
    <w:rsid w:val="54422A68"/>
    <w:rsid w:val="54442C85"/>
    <w:rsid w:val="544D38E7"/>
    <w:rsid w:val="54520EFE"/>
    <w:rsid w:val="54631414"/>
    <w:rsid w:val="547E6196"/>
    <w:rsid w:val="54837309"/>
    <w:rsid w:val="549733F7"/>
    <w:rsid w:val="54977258"/>
    <w:rsid w:val="549A0AF6"/>
    <w:rsid w:val="549B6753"/>
    <w:rsid w:val="54A11D47"/>
    <w:rsid w:val="54B24092"/>
    <w:rsid w:val="54B576DE"/>
    <w:rsid w:val="54C358E3"/>
    <w:rsid w:val="54CF33C9"/>
    <w:rsid w:val="54D2203E"/>
    <w:rsid w:val="54D35F3D"/>
    <w:rsid w:val="54F6278A"/>
    <w:rsid w:val="54FB77E7"/>
    <w:rsid w:val="55001133"/>
    <w:rsid w:val="550F3998"/>
    <w:rsid w:val="5513726A"/>
    <w:rsid w:val="5517176C"/>
    <w:rsid w:val="551D59AF"/>
    <w:rsid w:val="55202DAA"/>
    <w:rsid w:val="55384597"/>
    <w:rsid w:val="553C572D"/>
    <w:rsid w:val="5540645E"/>
    <w:rsid w:val="5542666E"/>
    <w:rsid w:val="55450A62"/>
    <w:rsid w:val="55491A29"/>
    <w:rsid w:val="554D5B69"/>
    <w:rsid w:val="55546EF7"/>
    <w:rsid w:val="555B033D"/>
    <w:rsid w:val="555B7482"/>
    <w:rsid w:val="55626808"/>
    <w:rsid w:val="55760C1C"/>
    <w:rsid w:val="557D01FC"/>
    <w:rsid w:val="55883A08"/>
    <w:rsid w:val="55904B7D"/>
    <w:rsid w:val="55924A60"/>
    <w:rsid w:val="55943798"/>
    <w:rsid w:val="559A7000"/>
    <w:rsid w:val="55A32FF3"/>
    <w:rsid w:val="55A504D3"/>
    <w:rsid w:val="55B17EA6"/>
    <w:rsid w:val="55B41744"/>
    <w:rsid w:val="55B6387F"/>
    <w:rsid w:val="55BB2AD2"/>
    <w:rsid w:val="55C0458D"/>
    <w:rsid w:val="55E461BF"/>
    <w:rsid w:val="55E53FF3"/>
    <w:rsid w:val="55FD30EB"/>
    <w:rsid w:val="5608617F"/>
    <w:rsid w:val="56150744"/>
    <w:rsid w:val="562B40FC"/>
    <w:rsid w:val="563D3E2F"/>
    <w:rsid w:val="56465F1A"/>
    <w:rsid w:val="56513437"/>
    <w:rsid w:val="56617B1E"/>
    <w:rsid w:val="56666EE2"/>
    <w:rsid w:val="566C201F"/>
    <w:rsid w:val="56751227"/>
    <w:rsid w:val="567978D3"/>
    <w:rsid w:val="567E247E"/>
    <w:rsid w:val="56811F6E"/>
    <w:rsid w:val="568578F8"/>
    <w:rsid w:val="5697709C"/>
    <w:rsid w:val="56AB0D99"/>
    <w:rsid w:val="56B37C4E"/>
    <w:rsid w:val="56BA0FDC"/>
    <w:rsid w:val="56C02A96"/>
    <w:rsid w:val="56C323EC"/>
    <w:rsid w:val="56C836F9"/>
    <w:rsid w:val="56D02CD3"/>
    <w:rsid w:val="56D415DB"/>
    <w:rsid w:val="56D66374"/>
    <w:rsid w:val="56DB7A46"/>
    <w:rsid w:val="56DE4CCA"/>
    <w:rsid w:val="56DE7412"/>
    <w:rsid w:val="56DF08E2"/>
    <w:rsid w:val="56E36785"/>
    <w:rsid w:val="56EA0D0C"/>
    <w:rsid w:val="56EA560D"/>
    <w:rsid w:val="56FC7846"/>
    <w:rsid w:val="57044B1F"/>
    <w:rsid w:val="570728CC"/>
    <w:rsid w:val="57300021"/>
    <w:rsid w:val="573174F0"/>
    <w:rsid w:val="574134AB"/>
    <w:rsid w:val="57460AC2"/>
    <w:rsid w:val="574C257C"/>
    <w:rsid w:val="5750071B"/>
    <w:rsid w:val="57590BE8"/>
    <w:rsid w:val="576B42C3"/>
    <w:rsid w:val="577B732E"/>
    <w:rsid w:val="577D2735"/>
    <w:rsid w:val="578735B4"/>
    <w:rsid w:val="579139FB"/>
    <w:rsid w:val="57A857DE"/>
    <w:rsid w:val="57AA72A2"/>
    <w:rsid w:val="57B95737"/>
    <w:rsid w:val="57BD59B0"/>
    <w:rsid w:val="57CA524F"/>
    <w:rsid w:val="57D15867"/>
    <w:rsid w:val="57E36310"/>
    <w:rsid w:val="57F12C03"/>
    <w:rsid w:val="57F329F7"/>
    <w:rsid w:val="57F71D28"/>
    <w:rsid w:val="5805144F"/>
    <w:rsid w:val="58093FC9"/>
    <w:rsid w:val="580D7ADE"/>
    <w:rsid w:val="580E5A83"/>
    <w:rsid w:val="580F7602"/>
    <w:rsid w:val="581110D0"/>
    <w:rsid w:val="581A790F"/>
    <w:rsid w:val="5827444F"/>
    <w:rsid w:val="583D7FD7"/>
    <w:rsid w:val="584E2170"/>
    <w:rsid w:val="58562F86"/>
    <w:rsid w:val="585A4825"/>
    <w:rsid w:val="5866141B"/>
    <w:rsid w:val="586C27AA"/>
    <w:rsid w:val="58713B69"/>
    <w:rsid w:val="587C0C3F"/>
    <w:rsid w:val="587C5A4D"/>
    <w:rsid w:val="5885742C"/>
    <w:rsid w:val="588A4FB5"/>
    <w:rsid w:val="589866DF"/>
    <w:rsid w:val="589D3640"/>
    <w:rsid w:val="589F2B4F"/>
    <w:rsid w:val="58A40196"/>
    <w:rsid w:val="58B716A6"/>
    <w:rsid w:val="58B80CC3"/>
    <w:rsid w:val="58BC0970"/>
    <w:rsid w:val="58CB00BC"/>
    <w:rsid w:val="58CB413F"/>
    <w:rsid w:val="58CD4FF7"/>
    <w:rsid w:val="58E13F0F"/>
    <w:rsid w:val="58EB1921"/>
    <w:rsid w:val="58ED2F6E"/>
    <w:rsid w:val="58F24A5D"/>
    <w:rsid w:val="58FC1B07"/>
    <w:rsid w:val="5915074C"/>
    <w:rsid w:val="591730EE"/>
    <w:rsid w:val="591B677F"/>
    <w:rsid w:val="591F6523"/>
    <w:rsid w:val="59301A29"/>
    <w:rsid w:val="59374B66"/>
    <w:rsid w:val="59411F8B"/>
    <w:rsid w:val="59441031"/>
    <w:rsid w:val="59487E7A"/>
    <w:rsid w:val="595219A0"/>
    <w:rsid w:val="59590F80"/>
    <w:rsid w:val="595D7CFA"/>
    <w:rsid w:val="59631F10"/>
    <w:rsid w:val="5964405A"/>
    <w:rsid w:val="5964614D"/>
    <w:rsid w:val="5966544B"/>
    <w:rsid w:val="59723DF0"/>
    <w:rsid w:val="5979517E"/>
    <w:rsid w:val="59854AA5"/>
    <w:rsid w:val="59861649"/>
    <w:rsid w:val="59864BB0"/>
    <w:rsid w:val="598B0C1B"/>
    <w:rsid w:val="599A135B"/>
    <w:rsid w:val="599C2C1B"/>
    <w:rsid w:val="59A57D21"/>
    <w:rsid w:val="59AD46C0"/>
    <w:rsid w:val="59B63CDD"/>
    <w:rsid w:val="59BB52F3"/>
    <w:rsid w:val="59DE1485"/>
    <w:rsid w:val="59E27AEA"/>
    <w:rsid w:val="59F12F67"/>
    <w:rsid w:val="59F40CA9"/>
    <w:rsid w:val="59F64A21"/>
    <w:rsid w:val="59FD5DAF"/>
    <w:rsid w:val="5A0036A2"/>
    <w:rsid w:val="5A0E0CBD"/>
    <w:rsid w:val="5A1B6236"/>
    <w:rsid w:val="5A1C0FCD"/>
    <w:rsid w:val="5A3078A0"/>
    <w:rsid w:val="5A4A2677"/>
    <w:rsid w:val="5A4A3F47"/>
    <w:rsid w:val="5A4E568B"/>
    <w:rsid w:val="5A5120EF"/>
    <w:rsid w:val="5A512694"/>
    <w:rsid w:val="5A587827"/>
    <w:rsid w:val="5A625C12"/>
    <w:rsid w:val="5A637BB7"/>
    <w:rsid w:val="5A683964"/>
    <w:rsid w:val="5A6951F3"/>
    <w:rsid w:val="5A6B086C"/>
    <w:rsid w:val="5A6D6532"/>
    <w:rsid w:val="5A7A11AE"/>
    <w:rsid w:val="5A7F67C4"/>
    <w:rsid w:val="5A867B53"/>
    <w:rsid w:val="5A8B33BB"/>
    <w:rsid w:val="5A9164F8"/>
    <w:rsid w:val="5A980B76"/>
    <w:rsid w:val="5AAB5D04"/>
    <w:rsid w:val="5AAE0E58"/>
    <w:rsid w:val="5AB1171C"/>
    <w:rsid w:val="5AB539CD"/>
    <w:rsid w:val="5AD86008"/>
    <w:rsid w:val="5ADD1003"/>
    <w:rsid w:val="5AF727FF"/>
    <w:rsid w:val="5AFA4AD0"/>
    <w:rsid w:val="5AFF7905"/>
    <w:rsid w:val="5B086D05"/>
    <w:rsid w:val="5B1D6D31"/>
    <w:rsid w:val="5B2F1F99"/>
    <w:rsid w:val="5B32287B"/>
    <w:rsid w:val="5B35083A"/>
    <w:rsid w:val="5B4B66A7"/>
    <w:rsid w:val="5B4F645B"/>
    <w:rsid w:val="5B647768"/>
    <w:rsid w:val="5B695106"/>
    <w:rsid w:val="5B7219CF"/>
    <w:rsid w:val="5B7D7A78"/>
    <w:rsid w:val="5B855579"/>
    <w:rsid w:val="5B873EEC"/>
    <w:rsid w:val="5B962018"/>
    <w:rsid w:val="5BA31CE1"/>
    <w:rsid w:val="5BA364E3"/>
    <w:rsid w:val="5BAA161F"/>
    <w:rsid w:val="5BAF4E87"/>
    <w:rsid w:val="5BC60926"/>
    <w:rsid w:val="5BCE3938"/>
    <w:rsid w:val="5BD13050"/>
    <w:rsid w:val="5BD26DC8"/>
    <w:rsid w:val="5BD70E12"/>
    <w:rsid w:val="5BDB7A2A"/>
    <w:rsid w:val="5BE865EB"/>
    <w:rsid w:val="5BEC3B79"/>
    <w:rsid w:val="5BEE28A9"/>
    <w:rsid w:val="5C006268"/>
    <w:rsid w:val="5C017979"/>
    <w:rsid w:val="5C0276AD"/>
    <w:rsid w:val="5C0D239D"/>
    <w:rsid w:val="5C1318BA"/>
    <w:rsid w:val="5C2A6B4C"/>
    <w:rsid w:val="5C2C297C"/>
    <w:rsid w:val="5C403D31"/>
    <w:rsid w:val="5C4125C3"/>
    <w:rsid w:val="5C4E7358"/>
    <w:rsid w:val="5C716476"/>
    <w:rsid w:val="5C797243"/>
    <w:rsid w:val="5C7A527E"/>
    <w:rsid w:val="5C7F0CFE"/>
    <w:rsid w:val="5C8D3485"/>
    <w:rsid w:val="5C902F0B"/>
    <w:rsid w:val="5CA33E0D"/>
    <w:rsid w:val="5CA906D4"/>
    <w:rsid w:val="5CD54512"/>
    <w:rsid w:val="5CDA64FD"/>
    <w:rsid w:val="5CED3EB9"/>
    <w:rsid w:val="5CF80AB0"/>
    <w:rsid w:val="5CFA0C68"/>
    <w:rsid w:val="5D107877"/>
    <w:rsid w:val="5D1719A1"/>
    <w:rsid w:val="5D1E5DD7"/>
    <w:rsid w:val="5D2E002E"/>
    <w:rsid w:val="5D310A98"/>
    <w:rsid w:val="5D3C099D"/>
    <w:rsid w:val="5D3C274B"/>
    <w:rsid w:val="5D3D56AB"/>
    <w:rsid w:val="5D4A542D"/>
    <w:rsid w:val="5D4E6262"/>
    <w:rsid w:val="5D720862"/>
    <w:rsid w:val="5D75219D"/>
    <w:rsid w:val="5D8059E4"/>
    <w:rsid w:val="5D9C58DF"/>
    <w:rsid w:val="5D9E3405"/>
    <w:rsid w:val="5DA45134"/>
    <w:rsid w:val="5DAD641C"/>
    <w:rsid w:val="5DBB5D77"/>
    <w:rsid w:val="5DC22EC1"/>
    <w:rsid w:val="5DEF5A0F"/>
    <w:rsid w:val="5DF03535"/>
    <w:rsid w:val="5DF25472"/>
    <w:rsid w:val="5DFC31B0"/>
    <w:rsid w:val="5E0C65C1"/>
    <w:rsid w:val="5E1229F9"/>
    <w:rsid w:val="5E157EEA"/>
    <w:rsid w:val="5E296C3F"/>
    <w:rsid w:val="5E3B2A02"/>
    <w:rsid w:val="5E3C2F7C"/>
    <w:rsid w:val="5E413D91"/>
    <w:rsid w:val="5E4C10B3"/>
    <w:rsid w:val="5E547F00"/>
    <w:rsid w:val="5E5565CE"/>
    <w:rsid w:val="5E59292F"/>
    <w:rsid w:val="5E6D1C33"/>
    <w:rsid w:val="5E7E688E"/>
    <w:rsid w:val="5E8A1917"/>
    <w:rsid w:val="5E9F6493"/>
    <w:rsid w:val="5EAA5DDA"/>
    <w:rsid w:val="5EAE58CA"/>
    <w:rsid w:val="5EB15D09"/>
    <w:rsid w:val="5EBB3F6F"/>
    <w:rsid w:val="5EBE51C6"/>
    <w:rsid w:val="5EC4754F"/>
    <w:rsid w:val="5EC549C2"/>
    <w:rsid w:val="5EC944B2"/>
    <w:rsid w:val="5ECF58D1"/>
    <w:rsid w:val="5EE5676D"/>
    <w:rsid w:val="5EE70DDC"/>
    <w:rsid w:val="5F040C90"/>
    <w:rsid w:val="5F0C439F"/>
    <w:rsid w:val="5F0C7A2B"/>
    <w:rsid w:val="5F1514A5"/>
    <w:rsid w:val="5F1F61E7"/>
    <w:rsid w:val="5F28567D"/>
    <w:rsid w:val="5F2D4540"/>
    <w:rsid w:val="5F334021"/>
    <w:rsid w:val="5F3557FE"/>
    <w:rsid w:val="5F570D5B"/>
    <w:rsid w:val="5F5E475F"/>
    <w:rsid w:val="5F670913"/>
    <w:rsid w:val="5F723A40"/>
    <w:rsid w:val="5F840C85"/>
    <w:rsid w:val="5F9436C3"/>
    <w:rsid w:val="5F97010C"/>
    <w:rsid w:val="5FAD5B82"/>
    <w:rsid w:val="5FD61760"/>
    <w:rsid w:val="5FD96977"/>
    <w:rsid w:val="5FDC1FC3"/>
    <w:rsid w:val="5FDC6467"/>
    <w:rsid w:val="5FDF3958"/>
    <w:rsid w:val="5FE66A61"/>
    <w:rsid w:val="5FEA2274"/>
    <w:rsid w:val="5FF23595"/>
    <w:rsid w:val="5FF3766A"/>
    <w:rsid w:val="601222BF"/>
    <w:rsid w:val="60154E52"/>
    <w:rsid w:val="602045A6"/>
    <w:rsid w:val="60235E44"/>
    <w:rsid w:val="60327E35"/>
    <w:rsid w:val="6037544B"/>
    <w:rsid w:val="604326ED"/>
    <w:rsid w:val="60464640"/>
    <w:rsid w:val="604703EE"/>
    <w:rsid w:val="60494F5F"/>
    <w:rsid w:val="60502BD3"/>
    <w:rsid w:val="605040C4"/>
    <w:rsid w:val="605C4D38"/>
    <w:rsid w:val="606D2C19"/>
    <w:rsid w:val="60736DCB"/>
    <w:rsid w:val="60786190"/>
    <w:rsid w:val="60822B6A"/>
    <w:rsid w:val="60885CA7"/>
    <w:rsid w:val="609D7A68"/>
    <w:rsid w:val="60A056E7"/>
    <w:rsid w:val="60A11997"/>
    <w:rsid w:val="60A54AAB"/>
    <w:rsid w:val="60B44CEE"/>
    <w:rsid w:val="60C96BA0"/>
    <w:rsid w:val="60DF1D6B"/>
    <w:rsid w:val="60E02F3A"/>
    <w:rsid w:val="60E43825"/>
    <w:rsid w:val="60EB4BB4"/>
    <w:rsid w:val="60FA6BA5"/>
    <w:rsid w:val="610A676B"/>
    <w:rsid w:val="610C541D"/>
    <w:rsid w:val="61113A82"/>
    <w:rsid w:val="61274362"/>
    <w:rsid w:val="61692624"/>
    <w:rsid w:val="616B1543"/>
    <w:rsid w:val="616F3332"/>
    <w:rsid w:val="6178492E"/>
    <w:rsid w:val="61897F29"/>
    <w:rsid w:val="618A1406"/>
    <w:rsid w:val="619B20B1"/>
    <w:rsid w:val="619D6F43"/>
    <w:rsid w:val="61A116F3"/>
    <w:rsid w:val="61A62889"/>
    <w:rsid w:val="61AF5C4D"/>
    <w:rsid w:val="61B2122D"/>
    <w:rsid w:val="61B34FA6"/>
    <w:rsid w:val="61BF394A"/>
    <w:rsid w:val="61D07906"/>
    <w:rsid w:val="61D17125"/>
    <w:rsid w:val="61D513C0"/>
    <w:rsid w:val="61E6331F"/>
    <w:rsid w:val="61EA4E6B"/>
    <w:rsid w:val="61EC7B0E"/>
    <w:rsid w:val="61ED6147"/>
    <w:rsid w:val="61ED6709"/>
    <w:rsid w:val="61F8409E"/>
    <w:rsid w:val="621C378D"/>
    <w:rsid w:val="623460E6"/>
    <w:rsid w:val="62353789"/>
    <w:rsid w:val="62373E29"/>
    <w:rsid w:val="62402CDD"/>
    <w:rsid w:val="62561B69"/>
    <w:rsid w:val="62684EA3"/>
    <w:rsid w:val="62771420"/>
    <w:rsid w:val="62914506"/>
    <w:rsid w:val="629D1EDE"/>
    <w:rsid w:val="62AC0373"/>
    <w:rsid w:val="62B861C5"/>
    <w:rsid w:val="62BB05B6"/>
    <w:rsid w:val="62BF00A6"/>
    <w:rsid w:val="62C21522"/>
    <w:rsid w:val="62CC4571"/>
    <w:rsid w:val="62D6719E"/>
    <w:rsid w:val="62D93262"/>
    <w:rsid w:val="62F12229"/>
    <w:rsid w:val="63181564"/>
    <w:rsid w:val="632048BD"/>
    <w:rsid w:val="632172F9"/>
    <w:rsid w:val="632579E3"/>
    <w:rsid w:val="63402869"/>
    <w:rsid w:val="63500C1D"/>
    <w:rsid w:val="63534C92"/>
    <w:rsid w:val="63551ADB"/>
    <w:rsid w:val="63584057"/>
    <w:rsid w:val="63607FE0"/>
    <w:rsid w:val="6370095A"/>
    <w:rsid w:val="637037E1"/>
    <w:rsid w:val="638135AD"/>
    <w:rsid w:val="63905890"/>
    <w:rsid w:val="63932A29"/>
    <w:rsid w:val="639332E1"/>
    <w:rsid w:val="63B4311D"/>
    <w:rsid w:val="63BA086D"/>
    <w:rsid w:val="63C61284"/>
    <w:rsid w:val="63C74D38"/>
    <w:rsid w:val="63D12F84"/>
    <w:rsid w:val="63D30291"/>
    <w:rsid w:val="63E853DA"/>
    <w:rsid w:val="63ED5980"/>
    <w:rsid w:val="63F20007"/>
    <w:rsid w:val="63FF3052"/>
    <w:rsid w:val="64030466"/>
    <w:rsid w:val="6408782B"/>
    <w:rsid w:val="64234664"/>
    <w:rsid w:val="6424218B"/>
    <w:rsid w:val="643270B1"/>
    <w:rsid w:val="64354398"/>
    <w:rsid w:val="64382B1B"/>
    <w:rsid w:val="64440AE6"/>
    <w:rsid w:val="644D7933"/>
    <w:rsid w:val="645E38EF"/>
    <w:rsid w:val="64611741"/>
    <w:rsid w:val="64686F03"/>
    <w:rsid w:val="646C261C"/>
    <w:rsid w:val="64725A78"/>
    <w:rsid w:val="64754A6B"/>
    <w:rsid w:val="647749B0"/>
    <w:rsid w:val="647E6110"/>
    <w:rsid w:val="647E7AED"/>
    <w:rsid w:val="648D1ADE"/>
    <w:rsid w:val="64931F72"/>
    <w:rsid w:val="64970BAF"/>
    <w:rsid w:val="649B36F5"/>
    <w:rsid w:val="649E2313"/>
    <w:rsid w:val="649E7EAA"/>
    <w:rsid w:val="64A502A1"/>
    <w:rsid w:val="64AE5392"/>
    <w:rsid w:val="64E16127"/>
    <w:rsid w:val="64ED74B7"/>
    <w:rsid w:val="64F16511"/>
    <w:rsid w:val="64F733FB"/>
    <w:rsid w:val="64F80DF8"/>
    <w:rsid w:val="65046244"/>
    <w:rsid w:val="65142FE7"/>
    <w:rsid w:val="651E60E4"/>
    <w:rsid w:val="65284422"/>
    <w:rsid w:val="65317DAE"/>
    <w:rsid w:val="65515CC9"/>
    <w:rsid w:val="657A4758"/>
    <w:rsid w:val="657B13F8"/>
    <w:rsid w:val="657D5FF6"/>
    <w:rsid w:val="658C2985"/>
    <w:rsid w:val="65982F48"/>
    <w:rsid w:val="65AA17C6"/>
    <w:rsid w:val="65B13298"/>
    <w:rsid w:val="65D025CA"/>
    <w:rsid w:val="65E16585"/>
    <w:rsid w:val="65E51DA2"/>
    <w:rsid w:val="660109D5"/>
    <w:rsid w:val="6614409F"/>
    <w:rsid w:val="66195D61"/>
    <w:rsid w:val="66240220"/>
    <w:rsid w:val="66495ED8"/>
    <w:rsid w:val="664E1755"/>
    <w:rsid w:val="6656395E"/>
    <w:rsid w:val="665723A3"/>
    <w:rsid w:val="665D29C6"/>
    <w:rsid w:val="665E1984"/>
    <w:rsid w:val="665E7BD6"/>
    <w:rsid w:val="66602D19"/>
    <w:rsid w:val="666351EC"/>
    <w:rsid w:val="66996E60"/>
    <w:rsid w:val="669E75A1"/>
    <w:rsid w:val="66A650D9"/>
    <w:rsid w:val="66AB0941"/>
    <w:rsid w:val="66C13CC1"/>
    <w:rsid w:val="66CD60E6"/>
    <w:rsid w:val="66D0354F"/>
    <w:rsid w:val="66D71736"/>
    <w:rsid w:val="66E837A4"/>
    <w:rsid w:val="66F061D0"/>
    <w:rsid w:val="66FD1785"/>
    <w:rsid w:val="670A47D1"/>
    <w:rsid w:val="670F7122"/>
    <w:rsid w:val="671115A8"/>
    <w:rsid w:val="671B1623"/>
    <w:rsid w:val="6722780D"/>
    <w:rsid w:val="67343256"/>
    <w:rsid w:val="67392596"/>
    <w:rsid w:val="674E1E9C"/>
    <w:rsid w:val="675A65EF"/>
    <w:rsid w:val="678634AD"/>
    <w:rsid w:val="67A91325"/>
    <w:rsid w:val="67AC77AC"/>
    <w:rsid w:val="67BD26DA"/>
    <w:rsid w:val="67CD29F0"/>
    <w:rsid w:val="67D059A1"/>
    <w:rsid w:val="67DA2D65"/>
    <w:rsid w:val="67E4235D"/>
    <w:rsid w:val="67EA2B46"/>
    <w:rsid w:val="67EB7A4A"/>
    <w:rsid w:val="67ED0D1B"/>
    <w:rsid w:val="67F00500"/>
    <w:rsid w:val="6814242A"/>
    <w:rsid w:val="681468EA"/>
    <w:rsid w:val="681F6FB7"/>
    <w:rsid w:val="6828189F"/>
    <w:rsid w:val="683647B6"/>
    <w:rsid w:val="683E24E1"/>
    <w:rsid w:val="6841155D"/>
    <w:rsid w:val="68420E31"/>
    <w:rsid w:val="684853FD"/>
    <w:rsid w:val="685017A0"/>
    <w:rsid w:val="6851379C"/>
    <w:rsid w:val="685179D9"/>
    <w:rsid w:val="685F19E3"/>
    <w:rsid w:val="68623D98"/>
    <w:rsid w:val="68633281"/>
    <w:rsid w:val="686D0445"/>
    <w:rsid w:val="687133B2"/>
    <w:rsid w:val="68735700"/>
    <w:rsid w:val="687E1914"/>
    <w:rsid w:val="68880F3A"/>
    <w:rsid w:val="68881F03"/>
    <w:rsid w:val="689659F3"/>
    <w:rsid w:val="6899368B"/>
    <w:rsid w:val="689C2B76"/>
    <w:rsid w:val="68A95B3C"/>
    <w:rsid w:val="68B43ADD"/>
    <w:rsid w:val="68B5103C"/>
    <w:rsid w:val="68C53B25"/>
    <w:rsid w:val="68CA76C4"/>
    <w:rsid w:val="68E5022E"/>
    <w:rsid w:val="68E87C2B"/>
    <w:rsid w:val="68EB7EDD"/>
    <w:rsid w:val="68F24605"/>
    <w:rsid w:val="68F42A0B"/>
    <w:rsid w:val="69026F3E"/>
    <w:rsid w:val="69075320"/>
    <w:rsid w:val="69126A56"/>
    <w:rsid w:val="691E394C"/>
    <w:rsid w:val="6926102B"/>
    <w:rsid w:val="6943622F"/>
    <w:rsid w:val="69562DE6"/>
    <w:rsid w:val="69736062"/>
    <w:rsid w:val="69752FE8"/>
    <w:rsid w:val="69851F0A"/>
    <w:rsid w:val="69866821"/>
    <w:rsid w:val="698D4023"/>
    <w:rsid w:val="698E64A5"/>
    <w:rsid w:val="69A055CC"/>
    <w:rsid w:val="69A94547"/>
    <w:rsid w:val="69CE0BCF"/>
    <w:rsid w:val="69D1364A"/>
    <w:rsid w:val="69D15C9F"/>
    <w:rsid w:val="69DF102E"/>
    <w:rsid w:val="69E155D3"/>
    <w:rsid w:val="69E76134"/>
    <w:rsid w:val="69F745C9"/>
    <w:rsid w:val="6A0011E8"/>
    <w:rsid w:val="6A1D56B2"/>
    <w:rsid w:val="6A237695"/>
    <w:rsid w:val="6A260A0B"/>
    <w:rsid w:val="6A4D5331"/>
    <w:rsid w:val="6A4F317F"/>
    <w:rsid w:val="6A5360EA"/>
    <w:rsid w:val="6A537326"/>
    <w:rsid w:val="6A5852B1"/>
    <w:rsid w:val="6A6263A4"/>
    <w:rsid w:val="6A675382"/>
    <w:rsid w:val="6A837C0B"/>
    <w:rsid w:val="6A87022A"/>
    <w:rsid w:val="6A965F2D"/>
    <w:rsid w:val="6AA656A7"/>
    <w:rsid w:val="6AA95198"/>
    <w:rsid w:val="6AC7676D"/>
    <w:rsid w:val="6AD42215"/>
    <w:rsid w:val="6AD62431"/>
    <w:rsid w:val="6AD626C4"/>
    <w:rsid w:val="6AE64DEC"/>
    <w:rsid w:val="6AEA1029"/>
    <w:rsid w:val="6AEF2D49"/>
    <w:rsid w:val="6B217424"/>
    <w:rsid w:val="6B2D7B77"/>
    <w:rsid w:val="6B3727A3"/>
    <w:rsid w:val="6B3B2294"/>
    <w:rsid w:val="6B596BBE"/>
    <w:rsid w:val="6B685327"/>
    <w:rsid w:val="6B6B68A2"/>
    <w:rsid w:val="6B7305EA"/>
    <w:rsid w:val="6B8974A3"/>
    <w:rsid w:val="6B8E4AB9"/>
    <w:rsid w:val="6B930322"/>
    <w:rsid w:val="6B961BC0"/>
    <w:rsid w:val="6B9A16B0"/>
    <w:rsid w:val="6B9C343A"/>
    <w:rsid w:val="6B9D3F64"/>
    <w:rsid w:val="6B9E2823"/>
    <w:rsid w:val="6BA53BB1"/>
    <w:rsid w:val="6BA8358E"/>
    <w:rsid w:val="6BBE4C73"/>
    <w:rsid w:val="6BD3071E"/>
    <w:rsid w:val="6BDD7130"/>
    <w:rsid w:val="6C022DB1"/>
    <w:rsid w:val="6C140B23"/>
    <w:rsid w:val="6C1B69EE"/>
    <w:rsid w:val="6C220EA7"/>
    <w:rsid w:val="6C223915"/>
    <w:rsid w:val="6C275656"/>
    <w:rsid w:val="6C2A6D62"/>
    <w:rsid w:val="6C3A079D"/>
    <w:rsid w:val="6C46634B"/>
    <w:rsid w:val="6C564303"/>
    <w:rsid w:val="6C564C6F"/>
    <w:rsid w:val="6C577324"/>
    <w:rsid w:val="6C6B0957"/>
    <w:rsid w:val="6C6F32ED"/>
    <w:rsid w:val="6C721056"/>
    <w:rsid w:val="6CA200F0"/>
    <w:rsid w:val="6CA64085"/>
    <w:rsid w:val="6CAB51F7"/>
    <w:rsid w:val="6CB24EA6"/>
    <w:rsid w:val="6CC22541"/>
    <w:rsid w:val="6CC30793"/>
    <w:rsid w:val="6CD01102"/>
    <w:rsid w:val="6CD234F2"/>
    <w:rsid w:val="6CD644A8"/>
    <w:rsid w:val="6D0509B6"/>
    <w:rsid w:val="6D090170"/>
    <w:rsid w:val="6D143F5C"/>
    <w:rsid w:val="6D2154B9"/>
    <w:rsid w:val="6D241DD6"/>
    <w:rsid w:val="6D257522"/>
    <w:rsid w:val="6D282178"/>
    <w:rsid w:val="6D2B5B88"/>
    <w:rsid w:val="6D317DF2"/>
    <w:rsid w:val="6D3262FA"/>
    <w:rsid w:val="6D3909BE"/>
    <w:rsid w:val="6D3E7A54"/>
    <w:rsid w:val="6D464F20"/>
    <w:rsid w:val="6D4D4500"/>
    <w:rsid w:val="6D5B09CB"/>
    <w:rsid w:val="6D671953"/>
    <w:rsid w:val="6D6C0E2A"/>
    <w:rsid w:val="6D725D15"/>
    <w:rsid w:val="6D8E5ACF"/>
    <w:rsid w:val="6D943EDD"/>
    <w:rsid w:val="6D9914F3"/>
    <w:rsid w:val="6D9A2F35"/>
    <w:rsid w:val="6D9B34BE"/>
    <w:rsid w:val="6DAB3318"/>
    <w:rsid w:val="6DD27BB0"/>
    <w:rsid w:val="6DD32C57"/>
    <w:rsid w:val="6DD639F5"/>
    <w:rsid w:val="6DDB5FB0"/>
    <w:rsid w:val="6DE62EF0"/>
    <w:rsid w:val="6DF64B98"/>
    <w:rsid w:val="6DF650E0"/>
    <w:rsid w:val="6E00154D"/>
    <w:rsid w:val="6E027099"/>
    <w:rsid w:val="6E071E9B"/>
    <w:rsid w:val="6E187783"/>
    <w:rsid w:val="6E301E58"/>
    <w:rsid w:val="6E3557E7"/>
    <w:rsid w:val="6E3A2CD6"/>
    <w:rsid w:val="6E5F3C3B"/>
    <w:rsid w:val="6E6247BC"/>
    <w:rsid w:val="6E66587A"/>
    <w:rsid w:val="6E7066F8"/>
    <w:rsid w:val="6E753C61"/>
    <w:rsid w:val="6E7B3411"/>
    <w:rsid w:val="6E7E1CF0"/>
    <w:rsid w:val="6EA77C40"/>
    <w:rsid w:val="6EA90A4C"/>
    <w:rsid w:val="6EAB7730"/>
    <w:rsid w:val="6EB16F74"/>
    <w:rsid w:val="6EB365E5"/>
    <w:rsid w:val="6EC06EAB"/>
    <w:rsid w:val="6EDC3D8E"/>
    <w:rsid w:val="6EE43636"/>
    <w:rsid w:val="6EE80984"/>
    <w:rsid w:val="6EE90259"/>
    <w:rsid w:val="6EF03395"/>
    <w:rsid w:val="6EF32E85"/>
    <w:rsid w:val="6EFC7919"/>
    <w:rsid w:val="6EFF1BEC"/>
    <w:rsid w:val="6EFF2525"/>
    <w:rsid w:val="6F0C33FE"/>
    <w:rsid w:val="6F0D0399"/>
    <w:rsid w:val="6F152DFC"/>
    <w:rsid w:val="6F1C23DC"/>
    <w:rsid w:val="6F215C44"/>
    <w:rsid w:val="6F2C4755"/>
    <w:rsid w:val="6F3F0F5A"/>
    <w:rsid w:val="6F554D68"/>
    <w:rsid w:val="6F55769C"/>
    <w:rsid w:val="6F6642CA"/>
    <w:rsid w:val="6F681715"/>
    <w:rsid w:val="6F6D0E8A"/>
    <w:rsid w:val="6F822C2F"/>
    <w:rsid w:val="6F892E0D"/>
    <w:rsid w:val="6F8A2BD3"/>
    <w:rsid w:val="6F906926"/>
    <w:rsid w:val="6F98148E"/>
    <w:rsid w:val="6FA523D2"/>
    <w:rsid w:val="6FA712A1"/>
    <w:rsid w:val="6FB402B8"/>
    <w:rsid w:val="6FB65771"/>
    <w:rsid w:val="6FBC6395"/>
    <w:rsid w:val="6FC2026B"/>
    <w:rsid w:val="6FC368ED"/>
    <w:rsid w:val="6FD27916"/>
    <w:rsid w:val="6FE253D4"/>
    <w:rsid w:val="6FE56CBE"/>
    <w:rsid w:val="6FFC43C3"/>
    <w:rsid w:val="70176ED7"/>
    <w:rsid w:val="7019691C"/>
    <w:rsid w:val="702A26D0"/>
    <w:rsid w:val="702A6D7B"/>
    <w:rsid w:val="702D7DFB"/>
    <w:rsid w:val="70311EB7"/>
    <w:rsid w:val="70487BEE"/>
    <w:rsid w:val="70533B33"/>
    <w:rsid w:val="7059768F"/>
    <w:rsid w:val="705E16A5"/>
    <w:rsid w:val="706A7EB6"/>
    <w:rsid w:val="70897CC1"/>
    <w:rsid w:val="708A1C75"/>
    <w:rsid w:val="709366CE"/>
    <w:rsid w:val="70A62203"/>
    <w:rsid w:val="70B07686"/>
    <w:rsid w:val="70C469D8"/>
    <w:rsid w:val="70E03949"/>
    <w:rsid w:val="711772FF"/>
    <w:rsid w:val="711A67B6"/>
    <w:rsid w:val="713954C7"/>
    <w:rsid w:val="713F1985"/>
    <w:rsid w:val="71436346"/>
    <w:rsid w:val="71520337"/>
    <w:rsid w:val="716B46E4"/>
    <w:rsid w:val="71730BD4"/>
    <w:rsid w:val="71737F1D"/>
    <w:rsid w:val="717E41ED"/>
    <w:rsid w:val="717F0D55"/>
    <w:rsid w:val="71864485"/>
    <w:rsid w:val="71874638"/>
    <w:rsid w:val="718A7AD1"/>
    <w:rsid w:val="718D136F"/>
    <w:rsid w:val="71973F9C"/>
    <w:rsid w:val="719E28ED"/>
    <w:rsid w:val="71A4675D"/>
    <w:rsid w:val="71A46CAE"/>
    <w:rsid w:val="71AD37BF"/>
    <w:rsid w:val="71AF12E6"/>
    <w:rsid w:val="71B570C1"/>
    <w:rsid w:val="71C456D6"/>
    <w:rsid w:val="71D46F9E"/>
    <w:rsid w:val="71DD1609"/>
    <w:rsid w:val="71DE1E02"/>
    <w:rsid w:val="71EE1976"/>
    <w:rsid w:val="71F7340A"/>
    <w:rsid w:val="71F90B58"/>
    <w:rsid w:val="71FE109B"/>
    <w:rsid w:val="722A5618"/>
    <w:rsid w:val="722C4D18"/>
    <w:rsid w:val="724014F9"/>
    <w:rsid w:val="72712A3F"/>
    <w:rsid w:val="727D63C7"/>
    <w:rsid w:val="7292268C"/>
    <w:rsid w:val="729779A4"/>
    <w:rsid w:val="72D059B7"/>
    <w:rsid w:val="72D24194"/>
    <w:rsid w:val="72EC6569"/>
    <w:rsid w:val="72F77324"/>
    <w:rsid w:val="72FE772F"/>
    <w:rsid w:val="73025EB3"/>
    <w:rsid w:val="73045661"/>
    <w:rsid w:val="730C7301"/>
    <w:rsid w:val="731C29AB"/>
    <w:rsid w:val="733D6108"/>
    <w:rsid w:val="734F0FD2"/>
    <w:rsid w:val="73530396"/>
    <w:rsid w:val="735D1A25"/>
    <w:rsid w:val="73611C73"/>
    <w:rsid w:val="736A30C9"/>
    <w:rsid w:val="736B56E0"/>
    <w:rsid w:val="73766F72"/>
    <w:rsid w:val="737925AB"/>
    <w:rsid w:val="73863E1C"/>
    <w:rsid w:val="73880040"/>
    <w:rsid w:val="738B18DE"/>
    <w:rsid w:val="73A91E19"/>
    <w:rsid w:val="73B52DFF"/>
    <w:rsid w:val="73C44508"/>
    <w:rsid w:val="73C51294"/>
    <w:rsid w:val="73C65986"/>
    <w:rsid w:val="73CD1EF7"/>
    <w:rsid w:val="73CD639B"/>
    <w:rsid w:val="73D03AEF"/>
    <w:rsid w:val="73D44847"/>
    <w:rsid w:val="73D83EF4"/>
    <w:rsid w:val="73E275E4"/>
    <w:rsid w:val="73EB6821"/>
    <w:rsid w:val="73ED2599"/>
    <w:rsid w:val="73F46404"/>
    <w:rsid w:val="73FA09CF"/>
    <w:rsid w:val="73FF07E0"/>
    <w:rsid w:val="74085625"/>
    <w:rsid w:val="74145D78"/>
    <w:rsid w:val="74486D25"/>
    <w:rsid w:val="744F3824"/>
    <w:rsid w:val="74533E38"/>
    <w:rsid w:val="74634609"/>
    <w:rsid w:val="746A0C2F"/>
    <w:rsid w:val="746E2994"/>
    <w:rsid w:val="74785E04"/>
    <w:rsid w:val="747E7D0D"/>
    <w:rsid w:val="74AA2DF3"/>
    <w:rsid w:val="74AF129E"/>
    <w:rsid w:val="74B74535"/>
    <w:rsid w:val="74B86703"/>
    <w:rsid w:val="74CB0B2C"/>
    <w:rsid w:val="74CE33F2"/>
    <w:rsid w:val="74D77DCC"/>
    <w:rsid w:val="74DD260E"/>
    <w:rsid w:val="750556C0"/>
    <w:rsid w:val="750E223B"/>
    <w:rsid w:val="752864FE"/>
    <w:rsid w:val="753A2EE2"/>
    <w:rsid w:val="75436915"/>
    <w:rsid w:val="754D1541"/>
    <w:rsid w:val="756845CD"/>
    <w:rsid w:val="75734D20"/>
    <w:rsid w:val="75A94969"/>
    <w:rsid w:val="75AF7011"/>
    <w:rsid w:val="75BC0475"/>
    <w:rsid w:val="75C3593A"/>
    <w:rsid w:val="75CB4B5C"/>
    <w:rsid w:val="75D25EEA"/>
    <w:rsid w:val="75E92E7A"/>
    <w:rsid w:val="75FC3EC3"/>
    <w:rsid w:val="75FC4D15"/>
    <w:rsid w:val="75FC5EF3"/>
    <w:rsid w:val="76065B94"/>
    <w:rsid w:val="760C05B4"/>
    <w:rsid w:val="760C0EA2"/>
    <w:rsid w:val="7612456C"/>
    <w:rsid w:val="7625601A"/>
    <w:rsid w:val="76333374"/>
    <w:rsid w:val="763641D6"/>
    <w:rsid w:val="763927E3"/>
    <w:rsid w:val="76452796"/>
    <w:rsid w:val="764E3F45"/>
    <w:rsid w:val="765608C9"/>
    <w:rsid w:val="766F54E7"/>
    <w:rsid w:val="767F53BF"/>
    <w:rsid w:val="768014A2"/>
    <w:rsid w:val="768C3871"/>
    <w:rsid w:val="76B92C06"/>
    <w:rsid w:val="76C07AF1"/>
    <w:rsid w:val="76C75323"/>
    <w:rsid w:val="76C9709A"/>
    <w:rsid w:val="76D4359C"/>
    <w:rsid w:val="76D4690E"/>
    <w:rsid w:val="76E45ED5"/>
    <w:rsid w:val="76E62BBB"/>
    <w:rsid w:val="76EE465E"/>
    <w:rsid w:val="76F53C3E"/>
    <w:rsid w:val="770D7644"/>
    <w:rsid w:val="771542E1"/>
    <w:rsid w:val="772067E2"/>
    <w:rsid w:val="772F468F"/>
    <w:rsid w:val="77316977"/>
    <w:rsid w:val="7739215E"/>
    <w:rsid w:val="775E0159"/>
    <w:rsid w:val="7769462C"/>
    <w:rsid w:val="7771703D"/>
    <w:rsid w:val="77774CBA"/>
    <w:rsid w:val="777A2396"/>
    <w:rsid w:val="779427E0"/>
    <w:rsid w:val="779949D3"/>
    <w:rsid w:val="779A2A38"/>
    <w:rsid w:val="779F7C3E"/>
    <w:rsid w:val="77C62469"/>
    <w:rsid w:val="77C71549"/>
    <w:rsid w:val="77C75A65"/>
    <w:rsid w:val="77D2670D"/>
    <w:rsid w:val="77F9775E"/>
    <w:rsid w:val="77FE6B23"/>
    <w:rsid w:val="780572C4"/>
    <w:rsid w:val="780879A1"/>
    <w:rsid w:val="780D320A"/>
    <w:rsid w:val="780E2ADE"/>
    <w:rsid w:val="78104469"/>
    <w:rsid w:val="781A5362"/>
    <w:rsid w:val="78234999"/>
    <w:rsid w:val="78252696"/>
    <w:rsid w:val="782F3408"/>
    <w:rsid w:val="783312E2"/>
    <w:rsid w:val="78355AAD"/>
    <w:rsid w:val="783764D9"/>
    <w:rsid w:val="784234EA"/>
    <w:rsid w:val="78454752"/>
    <w:rsid w:val="784B37F1"/>
    <w:rsid w:val="78725B8D"/>
    <w:rsid w:val="78914727"/>
    <w:rsid w:val="789563EC"/>
    <w:rsid w:val="789D27E0"/>
    <w:rsid w:val="78A16670"/>
    <w:rsid w:val="78A43CB2"/>
    <w:rsid w:val="78A87585"/>
    <w:rsid w:val="78C42189"/>
    <w:rsid w:val="78CC4E73"/>
    <w:rsid w:val="78D02479"/>
    <w:rsid w:val="78D269EF"/>
    <w:rsid w:val="78D37FAF"/>
    <w:rsid w:val="78E35D19"/>
    <w:rsid w:val="78F11590"/>
    <w:rsid w:val="79050778"/>
    <w:rsid w:val="7909736A"/>
    <w:rsid w:val="79206F6D"/>
    <w:rsid w:val="792C3B64"/>
    <w:rsid w:val="793147BD"/>
    <w:rsid w:val="79393B8B"/>
    <w:rsid w:val="7940553B"/>
    <w:rsid w:val="79466B93"/>
    <w:rsid w:val="79532039"/>
    <w:rsid w:val="795F4876"/>
    <w:rsid w:val="795F56E0"/>
    <w:rsid w:val="795F7A95"/>
    <w:rsid w:val="79602813"/>
    <w:rsid w:val="796B01E8"/>
    <w:rsid w:val="796E22B7"/>
    <w:rsid w:val="79782905"/>
    <w:rsid w:val="797C23F5"/>
    <w:rsid w:val="79803F81"/>
    <w:rsid w:val="79876FEC"/>
    <w:rsid w:val="798C63B0"/>
    <w:rsid w:val="798D4602"/>
    <w:rsid w:val="7997722F"/>
    <w:rsid w:val="79B80F53"/>
    <w:rsid w:val="79B853F7"/>
    <w:rsid w:val="79C63670"/>
    <w:rsid w:val="79CD7476"/>
    <w:rsid w:val="79E26A94"/>
    <w:rsid w:val="79F977FF"/>
    <w:rsid w:val="79FC3536"/>
    <w:rsid w:val="7A0768E8"/>
    <w:rsid w:val="7A0E4320"/>
    <w:rsid w:val="7A18511C"/>
    <w:rsid w:val="7A232871"/>
    <w:rsid w:val="7A24319A"/>
    <w:rsid w:val="7A2812C3"/>
    <w:rsid w:val="7A2D36EF"/>
    <w:rsid w:val="7A5A0EF8"/>
    <w:rsid w:val="7A5C2227"/>
    <w:rsid w:val="7A63736A"/>
    <w:rsid w:val="7A6942F4"/>
    <w:rsid w:val="7A7424EF"/>
    <w:rsid w:val="7A861051"/>
    <w:rsid w:val="7A8632D5"/>
    <w:rsid w:val="7A8C1740"/>
    <w:rsid w:val="7A9D6AC7"/>
    <w:rsid w:val="7AA65250"/>
    <w:rsid w:val="7AB23BF5"/>
    <w:rsid w:val="7AB34B31"/>
    <w:rsid w:val="7AC22F07"/>
    <w:rsid w:val="7AC53928"/>
    <w:rsid w:val="7AE56F93"/>
    <w:rsid w:val="7B046B46"/>
    <w:rsid w:val="7B066526"/>
    <w:rsid w:val="7B155FAB"/>
    <w:rsid w:val="7B1D667F"/>
    <w:rsid w:val="7B25086A"/>
    <w:rsid w:val="7B340AAD"/>
    <w:rsid w:val="7B446F42"/>
    <w:rsid w:val="7B597D37"/>
    <w:rsid w:val="7B732ED7"/>
    <w:rsid w:val="7B7A6E08"/>
    <w:rsid w:val="7B803CF3"/>
    <w:rsid w:val="7B825CBD"/>
    <w:rsid w:val="7B8E2DCE"/>
    <w:rsid w:val="7BA14395"/>
    <w:rsid w:val="7BA43E85"/>
    <w:rsid w:val="7BAB29F3"/>
    <w:rsid w:val="7BB12FE8"/>
    <w:rsid w:val="7BB65734"/>
    <w:rsid w:val="7BB8348D"/>
    <w:rsid w:val="7BBA0FB3"/>
    <w:rsid w:val="7BBF2A6D"/>
    <w:rsid w:val="7BCB0497"/>
    <w:rsid w:val="7BD55900"/>
    <w:rsid w:val="7BFF0C4A"/>
    <w:rsid w:val="7C0B180E"/>
    <w:rsid w:val="7C100FCE"/>
    <w:rsid w:val="7C1071C9"/>
    <w:rsid w:val="7C117739"/>
    <w:rsid w:val="7C3E1448"/>
    <w:rsid w:val="7C513558"/>
    <w:rsid w:val="7C594C70"/>
    <w:rsid w:val="7C5C02BC"/>
    <w:rsid w:val="7C6929D9"/>
    <w:rsid w:val="7C776EA4"/>
    <w:rsid w:val="7C9048DB"/>
    <w:rsid w:val="7C931685"/>
    <w:rsid w:val="7CA4379F"/>
    <w:rsid w:val="7CAF07F4"/>
    <w:rsid w:val="7CB00608"/>
    <w:rsid w:val="7CB63E0B"/>
    <w:rsid w:val="7CC01B60"/>
    <w:rsid w:val="7CC76B02"/>
    <w:rsid w:val="7CD03FEA"/>
    <w:rsid w:val="7CD05D87"/>
    <w:rsid w:val="7CEC5AE4"/>
    <w:rsid w:val="7D0A6036"/>
    <w:rsid w:val="7D0C0D95"/>
    <w:rsid w:val="7D1458F5"/>
    <w:rsid w:val="7D157FA5"/>
    <w:rsid w:val="7D21425A"/>
    <w:rsid w:val="7D423956"/>
    <w:rsid w:val="7D4E22FA"/>
    <w:rsid w:val="7D5B3A68"/>
    <w:rsid w:val="7D657352"/>
    <w:rsid w:val="7D847ACA"/>
    <w:rsid w:val="7D861F78"/>
    <w:rsid w:val="7D880D62"/>
    <w:rsid w:val="7D93095F"/>
    <w:rsid w:val="7DA174E8"/>
    <w:rsid w:val="7DAF3D55"/>
    <w:rsid w:val="7DC245E2"/>
    <w:rsid w:val="7DCB482D"/>
    <w:rsid w:val="7DCD7765"/>
    <w:rsid w:val="7DD06CDE"/>
    <w:rsid w:val="7DD56596"/>
    <w:rsid w:val="7DDF1329"/>
    <w:rsid w:val="7DE164CA"/>
    <w:rsid w:val="7DE5508D"/>
    <w:rsid w:val="7DF53C79"/>
    <w:rsid w:val="7E03278A"/>
    <w:rsid w:val="7E05340D"/>
    <w:rsid w:val="7E176B90"/>
    <w:rsid w:val="7E1D1BAF"/>
    <w:rsid w:val="7E1F3C97"/>
    <w:rsid w:val="7E21356B"/>
    <w:rsid w:val="7E3E09CD"/>
    <w:rsid w:val="7E462FD2"/>
    <w:rsid w:val="7E4B4A8C"/>
    <w:rsid w:val="7E576F8D"/>
    <w:rsid w:val="7E5D7D7C"/>
    <w:rsid w:val="7E624959"/>
    <w:rsid w:val="7E751B09"/>
    <w:rsid w:val="7E955D07"/>
    <w:rsid w:val="7E9E2E0E"/>
    <w:rsid w:val="7EA146AC"/>
    <w:rsid w:val="7EA44FC4"/>
    <w:rsid w:val="7EB33878"/>
    <w:rsid w:val="7EB83207"/>
    <w:rsid w:val="7EB838C2"/>
    <w:rsid w:val="7EC95AAD"/>
    <w:rsid w:val="7EE9381E"/>
    <w:rsid w:val="7EEE0179"/>
    <w:rsid w:val="7EF40C80"/>
    <w:rsid w:val="7EF46C0E"/>
    <w:rsid w:val="7F01532D"/>
    <w:rsid w:val="7F1135E0"/>
    <w:rsid w:val="7F1E7AAB"/>
    <w:rsid w:val="7F2A46A1"/>
    <w:rsid w:val="7F2A799E"/>
    <w:rsid w:val="7F315478"/>
    <w:rsid w:val="7F3B13C0"/>
    <w:rsid w:val="7F3B61F4"/>
    <w:rsid w:val="7F47533B"/>
    <w:rsid w:val="7F477001"/>
    <w:rsid w:val="7F48189C"/>
    <w:rsid w:val="7F4C15A8"/>
    <w:rsid w:val="7F4E65E2"/>
    <w:rsid w:val="7F686F78"/>
    <w:rsid w:val="7F790FDC"/>
    <w:rsid w:val="7F923FF5"/>
    <w:rsid w:val="7F9A1143"/>
    <w:rsid w:val="7FB15C1C"/>
    <w:rsid w:val="7FB36445"/>
    <w:rsid w:val="7FB503BF"/>
    <w:rsid w:val="7FB93972"/>
    <w:rsid w:val="7FB96A9B"/>
    <w:rsid w:val="7FBF303C"/>
    <w:rsid w:val="7FC543CA"/>
    <w:rsid w:val="7FC71EF0"/>
    <w:rsid w:val="7FCA6862"/>
    <w:rsid w:val="7FCB59E5"/>
    <w:rsid w:val="7FD5285F"/>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link w:val="85"/>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87"/>
    <w:qFormat/>
    <w:uiPriority w:val="0"/>
    <w:pPr>
      <w:keepNext/>
      <w:keepLines/>
      <w:spacing w:before="260" w:after="260" w:line="416" w:lineRule="auto"/>
      <w:outlineLvl w:val="1"/>
    </w:pPr>
    <w:rPr>
      <w:rFonts w:ascii="Arial" w:hAnsi="Arial" w:eastAsia="黑体"/>
      <w:b/>
      <w:sz w:val="32"/>
    </w:rPr>
  </w:style>
  <w:style w:type="paragraph" w:styleId="4">
    <w:name w:val="heading 3"/>
    <w:basedOn w:val="1"/>
    <w:link w:val="86"/>
    <w:qFormat/>
    <w:uiPriority w:val="0"/>
    <w:pPr>
      <w:keepNext/>
      <w:keepLines/>
      <w:spacing w:before="260" w:after="260" w:line="416" w:lineRule="auto"/>
      <w:outlineLvl w:val="2"/>
    </w:pPr>
    <w:rPr>
      <w:b/>
      <w:bCs/>
      <w:sz w:val="32"/>
      <w:szCs w:val="32"/>
    </w:rPr>
  </w:style>
  <w:style w:type="paragraph" w:styleId="5">
    <w:name w:val="heading 4"/>
    <w:basedOn w:val="1"/>
    <w:next w:val="1"/>
    <w:link w:val="88"/>
    <w:qFormat/>
    <w:uiPriority w:val="0"/>
    <w:pPr>
      <w:keepNext/>
      <w:spacing w:line="500" w:lineRule="atLeast"/>
      <w:outlineLvl w:val="3"/>
    </w:pPr>
    <w:rPr>
      <w:sz w:val="28"/>
    </w:rPr>
  </w:style>
  <w:style w:type="paragraph" w:styleId="6">
    <w:name w:val="heading 5"/>
    <w:basedOn w:val="7"/>
    <w:next w:val="1"/>
    <w:qFormat/>
    <w:uiPriority w:val="9"/>
    <w:pPr>
      <w:keepNext/>
      <w:widowControl w:val="0"/>
      <w:numPr>
        <w:ilvl w:val="4"/>
        <w:numId w:val="1"/>
      </w:numPr>
      <w:adjustRightInd w:val="0"/>
      <w:snapToGrid w:val="0"/>
      <w:spacing w:line="360" w:lineRule="auto"/>
      <w:jc w:val="center"/>
      <w:outlineLvl w:val="4"/>
    </w:pPr>
    <w:rPr>
      <w:b/>
      <w:bCs/>
      <w:sz w:val="24"/>
      <w:szCs w:val="28"/>
      <w:lang w:val="en-US" w:eastAsia="zh-CN" w:bidi="ar-SA"/>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7">
    <w:name w:val="标题5"/>
    <w:basedOn w:val="1"/>
    <w:qFormat/>
    <w:uiPriority w:val="0"/>
  </w:style>
  <w:style w:type="paragraph" w:styleId="8">
    <w:name w:val="toc 7"/>
    <w:basedOn w:val="1"/>
    <w:next w:val="1"/>
    <w:qFormat/>
    <w:uiPriority w:val="39"/>
    <w:pPr>
      <w:ind w:left="2520"/>
    </w:pPr>
  </w:style>
  <w:style w:type="paragraph" w:styleId="9">
    <w:name w:val="Note Heading"/>
    <w:basedOn w:val="1"/>
    <w:next w:val="1"/>
    <w:qFormat/>
    <w:uiPriority w:val="0"/>
    <w:pPr>
      <w:jc w:val="left"/>
    </w:pPr>
  </w:style>
  <w:style w:type="paragraph" w:styleId="10">
    <w:name w:val="Normal Indent"/>
    <w:basedOn w:val="1"/>
    <w:qFormat/>
    <w:uiPriority w:val="0"/>
    <w:pPr>
      <w:ind w:firstLine="420"/>
    </w:pPr>
    <w:rPr>
      <w:sz w:val="24"/>
    </w:rPr>
  </w:style>
  <w:style w:type="paragraph" w:styleId="11">
    <w:name w:val="annotation text"/>
    <w:basedOn w:val="1"/>
    <w:link w:val="84"/>
    <w:qFormat/>
    <w:uiPriority w:val="99"/>
    <w:pPr>
      <w:jc w:val="left"/>
    </w:pPr>
    <w:rPr>
      <w:kern w:val="0"/>
      <w:sz w:val="24"/>
      <w:szCs w:val="20"/>
    </w:rPr>
  </w:style>
  <w:style w:type="paragraph" w:styleId="12">
    <w:name w:val="Salutation"/>
    <w:basedOn w:val="1"/>
    <w:next w:val="1"/>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3">
    <w:name w:val="Body Text"/>
    <w:basedOn w:val="1"/>
    <w:link w:val="89"/>
    <w:qFormat/>
    <w:uiPriority w:val="0"/>
    <w:pPr>
      <w:widowControl/>
      <w:snapToGrid w:val="0"/>
      <w:spacing w:before="60" w:after="160" w:line="259" w:lineRule="auto"/>
      <w:ind w:right="113"/>
    </w:pPr>
    <w:rPr>
      <w:kern w:val="0"/>
      <w:sz w:val="18"/>
      <w:szCs w:val="20"/>
    </w:rPr>
  </w:style>
  <w:style w:type="paragraph" w:styleId="14">
    <w:name w:val="Body Text Indent"/>
    <w:basedOn w:val="1"/>
    <w:link w:val="90"/>
    <w:qFormat/>
    <w:uiPriority w:val="0"/>
    <w:pPr>
      <w:spacing w:after="120"/>
      <w:ind w:left="420" w:leftChars="200"/>
    </w:pPr>
    <w:rPr>
      <w:kern w:val="0"/>
      <w:sz w:val="24"/>
      <w:szCs w:val="20"/>
    </w:rPr>
  </w:style>
  <w:style w:type="paragraph" w:styleId="15">
    <w:name w:val="Block Text"/>
    <w:basedOn w:val="1"/>
    <w:qFormat/>
    <w:uiPriority w:val="0"/>
    <w:pPr>
      <w:spacing w:line="440" w:lineRule="exact"/>
      <w:ind w:left="105" w:leftChars="50" w:right="105" w:rightChars="50" w:firstLine="556"/>
    </w:pPr>
    <w:rPr>
      <w:rFonts w:ascii="仿宋_GB2312" w:hAnsi="Monotype Corsiva" w:eastAsia="仿宋_GB2312"/>
      <w:bCs/>
      <w:sz w:val="24"/>
    </w:rPr>
  </w:style>
  <w:style w:type="paragraph" w:styleId="16">
    <w:name w:val="Plain Text"/>
    <w:basedOn w:val="1"/>
    <w:qFormat/>
    <w:uiPriority w:val="0"/>
    <w:pPr>
      <w:spacing w:line="240" w:lineRule="atLeast"/>
    </w:pPr>
    <w:rPr>
      <w:rFonts w:ascii="宋体" w:hAnsi="Courier New"/>
      <w:sz w:val="28"/>
      <w:szCs w:val="21"/>
    </w:rPr>
  </w:style>
  <w:style w:type="paragraph" w:styleId="17">
    <w:name w:val="Date"/>
    <w:basedOn w:val="1"/>
    <w:next w:val="1"/>
    <w:link w:val="93"/>
    <w:qFormat/>
    <w:uiPriority w:val="0"/>
    <w:pPr>
      <w:ind w:left="100" w:leftChars="2500"/>
    </w:pPr>
    <w:rPr>
      <w:kern w:val="0"/>
      <w:sz w:val="24"/>
      <w:szCs w:val="20"/>
    </w:rPr>
  </w:style>
  <w:style w:type="paragraph" w:styleId="18">
    <w:name w:val="Body Text Indent 2"/>
    <w:basedOn w:val="1"/>
    <w:link w:val="94"/>
    <w:qFormat/>
    <w:uiPriority w:val="0"/>
    <w:pPr>
      <w:spacing w:after="120" w:line="480" w:lineRule="auto"/>
      <w:ind w:left="420" w:leftChars="200"/>
    </w:pPr>
  </w:style>
  <w:style w:type="paragraph" w:styleId="19">
    <w:name w:val="Balloon Text"/>
    <w:basedOn w:val="1"/>
    <w:next w:val="13"/>
    <w:link w:val="95"/>
    <w:qFormat/>
    <w:uiPriority w:val="0"/>
    <w:rPr>
      <w:kern w:val="0"/>
      <w:sz w:val="18"/>
      <w:szCs w:val="20"/>
    </w:rPr>
  </w:style>
  <w:style w:type="paragraph" w:styleId="20">
    <w:name w:val="footer"/>
    <w:basedOn w:val="1"/>
    <w:link w:val="96"/>
    <w:qFormat/>
    <w:uiPriority w:val="99"/>
    <w:pPr>
      <w:tabs>
        <w:tab w:val="center" w:pos="4153"/>
        <w:tab w:val="right" w:pos="8306"/>
      </w:tabs>
      <w:snapToGrid w:val="0"/>
      <w:jc w:val="left"/>
    </w:pPr>
    <w:rPr>
      <w:kern w:val="0"/>
      <w:sz w:val="18"/>
      <w:szCs w:val="20"/>
    </w:rPr>
  </w:style>
  <w:style w:type="paragraph" w:styleId="21">
    <w:name w:val="header"/>
    <w:basedOn w:val="1"/>
    <w:next w:val="22"/>
    <w:link w:val="9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2">
    <w:name w:val="样式5"/>
    <w:basedOn w:val="1"/>
    <w:qFormat/>
    <w:uiPriority w:val="0"/>
    <w:pPr>
      <w:snapToGrid w:val="0"/>
      <w:spacing w:line="360" w:lineRule="auto"/>
      <w:ind w:firstLine="510"/>
    </w:pPr>
    <w:rPr>
      <w:sz w:val="24"/>
    </w:rPr>
  </w:style>
  <w:style w:type="paragraph" w:styleId="23">
    <w:name w:val="toc 1"/>
    <w:basedOn w:val="1"/>
    <w:next w:val="1"/>
    <w:qFormat/>
    <w:uiPriority w:val="39"/>
    <w:pPr>
      <w:tabs>
        <w:tab w:val="right" w:leader="dot" w:pos="8834"/>
      </w:tabs>
      <w:jc w:val="center"/>
    </w:pPr>
    <w:rPr>
      <w:rFonts w:ascii="黑体" w:hAnsi="黑体" w:eastAsia="黑体"/>
      <w:sz w:val="40"/>
      <w:szCs w:val="40"/>
    </w:rPr>
  </w:style>
  <w:style w:type="paragraph" w:styleId="24">
    <w:name w:val="Normal (Web)"/>
    <w:basedOn w:val="1"/>
    <w:link w:val="98"/>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qFormat/>
    <w:uiPriority w:val="1"/>
    <w:pPr>
      <w:spacing w:line="1239" w:lineRule="exact"/>
      <w:ind w:right="1"/>
      <w:jc w:val="center"/>
    </w:pPr>
    <w:rPr>
      <w:rFonts w:ascii="微软雅黑" w:hAnsi="微软雅黑" w:eastAsia="微软雅黑" w:cs="微软雅黑"/>
      <w:sz w:val="72"/>
      <w:szCs w:val="72"/>
      <w:lang w:val="en-US" w:eastAsia="zh-CN" w:bidi="ar-SA"/>
    </w:rPr>
  </w:style>
  <w:style w:type="paragraph" w:styleId="26">
    <w:name w:val="annotation subject"/>
    <w:basedOn w:val="11"/>
    <w:next w:val="11"/>
    <w:link w:val="99"/>
    <w:qFormat/>
    <w:uiPriority w:val="0"/>
    <w:rPr>
      <w:b/>
    </w:rPr>
  </w:style>
  <w:style w:type="paragraph" w:styleId="27">
    <w:name w:val="Body Text First Indent"/>
    <w:basedOn w:val="13"/>
    <w:next w:val="1"/>
    <w:link w:val="100"/>
    <w:qFormat/>
    <w:uiPriority w:val="0"/>
    <w:pPr>
      <w:ind w:firstLine="420" w:firstLineChars="100"/>
    </w:pPr>
  </w:style>
  <w:style w:type="paragraph" w:styleId="28">
    <w:name w:val="Body Text First Indent 2"/>
    <w:basedOn w:val="14"/>
    <w:link w:val="91"/>
    <w:qFormat/>
    <w:uiPriority w:val="0"/>
    <w:pPr>
      <w:ind w:firstLine="420" w:firstLineChars="200"/>
    </w:pPr>
    <w:rPr>
      <w:sz w:val="21"/>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basedOn w:val="31"/>
    <w:qFormat/>
    <w:uiPriority w:val="0"/>
  </w:style>
  <w:style w:type="character" w:styleId="34">
    <w:name w:val="Emphasis"/>
    <w:basedOn w:val="31"/>
    <w:qFormat/>
    <w:uiPriority w:val="0"/>
    <w:rPr>
      <w:i/>
    </w:rPr>
  </w:style>
  <w:style w:type="character" w:styleId="35">
    <w:name w:val="Hyperlink"/>
    <w:basedOn w:val="31"/>
    <w:unhideWhenUsed/>
    <w:qFormat/>
    <w:uiPriority w:val="99"/>
    <w:rPr>
      <w:color w:val="0000FF"/>
      <w:u w:val="single"/>
    </w:rPr>
  </w:style>
  <w:style w:type="character" w:styleId="36">
    <w:name w:val="annotation reference"/>
    <w:basedOn w:val="31"/>
    <w:semiHidden/>
    <w:qFormat/>
    <w:uiPriority w:val="0"/>
    <w:rPr>
      <w:sz w:val="21"/>
    </w:rPr>
  </w:style>
  <w:style w:type="paragraph" w:customStyle="1" w:styleId="37">
    <w:name w:val="Default"/>
    <w:basedOn w:val="38"/>
    <w:next w:val="39"/>
    <w:qFormat/>
    <w:uiPriority w:val="0"/>
    <w:pPr>
      <w:autoSpaceDE w:val="0"/>
      <w:autoSpaceDN w:val="0"/>
    </w:pPr>
    <w:rPr>
      <w:sz w:val="24"/>
    </w:rPr>
  </w:style>
  <w:style w:type="paragraph" w:customStyle="1" w:styleId="38">
    <w:name w:val="纯文本1"/>
    <w:basedOn w:val="1"/>
    <w:qFormat/>
    <w:uiPriority w:val="0"/>
    <w:pPr>
      <w:adjustRightInd w:val="0"/>
    </w:pPr>
    <w:rPr>
      <w:rFonts w:ascii="宋体" w:hAnsi="Courier New"/>
      <w:szCs w:val="20"/>
    </w:rPr>
  </w:style>
  <w:style w:type="paragraph" w:customStyle="1" w:styleId="39">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0">
    <w:name w:val="0正文"/>
    <w:basedOn w:val="14"/>
    <w:qFormat/>
    <w:uiPriority w:val="0"/>
    <w:pPr>
      <w:ind w:firstLine="480"/>
    </w:pPr>
  </w:style>
  <w:style w:type="paragraph" w:customStyle="1" w:styleId="41">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2">
    <w:name w:val="Default1"/>
    <w:basedOn w:val="43"/>
    <w:next w:val="1"/>
    <w:qFormat/>
    <w:uiPriority w:val="0"/>
    <w:pPr>
      <w:widowControl w:val="0"/>
      <w:autoSpaceDE w:val="0"/>
      <w:autoSpaceDN w:val="0"/>
      <w:adjustRightInd w:val="0"/>
    </w:pPr>
    <w:rPr>
      <w:rFonts w:ascii="宋体" w:eastAsia="宋体" w:cs="宋体"/>
      <w:color w:val="000000"/>
      <w:sz w:val="24"/>
      <w:szCs w:val="24"/>
      <w:lang w:val="en-US" w:eastAsia="zh-CN"/>
    </w:rPr>
  </w:style>
  <w:style w:type="paragraph" w:customStyle="1" w:styleId="43">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4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5">
    <w:name w:val="样式 标题 2 + 三号1"/>
    <w:basedOn w:val="3"/>
    <w:next w:val="1"/>
    <w:qFormat/>
    <w:uiPriority w:val="99"/>
    <w:pPr>
      <w:keepLines w:val="0"/>
      <w:numPr>
        <w:ilvl w:val="1"/>
        <w:numId w:val="2"/>
      </w:numPr>
      <w:tabs>
        <w:tab w:val="left" w:pos="718"/>
        <w:tab w:val="clear" w:pos="576"/>
      </w:tabs>
      <w:spacing w:line="480" w:lineRule="auto"/>
      <w:ind w:left="718"/>
      <w:jc w:val="left"/>
    </w:pPr>
    <w:rPr>
      <w:rFonts w:ascii="宋体" w:hAnsi="宋体"/>
      <w:kern w:val="0"/>
    </w:rPr>
  </w:style>
  <w:style w:type="paragraph" w:customStyle="1" w:styleId="46">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table" w:customStyle="1" w:styleId="47">
    <w:name w:val="Table Normal"/>
    <w:unhideWhenUsed/>
    <w:qFormat/>
    <w:uiPriority w:val="0"/>
    <w:tblPr>
      <w:tblCellMar>
        <w:top w:w="0" w:type="dxa"/>
        <w:left w:w="0" w:type="dxa"/>
        <w:bottom w:w="0" w:type="dxa"/>
        <w:right w:w="0" w:type="dxa"/>
      </w:tblCellMar>
    </w:tblPr>
  </w:style>
  <w:style w:type="paragraph" w:customStyle="1" w:styleId="48">
    <w:name w:val="常用表格样式"/>
    <w:basedOn w:val="49"/>
    <w:next w:val="49"/>
    <w:qFormat/>
    <w:uiPriority w:val="0"/>
    <w:pPr>
      <w:spacing w:line="240" w:lineRule="auto"/>
      <w:ind w:firstLine="0"/>
      <w:jc w:val="center"/>
    </w:pPr>
    <w:rPr>
      <w:spacing w:val="2"/>
      <w:sz w:val="18"/>
    </w:rPr>
  </w:style>
  <w:style w:type="paragraph" w:customStyle="1" w:styleId="49">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50">
    <w:name w:val="D表内1磅"/>
    <w:basedOn w:val="51"/>
    <w:qFormat/>
    <w:uiPriority w:val="0"/>
    <w:pPr>
      <w:spacing w:before="20" w:after="20"/>
    </w:pPr>
    <w:rPr>
      <w:rFonts w:ascii="Times New Roman"/>
      <w:spacing w:val="0"/>
    </w:rPr>
  </w:style>
  <w:style w:type="paragraph" w:customStyle="1" w:styleId="51">
    <w:name w:val="D表内0磅"/>
    <w:basedOn w:val="52"/>
    <w:semiHidden/>
    <w:qFormat/>
    <w:uiPriority w:val="0"/>
    <w:rPr>
      <w:rFonts w:ascii="仿宋_GB2312"/>
      <w:spacing w:val="4"/>
    </w:rPr>
  </w:style>
  <w:style w:type="paragraph" w:customStyle="1" w:styleId="52">
    <w:name w:val="D表内"/>
    <w:basedOn w:val="53"/>
    <w:semiHidden/>
    <w:qFormat/>
    <w:uiPriority w:val="0"/>
    <w:pPr>
      <w:spacing w:before="40" w:after="40"/>
    </w:pPr>
  </w:style>
  <w:style w:type="paragraph" w:customStyle="1" w:styleId="53">
    <w:name w:val="图表"/>
    <w:basedOn w:val="1"/>
    <w:semiHidden/>
    <w:qFormat/>
    <w:uiPriority w:val="0"/>
    <w:pPr>
      <w:spacing w:before="120" w:after="120"/>
      <w:jc w:val="center"/>
    </w:pPr>
    <w:rPr>
      <w:szCs w:val="21"/>
    </w:rPr>
  </w:style>
  <w:style w:type="paragraph" w:customStyle="1" w:styleId="54">
    <w:name w:val="文本"/>
    <w:basedOn w:val="10"/>
    <w:next w:val="18"/>
    <w:qFormat/>
    <w:uiPriority w:val="0"/>
    <w:pPr>
      <w:widowControl/>
      <w:spacing w:line="480" w:lineRule="exact"/>
      <w:ind w:firstLine="480"/>
      <w:jc w:val="left"/>
    </w:pPr>
    <w:rPr>
      <w:rFonts w:ascii="宋体" w:hAnsi="宋体" w:cs="宋体"/>
      <w:kern w:val="0"/>
      <w:szCs w:val="20"/>
    </w:rPr>
  </w:style>
  <w:style w:type="paragraph" w:customStyle="1" w:styleId="55">
    <w:name w:val="aa正文"/>
    <w:basedOn w:val="1"/>
    <w:qFormat/>
    <w:uiPriority w:val="0"/>
    <w:pPr>
      <w:snapToGrid w:val="0"/>
      <w:spacing w:line="360" w:lineRule="auto"/>
      <w:ind w:firstLine="200" w:firstLineChars="200"/>
    </w:pPr>
    <w:rPr>
      <w:sz w:val="24"/>
    </w:rPr>
  </w:style>
  <w:style w:type="paragraph" w:customStyle="1" w:styleId="56">
    <w:name w:val="表中文字"/>
    <w:basedOn w:val="1"/>
    <w:qFormat/>
    <w:uiPriority w:val="0"/>
    <w:pPr>
      <w:jc w:val="center"/>
    </w:pPr>
    <w:rPr>
      <w:rFonts w:ascii="宋体"/>
      <w:spacing w:val="4"/>
      <w:w w:val="90"/>
      <w:sz w:val="24"/>
    </w:rPr>
  </w:style>
  <w:style w:type="paragraph" w:customStyle="1" w:styleId="57">
    <w:name w:val="Table Paragraph"/>
    <w:basedOn w:val="1"/>
    <w:qFormat/>
    <w:uiPriority w:val="0"/>
    <w:pPr>
      <w:autoSpaceDE w:val="0"/>
      <w:autoSpaceDN w:val="0"/>
      <w:adjustRightInd w:val="0"/>
      <w:jc w:val="left"/>
    </w:pPr>
  </w:style>
  <w:style w:type="paragraph" w:customStyle="1" w:styleId="58">
    <w:name w:val="表格内正文"/>
    <w:basedOn w:val="1"/>
    <w:qFormat/>
    <w:uiPriority w:val="0"/>
    <w:pPr>
      <w:spacing w:line="360" w:lineRule="auto"/>
      <w:ind w:firstLine="493"/>
    </w:pPr>
    <w:rPr>
      <w:rFonts w:ascii="宋体" w:hAnsi="宋体"/>
      <w:spacing w:val="4"/>
      <w:kern w:val="18"/>
      <w:sz w:val="24"/>
    </w:rPr>
  </w:style>
  <w:style w:type="paragraph" w:customStyle="1" w:styleId="59">
    <w:name w:val="简单回函地址"/>
    <w:basedOn w:val="1"/>
    <w:qFormat/>
    <w:uiPriority w:val="0"/>
    <w:rPr>
      <w:sz w:val="24"/>
    </w:rPr>
  </w:style>
  <w:style w:type="paragraph" w:customStyle="1" w:styleId="60">
    <w:name w:val="D正文"/>
    <w:basedOn w:val="61"/>
    <w:qFormat/>
    <w:uiPriority w:val="0"/>
    <w:pPr>
      <w:spacing w:line="360" w:lineRule="auto"/>
      <w:ind w:firstLine="480"/>
    </w:pPr>
    <w:rPr>
      <w:rFonts w:hAnsi="Times New Roman"/>
    </w:rPr>
  </w:style>
  <w:style w:type="paragraph" w:customStyle="1" w:styleId="61">
    <w:name w:val="正文对的"/>
    <w:basedOn w:val="16"/>
    <w:semiHidden/>
    <w:qFormat/>
    <w:uiPriority w:val="0"/>
    <w:pPr>
      <w:spacing w:line="500" w:lineRule="exact"/>
      <w:ind w:firstLine="200" w:firstLineChars="200"/>
    </w:pPr>
    <w:rPr>
      <w:rFonts w:ascii="Times New Roman" w:hAnsi="宋体"/>
      <w:sz w:val="24"/>
      <w:szCs w:val="24"/>
    </w:rPr>
  </w:style>
  <w:style w:type="paragraph" w:customStyle="1" w:styleId="62">
    <w:name w:val="D图表小四"/>
    <w:basedOn w:val="63"/>
    <w:qFormat/>
    <w:uiPriority w:val="0"/>
    <w:pPr>
      <w:keepNext/>
      <w:keepLines/>
    </w:pPr>
    <w:rPr>
      <w:b w:val="0"/>
      <w:szCs w:val="24"/>
    </w:rPr>
  </w:style>
  <w:style w:type="paragraph" w:customStyle="1" w:styleId="63">
    <w:name w:val="D图表"/>
    <w:basedOn w:val="53"/>
    <w:semiHidden/>
    <w:qFormat/>
    <w:uiPriority w:val="0"/>
    <w:rPr>
      <w:b/>
    </w:rPr>
  </w:style>
  <w:style w:type="paragraph" w:customStyle="1" w:styleId="64">
    <w:name w:val="B表内"/>
    <w:basedOn w:val="65"/>
    <w:qFormat/>
    <w:uiPriority w:val="0"/>
    <w:pPr>
      <w:wordWrap w:val="0"/>
      <w:spacing w:line="240" w:lineRule="auto"/>
      <w:ind w:firstLine="0" w:firstLineChars="0"/>
      <w:jc w:val="center"/>
      <w:textAlignment w:val="center"/>
    </w:pPr>
    <w:rPr>
      <w:rFonts w:cs="宋体"/>
      <w:sz w:val="21"/>
      <w:szCs w:val="20"/>
    </w:rPr>
  </w:style>
  <w:style w:type="paragraph" w:customStyle="1" w:styleId="65">
    <w:name w:val="B正文"/>
    <w:basedOn w:val="1"/>
    <w:qFormat/>
    <w:uiPriority w:val="0"/>
    <w:pPr>
      <w:spacing w:line="360" w:lineRule="auto"/>
      <w:ind w:firstLine="200" w:firstLineChars="200"/>
    </w:pPr>
    <w:rPr>
      <w:kern w:val="0"/>
      <w:sz w:val="24"/>
    </w:rPr>
  </w:style>
  <w:style w:type="paragraph" w:customStyle="1" w:styleId="66">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rPr>
  </w:style>
  <w:style w:type="paragraph" w:customStyle="1" w:styleId="67">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68">
    <w:name w:val="表格文本"/>
    <w:basedOn w:val="1"/>
    <w:qFormat/>
    <w:uiPriority w:val="0"/>
    <w:pPr>
      <w:adjustRightInd w:val="0"/>
      <w:snapToGrid w:val="0"/>
      <w:jc w:val="center"/>
    </w:pPr>
    <w:rPr>
      <w:szCs w:val="21"/>
    </w:rPr>
  </w:style>
  <w:style w:type="paragraph" w:customStyle="1" w:styleId="69">
    <w:name w:val="样式 小四 行距: 1.5 倍行距"/>
    <w:basedOn w:val="1"/>
    <w:qFormat/>
    <w:uiPriority w:val="0"/>
    <w:pPr>
      <w:ind w:firstLine="480" w:firstLineChars="200"/>
    </w:pPr>
    <w:rPr>
      <w:rFonts w:cs="宋体"/>
    </w:rPr>
  </w:style>
  <w:style w:type="paragraph" w:customStyle="1" w:styleId="70">
    <w:name w:val="表格正文"/>
    <w:basedOn w:val="10"/>
    <w:qFormat/>
    <w:uiPriority w:val="0"/>
    <w:pPr>
      <w:snapToGrid w:val="0"/>
      <w:spacing w:line="400" w:lineRule="exact"/>
      <w:jc w:val="center"/>
    </w:pPr>
    <w:rPr>
      <w:bCs/>
      <w:kern w:val="10"/>
    </w:rPr>
  </w:style>
  <w:style w:type="paragraph" w:customStyle="1" w:styleId="71">
    <w:name w:val="表格"/>
    <w:basedOn w:val="1"/>
    <w:next w:val="1"/>
    <w:link w:val="103"/>
    <w:qFormat/>
    <w:uiPriority w:val="0"/>
    <w:pPr>
      <w:adjustRightInd w:val="0"/>
      <w:snapToGrid w:val="0"/>
      <w:spacing w:beforeLines="10" w:afterLines="10" w:line="259" w:lineRule="auto"/>
      <w:jc w:val="center"/>
    </w:pPr>
    <w:rPr>
      <w:rFonts w:ascii="宋体"/>
      <w:kern w:val="0"/>
      <w:szCs w:val="20"/>
    </w:rPr>
  </w:style>
  <w:style w:type="paragraph" w:customStyle="1" w:styleId="72">
    <w:name w:val="正文王"/>
    <w:basedOn w:val="73"/>
    <w:semiHidden/>
    <w:qFormat/>
    <w:uiPriority w:val="0"/>
    <w:pPr>
      <w:spacing w:beforeLines="0" w:afterLines="0"/>
      <w:ind w:firstLine="720" w:firstLineChars="200"/>
      <w:outlineLvl w:val="9"/>
    </w:pPr>
    <w:rPr>
      <w:rFonts w:eastAsia="宋体"/>
      <w:b w:val="0"/>
      <w:sz w:val="24"/>
    </w:rPr>
  </w:style>
  <w:style w:type="paragraph" w:customStyle="1" w:styleId="73">
    <w:name w:val="标题三王"/>
    <w:basedOn w:val="74"/>
    <w:semiHidden/>
    <w:qFormat/>
    <w:uiPriority w:val="0"/>
    <w:pPr>
      <w:spacing w:beforeLines="50" w:afterLines="20"/>
      <w:outlineLvl w:val="2"/>
    </w:pPr>
    <w:rPr>
      <w:sz w:val="28"/>
    </w:rPr>
  </w:style>
  <w:style w:type="paragraph" w:customStyle="1" w:styleId="74">
    <w:name w:val="标题二王"/>
    <w:basedOn w:val="1"/>
    <w:semiHidden/>
    <w:qFormat/>
    <w:uiPriority w:val="0"/>
    <w:pPr>
      <w:spacing w:beforeLines="100" w:afterLines="50" w:line="360" w:lineRule="auto"/>
      <w:outlineLvl w:val="1"/>
    </w:pPr>
    <w:rPr>
      <w:rFonts w:eastAsia="黑体"/>
      <w:b/>
      <w:sz w:val="32"/>
    </w:rPr>
  </w:style>
  <w:style w:type="paragraph" w:customStyle="1" w:styleId="75">
    <w:name w:val="WPSOffice手动目录 1"/>
    <w:qFormat/>
    <w:uiPriority w:val="0"/>
    <w:rPr>
      <w:rFonts w:asciiTheme="minorHAnsi" w:hAnsiTheme="minorHAnsi" w:eastAsiaTheme="minorEastAsia" w:cstheme="minorBidi"/>
      <w:lang w:val="en-US" w:eastAsia="zh-CN" w:bidi="ar-SA"/>
    </w:rPr>
  </w:style>
  <w:style w:type="paragraph" w:customStyle="1" w:styleId="76">
    <w:name w:val="表格标题"/>
    <w:basedOn w:val="77"/>
    <w:next w:val="1"/>
    <w:link w:val="79"/>
    <w:qFormat/>
    <w:uiPriority w:val="0"/>
    <w:pPr>
      <w:adjustRightInd w:val="0"/>
      <w:snapToGrid w:val="0"/>
      <w:jc w:val="center"/>
    </w:pPr>
    <w:rPr>
      <w:b/>
      <w:color w:val="000000"/>
    </w:rPr>
  </w:style>
  <w:style w:type="paragraph" w:customStyle="1" w:styleId="77">
    <w:name w:val="Text"/>
    <w:qFormat/>
    <w:uiPriority w:val="0"/>
    <w:pPr>
      <w:spacing w:line="360" w:lineRule="auto"/>
    </w:pPr>
    <w:rPr>
      <w:rFonts w:ascii="Times New Roman" w:hAnsi="Times New Roman" w:eastAsia="宋体" w:cs="宋体"/>
      <w:sz w:val="24"/>
      <w:szCs w:val="24"/>
      <w:lang w:val="en-US" w:eastAsia="zh-CN" w:bidi="ar-SA"/>
    </w:rPr>
  </w:style>
  <w:style w:type="paragraph" w:styleId="78">
    <w:name w:val="List Paragraph"/>
    <w:basedOn w:val="1"/>
    <w:unhideWhenUsed/>
    <w:qFormat/>
    <w:uiPriority w:val="99"/>
    <w:pPr>
      <w:ind w:firstLine="420" w:firstLineChars="200"/>
    </w:pPr>
  </w:style>
  <w:style w:type="character" w:customStyle="1" w:styleId="79">
    <w:name w:val="表格标题 字符"/>
    <w:link w:val="76"/>
    <w:qFormat/>
    <w:uiPriority w:val="0"/>
    <w:rPr>
      <w:rFonts w:ascii="Times New Roman" w:hAnsi="Times New Roman" w:eastAsia="宋体" w:cs="Times New Roman"/>
      <w:b/>
      <w:color w:val="000000"/>
      <w:kern w:val="2"/>
      <w:sz w:val="21"/>
      <w:szCs w:val="24"/>
    </w:rPr>
  </w:style>
  <w:style w:type="paragraph" w:customStyle="1" w:styleId="80">
    <w:name w:val="表格内容"/>
    <w:basedOn w:val="76"/>
    <w:next w:val="1"/>
    <w:qFormat/>
    <w:uiPriority w:val="99"/>
    <w:pPr>
      <w:adjustRightInd/>
      <w:snapToGrid/>
      <w:spacing w:before="60" w:after="60"/>
    </w:pPr>
    <w:rPr>
      <w:b w:val="0"/>
    </w:rPr>
  </w:style>
  <w:style w:type="paragraph" w:customStyle="1" w:styleId="81">
    <w:name w:val="样式1"/>
    <w:basedOn w:val="1"/>
    <w:qFormat/>
    <w:uiPriority w:val="0"/>
    <w:pPr>
      <w:numPr>
        <w:ilvl w:val="0"/>
        <w:numId w:val="3"/>
      </w:numPr>
      <w:tabs>
        <w:tab w:val="left" w:pos="420"/>
        <w:tab w:val="clear" w:pos="0"/>
      </w:tabs>
      <w:spacing w:line="360" w:lineRule="auto"/>
      <w:jc w:val="center"/>
    </w:pPr>
    <w:rPr>
      <w:sz w:val="24"/>
    </w:rPr>
  </w:style>
  <w:style w:type="paragraph" w:customStyle="1" w:styleId="82">
    <w:name w:val="标题1.1"/>
    <w:basedOn w:val="1"/>
    <w:link w:val="83"/>
    <w:qFormat/>
    <w:uiPriority w:val="0"/>
    <w:pPr>
      <w:adjustRightInd w:val="0"/>
      <w:snapToGrid w:val="0"/>
      <w:spacing w:line="360" w:lineRule="auto"/>
      <w:jc w:val="left"/>
    </w:pPr>
    <w:rPr>
      <w:rFonts w:eastAsia="黑体"/>
      <w:bCs/>
      <w:color w:val="000000"/>
      <w:sz w:val="24"/>
    </w:rPr>
  </w:style>
  <w:style w:type="character" w:customStyle="1" w:styleId="83">
    <w:name w:val="标题1.1 字符"/>
    <w:link w:val="82"/>
    <w:qFormat/>
    <w:uiPriority w:val="0"/>
    <w:rPr>
      <w:rFonts w:ascii="Times New Roman" w:hAnsi="Times New Roman" w:eastAsia="黑体" w:cs="Times New Roman"/>
      <w:bCs/>
      <w:color w:val="000000"/>
      <w:kern w:val="2"/>
      <w:sz w:val="24"/>
      <w:szCs w:val="24"/>
    </w:rPr>
  </w:style>
  <w:style w:type="character" w:customStyle="1" w:styleId="84">
    <w:name w:val="批注文字 字符"/>
    <w:basedOn w:val="31"/>
    <w:link w:val="11"/>
    <w:qFormat/>
    <w:uiPriority w:val="99"/>
    <w:rPr>
      <w:rFonts w:ascii="Times New Roman" w:hAnsi="Times New Roman" w:eastAsia="宋体" w:cs="Times New Roman"/>
      <w:sz w:val="24"/>
    </w:rPr>
  </w:style>
  <w:style w:type="character" w:customStyle="1" w:styleId="85">
    <w:name w:val="标题 1 字符"/>
    <w:basedOn w:val="31"/>
    <w:link w:val="2"/>
    <w:qFormat/>
    <w:uiPriority w:val="99"/>
    <w:rPr>
      <w:rFonts w:ascii="Times New Roman" w:hAnsi="Times New Roman" w:eastAsia="黑体" w:cs="Times New Roman"/>
      <w:b/>
      <w:bCs/>
      <w:color w:val="000000"/>
      <w:kern w:val="44"/>
      <w:sz w:val="30"/>
      <w:szCs w:val="30"/>
    </w:rPr>
  </w:style>
  <w:style w:type="character" w:customStyle="1" w:styleId="86">
    <w:name w:val="标题 3 字符"/>
    <w:basedOn w:val="31"/>
    <w:link w:val="4"/>
    <w:qFormat/>
    <w:uiPriority w:val="0"/>
    <w:rPr>
      <w:rFonts w:ascii="Times New Roman" w:hAnsi="Times New Roman" w:eastAsia="宋体" w:cs="Times New Roman"/>
      <w:b/>
      <w:bCs/>
      <w:kern w:val="2"/>
      <w:sz w:val="32"/>
      <w:szCs w:val="32"/>
    </w:rPr>
  </w:style>
  <w:style w:type="character" w:customStyle="1" w:styleId="87">
    <w:name w:val="标题 2 字符"/>
    <w:link w:val="3"/>
    <w:qFormat/>
    <w:uiPriority w:val="0"/>
    <w:rPr>
      <w:rFonts w:ascii="Arial" w:hAnsi="Arial" w:eastAsia="黑体" w:cs="Times New Roman"/>
      <w:b/>
      <w:kern w:val="2"/>
      <w:sz w:val="32"/>
      <w:szCs w:val="24"/>
    </w:rPr>
  </w:style>
  <w:style w:type="character" w:customStyle="1" w:styleId="88">
    <w:name w:val="标题 4 字符"/>
    <w:link w:val="5"/>
    <w:qFormat/>
    <w:uiPriority w:val="0"/>
    <w:rPr>
      <w:rFonts w:ascii="Times New Roman" w:hAnsi="Times New Roman" w:eastAsia="宋体" w:cs="Times New Roman"/>
      <w:kern w:val="2"/>
      <w:sz w:val="28"/>
      <w:szCs w:val="24"/>
    </w:rPr>
  </w:style>
  <w:style w:type="character" w:customStyle="1" w:styleId="89">
    <w:name w:val="正文文本 字符"/>
    <w:link w:val="13"/>
    <w:qFormat/>
    <w:locked/>
    <w:uiPriority w:val="0"/>
    <w:rPr>
      <w:rFonts w:ascii="Times New Roman" w:hAnsi="Times New Roman" w:eastAsia="宋体" w:cs="Times New Roman"/>
      <w:sz w:val="18"/>
    </w:rPr>
  </w:style>
  <w:style w:type="character" w:customStyle="1" w:styleId="90">
    <w:name w:val="正文文本缩进 字符"/>
    <w:link w:val="14"/>
    <w:qFormat/>
    <w:locked/>
    <w:uiPriority w:val="0"/>
    <w:rPr>
      <w:rFonts w:ascii="Times New Roman" w:hAnsi="Times New Roman" w:eastAsia="宋体" w:cs="Times New Roman"/>
      <w:sz w:val="24"/>
    </w:rPr>
  </w:style>
  <w:style w:type="character" w:customStyle="1" w:styleId="91">
    <w:name w:val="正文文本首行缩进 2 字符"/>
    <w:link w:val="28"/>
    <w:qFormat/>
    <w:uiPriority w:val="0"/>
    <w:rPr>
      <w:rFonts w:ascii="Times New Roman" w:hAnsi="Times New Roman" w:eastAsia="宋体" w:cs="Times New Roman"/>
      <w:sz w:val="21"/>
    </w:rPr>
  </w:style>
  <w:style w:type="character" w:customStyle="1" w:styleId="92">
    <w:name w:val="日期 字符"/>
    <w:basedOn w:val="31"/>
    <w:qFormat/>
    <w:uiPriority w:val="0"/>
    <w:rPr>
      <w:rFonts w:ascii="Times New Roman" w:hAnsi="Times New Roman" w:eastAsia="宋体" w:cs="Times New Roman"/>
      <w:kern w:val="2"/>
      <w:sz w:val="21"/>
      <w:szCs w:val="24"/>
    </w:rPr>
  </w:style>
  <w:style w:type="character" w:customStyle="1" w:styleId="93">
    <w:name w:val="日期 字符1"/>
    <w:link w:val="17"/>
    <w:qFormat/>
    <w:locked/>
    <w:uiPriority w:val="0"/>
    <w:rPr>
      <w:rFonts w:ascii="Times New Roman" w:hAnsi="Times New Roman" w:eastAsia="宋体" w:cs="Times New Roman"/>
      <w:sz w:val="24"/>
    </w:rPr>
  </w:style>
  <w:style w:type="character" w:customStyle="1" w:styleId="94">
    <w:name w:val="正文文本缩进 2 字符"/>
    <w:link w:val="18"/>
    <w:qFormat/>
    <w:uiPriority w:val="0"/>
    <w:rPr>
      <w:rFonts w:ascii="Times New Roman" w:hAnsi="Times New Roman" w:eastAsia="宋体" w:cs="Times New Roman"/>
      <w:kern w:val="2"/>
      <w:sz w:val="21"/>
      <w:szCs w:val="24"/>
    </w:rPr>
  </w:style>
  <w:style w:type="character" w:customStyle="1" w:styleId="95">
    <w:name w:val="批注框文本 字符"/>
    <w:basedOn w:val="31"/>
    <w:link w:val="19"/>
    <w:qFormat/>
    <w:uiPriority w:val="0"/>
    <w:rPr>
      <w:rFonts w:ascii="Times New Roman" w:hAnsi="Times New Roman" w:eastAsia="宋体" w:cs="Times New Roman"/>
      <w:sz w:val="18"/>
    </w:rPr>
  </w:style>
  <w:style w:type="character" w:customStyle="1" w:styleId="96">
    <w:name w:val="页脚 字符1"/>
    <w:link w:val="20"/>
    <w:qFormat/>
    <w:locked/>
    <w:uiPriority w:val="99"/>
    <w:rPr>
      <w:rFonts w:ascii="Times New Roman" w:hAnsi="Times New Roman" w:eastAsia="宋体" w:cs="Times New Roman"/>
      <w:sz w:val="18"/>
    </w:rPr>
  </w:style>
  <w:style w:type="character" w:customStyle="1" w:styleId="97">
    <w:name w:val="页眉 字符"/>
    <w:basedOn w:val="31"/>
    <w:link w:val="21"/>
    <w:qFormat/>
    <w:uiPriority w:val="0"/>
    <w:rPr>
      <w:rFonts w:ascii="Times New Roman" w:hAnsi="Times New Roman" w:eastAsia="宋体" w:cs="Times New Roman"/>
      <w:sz w:val="18"/>
    </w:rPr>
  </w:style>
  <w:style w:type="character" w:customStyle="1" w:styleId="98">
    <w:name w:val="普通(网站) 字符"/>
    <w:link w:val="24"/>
    <w:qFormat/>
    <w:locked/>
    <w:uiPriority w:val="0"/>
    <w:rPr>
      <w:rFonts w:ascii="宋体" w:hAnsi="宋体" w:eastAsia="宋体" w:cs="Times New Roman"/>
      <w:sz w:val="24"/>
    </w:rPr>
  </w:style>
  <w:style w:type="character" w:customStyle="1" w:styleId="99">
    <w:name w:val="批注主题 字符"/>
    <w:basedOn w:val="84"/>
    <w:link w:val="26"/>
    <w:qFormat/>
    <w:uiPriority w:val="0"/>
    <w:rPr>
      <w:rFonts w:ascii="Times New Roman" w:hAnsi="Times New Roman" w:eastAsia="宋体" w:cs="Times New Roman"/>
      <w:b/>
      <w:sz w:val="24"/>
    </w:rPr>
  </w:style>
  <w:style w:type="character" w:customStyle="1" w:styleId="100">
    <w:name w:val="正文文本首行缩进 字符"/>
    <w:link w:val="27"/>
    <w:qFormat/>
    <w:uiPriority w:val="0"/>
    <w:rPr>
      <w:rFonts w:ascii="Times New Roman" w:hAnsi="Times New Roman" w:eastAsia="宋体" w:cs="Times New Roman"/>
      <w:sz w:val="18"/>
    </w:rPr>
  </w:style>
  <w:style w:type="character" w:customStyle="1" w:styleId="101">
    <w:name w:val="页脚 字符"/>
    <w:qFormat/>
    <w:uiPriority w:val="99"/>
  </w:style>
  <w:style w:type="character" w:customStyle="1" w:styleId="102">
    <w:name w:val="正文文本 字符1"/>
    <w:semiHidden/>
    <w:qFormat/>
    <w:uiPriority w:val="0"/>
    <w:rPr>
      <w:rFonts w:ascii="Times New Roman" w:hAnsi="Times New Roman" w:eastAsia="宋体"/>
      <w:sz w:val="24"/>
    </w:rPr>
  </w:style>
  <w:style w:type="character" w:customStyle="1" w:styleId="103">
    <w:name w:val="表格 Char"/>
    <w:link w:val="71"/>
    <w:qFormat/>
    <w:locked/>
    <w:uiPriority w:val="0"/>
    <w:rPr>
      <w:rFonts w:ascii="宋体" w:hAnsi="Times New Roman" w:eastAsia="宋体" w:cs="Times New Roman"/>
      <w:sz w:val="21"/>
    </w:rPr>
  </w:style>
  <w:style w:type="character" w:customStyle="1" w:styleId="104">
    <w:name w:val="批注文字 字符1"/>
    <w:semiHidden/>
    <w:qFormat/>
    <w:uiPriority w:val="0"/>
    <w:rPr>
      <w:rFonts w:ascii="Times New Roman" w:hAnsi="Times New Roman" w:eastAsia="宋体"/>
      <w:sz w:val="24"/>
    </w:rPr>
  </w:style>
  <w:style w:type="paragraph" w:customStyle="1" w:styleId="10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7">
    <w:name w:val="样式6"/>
    <w:basedOn w:val="1"/>
    <w:qFormat/>
    <w:uiPriority w:val="0"/>
    <w:pPr>
      <w:widowControl/>
      <w:numPr>
        <w:ilvl w:val="0"/>
        <w:numId w:val="2"/>
      </w:numPr>
      <w:tabs>
        <w:tab w:val="left" w:pos="420"/>
        <w:tab w:val="clear" w:pos="432"/>
      </w:tabs>
      <w:spacing w:line="360" w:lineRule="auto"/>
      <w:jc w:val="center"/>
    </w:pPr>
    <w:rPr>
      <w:b/>
      <w:color w:val="000000"/>
      <w:sz w:val="24"/>
      <w:szCs w:val="21"/>
      <w:lang w:val="zh-CN"/>
    </w:rPr>
  </w:style>
  <w:style w:type="paragraph" w:customStyle="1" w:styleId="108">
    <w:name w:val="A表内"/>
    <w:basedOn w:val="1"/>
    <w:qFormat/>
    <w:uiPriority w:val="0"/>
    <w:pPr>
      <w:jc w:val="center"/>
    </w:pPr>
    <w:rPr>
      <w:rFonts w:cs="宋体"/>
      <w:szCs w:val="20"/>
    </w:rPr>
  </w:style>
  <w:style w:type="paragraph" w:customStyle="1" w:styleId="109">
    <w:name w:val="CB表头4"/>
    <w:basedOn w:val="1"/>
    <w:next w:val="1"/>
    <w:qFormat/>
    <w:uiPriority w:val="0"/>
    <w:pPr>
      <w:numPr>
        <w:ilvl w:val="0"/>
        <w:numId w:val="4"/>
      </w:numPr>
      <w:tabs>
        <w:tab w:val="left" w:pos="0"/>
      </w:tabs>
      <w:autoSpaceDE w:val="0"/>
      <w:autoSpaceDN w:val="0"/>
      <w:adjustRightInd w:val="0"/>
      <w:snapToGrid w:val="0"/>
      <w:spacing w:beforeLines="50"/>
      <w:jc w:val="center"/>
    </w:pPr>
    <w:rPr>
      <w:rFonts w:hint="eastAsia"/>
      <w:b/>
      <w:bCs/>
      <w:color w:val="000000"/>
      <w:szCs w:val="18"/>
    </w:rPr>
  </w:style>
  <w:style w:type="paragraph" w:customStyle="1" w:styleId="110">
    <w:name w:val="ECS表格文字"/>
    <w:qFormat/>
    <w:uiPriority w:val="0"/>
    <w:pPr>
      <w:adjustRightInd w:val="0"/>
      <w:snapToGrid w:val="0"/>
      <w:jc w:val="center"/>
    </w:pPr>
    <w:rPr>
      <w:rFonts w:ascii="Times New Roman" w:hAnsi="Times New Roman" w:eastAsia="宋体" w:cs="Times New Roman"/>
      <w:snapToGrid w:val="0"/>
      <w:sz w:val="21"/>
      <w:szCs w:val="24"/>
      <w:lang w:val="en-US" w:eastAsia="zh-CN" w:bidi="ar-SA"/>
    </w:rPr>
  </w:style>
  <w:style w:type="character" w:customStyle="1" w:styleId="111">
    <w:name w:val="常用表头样式 Char"/>
    <w:link w:val="112"/>
    <w:qFormat/>
    <w:uiPriority w:val="0"/>
    <w:rPr>
      <w:rFonts w:eastAsia="黑体"/>
      <w:szCs w:val="18"/>
    </w:rPr>
  </w:style>
  <w:style w:type="paragraph" w:customStyle="1" w:styleId="112">
    <w:name w:val="常用表头样式"/>
    <w:basedOn w:val="27"/>
    <w:link w:val="111"/>
    <w:qFormat/>
    <w:uiPriority w:val="0"/>
    <w:pPr>
      <w:widowControl w:val="0"/>
      <w:overflowPunct w:val="0"/>
      <w:autoSpaceDE w:val="0"/>
      <w:autoSpaceDN w:val="0"/>
      <w:adjustRightInd w:val="0"/>
      <w:spacing w:before="0" w:after="0" w:line="240" w:lineRule="auto"/>
      <w:ind w:right="0" w:firstLine="0" w:firstLineChars="0"/>
      <w:jc w:val="center"/>
      <w:textAlignment w:val="baseline"/>
    </w:pPr>
    <w:rPr>
      <w:rFonts w:eastAsia="黑体" w:asciiTheme="minorHAnsi" w:hAnsiTheme="minorHAnsi" w:cstheme="minorBidi"/>
      <w:sz w:val="20"/>
      <w:szCs w:val="18"/>
    </w:rPr>
  </w:style>
  <w:style w:type="paragraph" w:customStyle="1" w:styleId="113">
    <w:name w:val="表中标题"/>
    <w:basedOn w:val="1"/>
    <w:qFormat/>
    <w:uiPriority w:val="0"/>
    <w:pPr>
      <w:jc w:val="center"/>
    </w:pPr>
    <w:rPr>
      <w:rFonts w:hint="eastAsia"/>
      <w:b/>
      <w:szCs w:val="28"/>
    </w:rPr>
  </w:style>
  <w:style w:type="paragraph" w:customStyle="1" w:styleId="114">
    <w:name w:val="表中正文标题"/>
    <w:basedOn w:val="1"/>
    <w:qFormat/>
    <w:uiPriority w:val="0"/>
    <w:pPr>
      <w:jc w:val="center"/>
    </w:pPr>
    <w:rPr>
      <w:rFonts w:hint="eastAsia"/>
      <w:spacing w:val="4"/>
    </w:rPr>
  </w:style>
  <w:style w:type="paragraph" w:customStyle="1" w:styleId="115">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16">
    <w:name w:val="_Style 73"/>
    <w:basedOn w:val="1"/>
    <w:next w:val="78"/>
    <w:qFormat/>
    <w:uiPriority w:val="99"/>
    <w:pPr>
      <w:adjustRightInd w:val="0"/>
      <w:snapToGrid w:val="0"/>
      <w:spacing w:line="360" w:lineRule="auto"/>
      <w:ind w:firstLine="420" w:firstLineChars="200"/>
      <w:textAlignment w:val="center"/>
    </w:pPr>
    <w:rPr>
      <w:kern w:val="24"/>
      <w:sz w:val="24"/>
      <w:szCs w:val="28"/>
    </w:rPr>
  </w:style>
  <w:style w:type="paragraph" w:customStyle="1" w:styleId="117">
    <w:name w:val="p0"/>
    <w:basedOn w:val="1"/>
    <w:qFormat/>
    <w:uiPriority w:val="0"/>
    <w:pPr>
      <w:widowControl/>
    </w:pPr>
    <w:rPr>
      <w:rFonts w:ascii="宋体"/>
      <w:kern w:val="0"/>
      <w:sz w:val="28"/>
      <w:szCs w:val="28"/>
    </w:rPr>
  </w:style>
  <w:style w:type="paragraph" w:customStyle="1" w:styleId="118">
    <w:name w:val="样式8"/>
    <w:basedOn w:val="1"/>
    <w:next w:val="1"/>
    <w:qFormat/>
    <w:uiPriority w:val="0"/>
    <w:pPr>
      <w:numPr>
        <w:ilvl w:val="0"/>
        <w:numId w:val="5"/>
      </w:numPr>
      <w:spacing w:line="360" w:lineRule="auto"/>
      <w:jc w:val="center"/>
    </w:pPr>
    <w:rPr>
      <w:sz w:val="24"/>
    </w:rPr>
  </w:style>
  <w:style w:type="character" w:customStyle="1" w:styleId="119">
    <w:name w:val="font61"/>
    <w:basedOn w:val="31"/>
    <w:qFormat/>
    <w:uiPriority w:val="0"/>
    <w:rPr>
      <w:rFonts w:hint="eastAsia" w:ascii="宋体" w:hAnsi="宋体" w:eastAsia="宋体" w:cs="宋体"/>
      <w:color w:val="0000FF"/>
      <w:sz w:val="18"/>
      <w:szCs w:val="18"/>
      <w:u w:val="none"/>
    </w:rPr>
  </w:style>
  <w:style w:type="character" w:customStyle="1" w:styleId="120">
    <w:name w:val="font51"/>
    <w:basedOn w:val="31"/>
    <w:qFormat/>
    <w:uiPriority w:val="0"/>
    <w:rPr>
      <w:rFonts w:hint="eastAsia" w:ascii="宋体" w:hAnsi="宋体" w:eastAsia="宋体" w:cs="宋体"/>
      <w:color w:val="000000"/>
      <w:sz w:val="18"/>
      <w:szCs w:val="18"/>
      <w:u w:val="none"/>
    </w:rPr>
  </w:style>
  <w:style w:type="character" w:customStyle="1" w:styleId="121">
    <w:name w:val="font71"/>
    <w:basedOn w:val="31"/>
    <w:qFormat/>
    <w:uiPriority w:val="0"/>
    <w:rPr>
      <w:rFonts w:hint="default" w:ascii="Times New Roman" w:hAnsi="Times New Roman" w:cs="Times New Roman"/>
      <w:color w:val="000000"/>
      <w:sz w:val="18"/>
      <w:szCs w:val="18"/>
      <w:u w:val="none"/>
    </w:rPr>
  </w:style>
  <w:style w:type="character" w:customStyle="1" w:styleId="122">
    <w:name w:val="font81"/>
    <w:basedOn w:val="31"/>
    <w:qFormat/>
    <w:uiPriority w:val="0"/>
    <w:rPr>
      <w:rFonts w:hint="eastAsia" w:ascii="宋体" w:hAnsi="宋体" w:eastAsia="宋体" w:cs="宋体"/>
      <w:b/>
      <w:bCs/>
      <w:color w:val="000000"/>
      <w:sz w:val="18"/>
      <w:szCs w:val="18"/>
      <w:u w:val="none"/>
    </w:rPr>
  </w:style>
  <w:style w:type="character" w:customStyle="1" w:styleId="123">
    <w:name w:val="font91"/>
    <w:basedOn w:val="31"/>
    <w:qFormat/>
    <w:uiPriority w:val="0"/>
    <w:rPr>
      <w:rFonts w:hint="eastAsia" w:ascii="宋体" w:hAnsi="宋体" w:eastAsia="宋体" w:cs="宋体"/>
      <w:b/>
      <w:bCs/>
      <w:color w:val="0000FF"/>
      <w:sz w:val="18"/>
      <w:szCs w:val="18"/>
      <w:u w:val="none"/>
    </w:rPr>
  </w:style>
  <w:style w:type="character" w:customStyle="1" w:styleId="124">
    <w:name w:val="font101"/>
    <w:basedOn w:val="31"/>
    <w:qFormat/>
    <w:uiPriority w:val="0"/>
    <w:rPr>
      <w:rFonts w:hint="default" w:ascii="Times New Roman" w:hAnsi="Times New Roman" w:cs="Times New Roman"/>
      <w:b/>
      <w:bCs/>
      <w:color w:val="000000"/>
      <w:sz w:val="18"/>
      <w:szCs w:val="18"/>
      <w:u w:val="none"/>
    </w:rPr>
  </w:style>
  <w:style w:type="character" w:customStyle="1" w:styleId="125">
    <w:name w:val="fontstyle01"/>
    <w:basedOn w:val="31"/>
    <w:qFormat/>
    <w:uiPriority w:val="0"/>
    <w:rPr>
      <w:rFonts w:ascii="宋体" w:hAnsi="宋体" w:eastAsia="宋体" w:cs="宋体"/>
      <w:color w:val="000000"/>
      <w:sz w:val="22"/>
      <w:szCs w:val="22"/>
    </w:rPr>
  </w:style>
  <w:style w:type="character" w:customStyle="1" w:styleId="126">
    <w:name w:val="fontstyle21"/>
    <w:basedOn w:val="31"/>
    <w:qFormat/>
    <w:uiPriority w:val="0"/>
    <w:rPr>
      <w:rFonts w:ascii="TimesNewRomanPSMT" w:hAnsi="TimesNewRomanPSMT" w:eastAsia="TimesNewRomanPSMT" w:cs="TimesNewRomanPSMT"/>
      <w:color w:val="000000"/>
      <w:sz w:val="22"/>
      <w:szCs w:val="22"/>
    </w:rPr>
  </w:style>
  <w:style w:type="paragraph" w:customStyle="1" w:styleId="127">
    <w:name w:val="表格内字体"/>
    <w:basedOn w:val="1"/>
    <w:qFormat/>
    <w:uiPriority w:val="0"/>
    <w:pPr>
      <w:widowControl/>
      <w:autoSpaceDE w:val="0"/>
      <w:jc w:val="left"/>
    </w:pPr>
    <w:rPr>
      <w:rFonts w:hint="eastAsia"/>
      <w:color w:val="000000"/>
    </w:rPr>
  </w:style>
  <w:style w:type="paragraph" w:customStyle="1" w:styleId="128">
    <w:name w:val="正文 Char Char"/>
    <w:basedOn w:val="1"/>
    <w:qFormat/>
    <w:uiPriority w:val="0"/>
    <w:pPr>
      <w:widowControl/>
      <w:spacing w:line="360" w:lineRule="auto"/>
      <w:ind w:firstLine="200" w:firstLineChars="200"/>
    </w:pPr>
    <w:rPr>
      <w:rFonts w:ascii="宋体" w:hAnsi="宋体"/>
      <w:bCs/>
      <w:kern w:val="0"/>
      <w:sz w:val="24"/>
    </w:rPr>
  </w:style>
  <w:style w:type="character" w:customStyle="1" w:styleId="129">
    <w:name w:val="font11"/>
    <w:basedOn w:val="31"/>
    <w:qFormat/>
    <w:uiPriority w:val="0"/>
    <w:rPr>
      <w:rFonts w:hint="eastAsia" w:ascii="宋体" w:hAnsi="宋体" w:eastAsia="宋体" w:cs="宋体"/>
      <w:color w:val="D20DFE"/>
      <w:sz w:val="21"/>
      <w:szCs w:val="21"/>
      <w:u w:val="none"/>
    </w:rPr>
  </w:style>
  <w:style w:type="character" w:customStyle="1" w:styleId="130">
    <w:name w:val="font21"/>
    <w:basedOn w:val="31"/>
    <w:qFormat/>
    <w:uiPriority w:val="0"/>
    <w:rPr>
      <w:rFonts w:hint="default" w:ascii="Times New Roman" w:hAnsi="Times New Roman" w:cs="Times New Roman"/>
      <w:color w:val="D20DFE"/>
      <w:sz w:val="21"/>
      <w:szCs w:val="21"/>
      <w:u w:val="none"/>
    </w:rPr>
  </w:style>
  <w:style w:type="paragraph" w:customStyle="1" w:styleId="131">
    <w:name w:val="样式 首行缩进:  0.85 厘米"/>
    <w:basedOn w:val="1"/>
    <w:qFormat/>
    <w:uiPriority w:val="0"/>
    <w:pPr>
      <w:widowControl/>
      <w:spacing w:line="360" w:lineRule="auto"/>
      <w:ind w:firstLine="504" w:firstLineChars="200"/>
      <w:jc w:val="left"/>
    </w:pPr>
    <w:rPr>
      <w:rFonts w:cs="宋体"/>
      <w:kern w:val="0"/>
      <w:sz w:val="24"/>
      <w:szCs w:val="20"/>
    </w:rPr>
  </w:style>
  <w:style w:type="paragraph" w:customStyle="1" w:styleId="132">
    <w:name w:val="5段落"/>
    <w:basedOn w:val="1"/>
    <w:qFormat/>
    <w:uiPriority w:val="0"/>
    <w:pPr>
      <w:spacing w:line="360" w:lineRule="auto"/>
      <w:ind w:firstLine="480" w:firstLineChars="200"/>
    </w:pPr>
    <w:rPr>
      <w:color w:val="000000"/>
      <w:sz w:val="24"/>
    </w:rPr>
  </w:style>
  <w:style w:type="paragraph" w:customStyle="1" w:styleId="133">
    <w:name w:val="正文内容"/>
    <w:basedOn w:val="1"/>
    <w:qFormat/>
    <w:uiPriority w:val="0"/>
    <w:pPr>
      <w:spacing w:line="360" w:lineRule="auto"/>
      <w:ind w:firstLine="480" w:firstLineChars="200"/>
    </w:pPr>
    <w:rPr>
      <w:sz w:val="24"/>
      <w:szCs w:val="22"/>
    </w:rPr>
  </w:style>
  <w:style w:type="paragraph" w:customStyle="1" w:styleId="134">
    <w:name w:val="6标题-表头"/>
    <w:basedOn w:val="1"/>
    <w:next w:val="132"/>
    <w:qFormat/>
    <w:uiPriority w:val="0"/>
    <w:pPr>
      <w:numPr>
        <w:ilvl w:val="4"/>
        <w:numId w:val="6"/>
      </w:numPr>
      <w:tabs>
        <w:tab w:val="left" w:pos="1369"/>
      </w:tabs>
      <w:spacing w:line="360" w:lineRule="auto"/>
      <w:ind w:left="0"/>
      <w:jc w:val="center"/>
    </w:pPr>
    <w:rPr>
      <w:b/>
      <w:sz w:val="24"/>
    </w:rPr>
  </w:style>
  <w:style w:type="paragraph" w:customStyle="1" w:styleId="135">
    <w:name w:val="8表格后段落"/>
    <w:basedOn w:val="132"/>
    <w:qFormat/>
    <w:uiPriority w:val="0"/>
    <w:pPr>
      <w:spacing w:before="156" w:beforeLines="50"/>
    </w:pPr>
  </w:style>
  <w:style w:type="paragraph" w:customStyle="1" w:styleId="136">
    <w:name w:val="表的标题"/>
    <w:basedOn w:val="1"/>
    <w:next w:val="1"/>
    <w:qFormat/>
    <w:uiPriority w:val="0"/>
    <w:pPr>
      <w:adjustRightInd w:val="0"/>
      <w:snapToGrid w:val="0"/>
      <w:spacing w:beforeLines="50" w:after="100" w:afterAutospacing="1"/>
      <w:jc w:val="center"/>
    </w:pPr>
    <w:rPr>
      <w:rFonts w:eastAsia="黑体"/>
      <w:szCs w:val="21"/>
    </w:rPr>
  </w:style>
  <w:style w:type="paragraph" w:customStyle="1" w:styleId="137">
    <w:name w:val="正文样式"/>
    <w:basedOn w:val="1"/>
    <w:qFormat/>
    <w:uiPriority w:val="0"/>
    <w:pPr>
      <w:adjustRightInd w:val="0"/>
      <w:spacing w:line="360" w:lineRule="auto"/>
      <w:ind w:firstLine="824" w:firstLineChars="200"/>
    </w:pPr>
    <w:rPr>
      <w:kern w:val="0"/>
      <w:sz w:val="24"/>
      <w:szCs w:val="20"/>
    </w:rPr>
  </w:style>
  <w:style w:type="paragraph" w:customStyle="1" w:styleId="138">
    <w:name w:val="表格的格式"/>
    <w:basedOn w:val="1"/>
    <w:qFormat/>
    <w:uiPriority w:val="0"/>
    <w:pPr>
      <w:jc w:val="center"/>
    </w:pPr>
    <w:rPr>
      <w:kern w:val="0"/>
      <w:szCs w:val="21"/>
    </w:rPr>
  </w:style>
  <w:style w:type="paragraph" w:customStyle="1" w:styleId="139">
    <w:name w:val="4.2.1.1"/>
    <w:qFormat/>
    <w:uiPriority w:val="0"/>
    <w:pPr>
      <w:outlineLvl w:val="2"/>
    </w:pPr>
    <w:rPr>
      <w:rFonts w:ascii="Times New Roman" w:hAnsi="Times New Roman" w:eastAsia="宋体" w:cs="Times New Roman"/>
      <w:b/>
      <w:sz w:val="24"/>
      <w:lang w:val="en-US" w:eastAsia="zh-CN" w:bidi="ar-SA"/>
    </w:rPr>
  </w:style>
  <w:style w:type="paragraph" w:customStyle="1" w:styleId="140">
    <w:name w:val="表"/>
    <w:basedOn w:val="13"/>
    <w:qFormat/>
    <w:uiPriority w:val="0"/>
    <w:pPr>
      <w:numPr>
        <w:ilvl w:val="0"/>
        <w:numId w:val="7"/>
      </w:numPr>
      <w:adjustRightInd w:val="0"/>
      <w:spacing w:after="0" w:line="240" w:lineRule="auto"/>
      <w:jc w:val="center"/>
    </w:pPr>
    <w:rPr>
      <w:rFonts w:eastAsia="仿宋_GB2312"/>
      <w:sz w:val="24"/>
      <w:szCs w:val="24"/>
    </w:rPr>
  </w:style>
  <w:style w:type="paragraph" w:customStyle="1" w:styleId="141">
    <w:name w:val="表格格式"/>
    <w:basedOn w:val="1"/>
    <w:qFormat/>
    <w:uiPriority w:val="0"/>
    <w:pPr>
      <w:jc w:val="center"/>
    </w:pPr>
    <w:rPr>
      <w:szCs w:val="21"/>
    </w:rPr>
  </w:style>
  <w:style w:type="paragraph" w:customStyle="1" w:styleId="142">
    <w:name w:val="报告书正文"/>
    <w:basedOn w:val="1"/>
    <w:qFormat/>
    <w:uiPriority w:val="0"/>
    <w:pPr>
      <w:adjustRightInd w:val="0"/>
      <w:snapToGrid w:val="0"/>
      <w:spacing w:line="360" w:lineRule="auto"/>
      <w:ind w:firstLine="425"/>
      <w:textAlignment w:val="baseline"/>
    </w:pPr>
    <w:rPr>
      <w:rFonts w:ascii="Arial" w:hAnsi="Arial"/>
    </w:rPr>
  </w:style>
  <w:style w:type="character" w:customStyle="1" w:styleId="143">
    <w:name w:val="font31"/>
    <w:basedOn w:val="31"/>
    <w:qFormat/>
    <w:uiPriority w:val="0"/>
    <w:rPr>
      <w:rFonts w:hint="default" w:ascii="Times New Roman" w:hAnsi="Times New Roman" w:cs="Times New Roman"/>
      <w:color w:val="000000"/>
      <w:sz w:val="18"/>
      <w:szCs w:val="18"/>
      <w:u w:val="none"/>
      <w:vertAlign w:val="superscript"/>
    </w:rPr>
  </w:style>
  <w:style w:type="character" w:customStyle="1" w:styleId="144">
    <w:name w:val="fontstyle11"/>
    <w:basedOn w:val="31"/>
    <w:qFormat/>
    <w:uiPriority w:val="0"/>
    <w:rPr>
      <w:rFonts w:ascii="宋体" w:hAnsi="宋体" w:eastAsia="宋体" w:cs="宋体"/>
      <w:color w:val="000000"/>
      <w:sz w:val="24"/>
      <w:szCs w:val="24"/>
    </w:rPr>
  </w:style>
  <w:style w:type="character" w:customStyle="1" w:styleId="145">
    <w:name w:val="fontstyle31"/>
    <w:basedOn w:val="31"/>
    <w:qFormat/>
    <w:uiPriority w:val="0"/>
    <w:rPr>
      <w:rFonts w:ascii="TimesNewRomanPSMT" w:hAnsi="TimesNewRomanPSMT" w:eastAsia="TimesNewRomanPSMT" w:cs="TimesNewRomanPSMT"/>
      <w:color w:val="000000"/>
      <w:sz w:val="24"/>
      <w:szCs w:val="24"/>
    </w:rPr>
  </w:style>
  <w:style w:type="character" w:customStyle="1" w:styleId="146">
    <w:name w:val="fontstyle41"/>
    <w:basedOn w:val="31"/>
    <w:qFormat/>
    <w:uiPriority w:val="0"/>
    <w:rPr>
      <w:rFonts w:ascii="楷体" w:hAnsi="楷体" w:eastAsia="楷体" w:cs="楷体"/>
      <w:color w:val="000000"/>
      <w:sz w:val="18"/>
      <w:szCs w:val="18"/>
    </w:rPr>
  </w:style>
  <w:style w:type="character" w:customStyle="1" w:styleId="147">
    <w:name w:val="font41"/>
    <w:basedOn w:val="31"/>
    <w:qFormat/>
    <w:uiPriority w:val="0"/>
    <w:rPr>
      <w:rFonts w:hint="eastAsia" w:ascii="宋体" w:hAnsi="宋体" w:eastAsia="宋体" w:cs="宋体"/>
      <w:color w:val="000000"/>
      <w:sz w:val="18"/>
      <w:szCs w:val="18"/>
      <w:u w:val="none"/>
    </w:rPr>
  </w:style>
  <w:style w:type="character" w:customStyle="1" w:styleId="148">
    <w:name w:val="font01"/>
    <w:basedOn w:val="31"/>
    <w:qFormat/>
    <w:uiPriority w:val="0"/>
    <w:rPr>
      <w:rFonts w:hint="eastAsia" w:ascii="宋体" w:hAnsi="宋体" w:eastAsia="宋体" w:cs="宋体"/>
      <w:color w:val="000000"/>
      <w:sz w:val="22"/>
      <w:szCs w:val="22"/>
      <w:u w:val="none"/>
    </w:rPr>
  </w:style>
  <w:style w:type="paragraph" w:customStyle="1" w:styleId="149">
    <w:name w:val="正文1"/>
    <w:basedOn w:val="14"/>
    <w:qFormat/>
    <w:uiPriority w:val="0"/>
    <w:pPr>
      <w:ind w:firstLine="200" w:firstLineChars="200"/>
    </w:pPr>
    <w:rPr>
      <w:rFonts w:cs="宋体"/>
    </w:rPr>
  </w:style>
  <w:style w:type="paragraph" w:customStyle="1" w:styleId="150">
    <w:name w:val="常用"/>
    <w:basedOn w:val="1"/>
    <w:qFormat/>
    <w:uiPriority w:val="0"/>
    <w:pPr>
      <w:widowControl/>
      <w:spacing w:line="360" w:lineRule="auto"/>
      <w:ind w:firstLine="200" w:firstLineChars="200"/>
      <w:jc w:val="left"/>
    </w:pPr>
    <w:rPr>
      <w:rFonts w:ascii="宋体" w:hAnsi="宋体"/>
      <w:kern w:val="0"/>
      <w:szCs w:val="28"/>
    </w:rPr>
  </w:style>
  <w:style w:type="paragraph" w:customStyle="1" w:styleId="151">
    <w:name w:val="表格固定文字"/>
    <w:basedOn w:val="1"/>
    <w:qFormat/>
    <w:uiPriority w:val="0"/>
  </w:style>
  <w:style w:type="paragraph" w:customStyle="1" w:styleId="152">
    <w:name w:val="②表格内文字"/>
    <w:basedOn w:val="1"/>
    <w:qFormat/>
    <w:uiPriority w:val="0"/>
    <w:pPr>
      <w:jc w:val="center"/>
    </w:pPr>
    <w:rPr>
      <w:color w:val="000000"/>
      <w:szCs w:val="21"/>
    </w:rPr>
  </w:style>
  <w:style w:type="paragraph" w:customStyle="1" w:styleId="153">
    <w:name w:val="5文章(治)"/>
    <w:basedOn w:val="1"/>
    <w:qFormat/>
    <w:uiPriority w:val="0"/>
    <w:pPr>
      <w:spacing w:line="360" w:lineRule="auto"/>
      <w:ind w:firstLine="560" w:firstLineChars="200"/>
    </w:pPr>
    <w:rPr>
      <w:sz w:val="24"/>
      <w:szCs w:val="20"/>
    </w:rPr>
  </w:style>
  <w:style w:type="paragraph" w:customStyle="1" w:styleId="154">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155">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56">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57">
    <w:name w:val="xry表格文字"/>
    <w:basedOn w:val="158"/>
    <w:qFormat/>
    <w:uiPriority w:val="0"/>
    <w:pPr>
      <w:wordWrap/>
      <w:overflowPunct/>
      <w:topLinePunct w:val="0"/>
      <w:adjustRightInd/>
      <w:spacing w:line="240" w:lineRule="auto"/>
      <w:jc w:val="center"/>
    </w:pPr>
    <w:rPr>
      <w:rFonts w:ascii="Times New Roman" w:hAnsi="Times New Roman"/>
      <w:kern w:val="2"/>
      <w:sz w:val="21"/>
      <w:szCs w:val="24"/>
    </w:rPr>
  </w:style>
  <w:style w:type="paragraph" w:styleId="158">
    <w:name w:val="No Spacing"/>
    <w:qFormat/>
    <w:uiPriority w:val="1"/>
    <w:pPr>
      <w:ind w:firstLine="200" w:firstLineChars="200"/>
      <w:jc w:val="both"/>
    </w:pPr>
    <w:rPr>
      <w:rFonts w:ascii="Times New Roman" w:hAnsi="Times New Roman" w:eastAsia="宋体" w:cs="Times New Roman"/>
      <w:sz w:val="24"/>
      <w:lang w:val="en-US" w:eastAsia="zh-CN" w:bidi="ar-SA"/>
    </w:rPr>
  </w:style>
  <w:style w:type="paragraph" w:customStyle="1" w:styleId="159">
    <w:name w:val="表格文字"/>
    <w:basedOn w:val="160"/>
    <w:next w:val="1"/>
    <w:autoRedefine/>
    <w:qFormat/>
    <w:uiPriority w:val="0"/>
    <w:pPr>
      <w:snapToGrid/>
      <w:spacing w:line="240" w:lineRule="auto"/>
      <w:ind w:left="0" w:leftChars="0" w:firstLine="0" w:firstLineChars="0"/>
      <w:jc w:val="center"/>
    </w:pPr>
    <w:rPr>
      <w:rFonts w:ascii="Times New Roman" w:hAnsi="Times New Roman" w:eastAsia="宋体"/>
      <w:sz w:val="21"/>
    </w:rPr>
  </w:style>
  <w:style w:type="paragraph" w:customStyle="1" w:styleId="160">
    <w:name w:val="表头"/>
    <w:basedOn w:val="161"/>
    <w:next w:val="1"/>
    <w:qFormat/>
    <w:uiPriority w:val="0"/>
    <w:pPr>
      <w:spacing w:line="240" w:lineRule="auto"/>
      <w:ind w:firstLine="0" w:firstLineChars="0"/>
      <w:jc w:val="center"/>
    </w:pPr>
    <w:rPr>
      <w:rFonts w:ascii="Times New Roman" w:hAnsi="Times New Roman" w:eastAsia="宋体"/>
      <w:b/>
      <w:bCs/>
      <w:sz w:val="21"/>
      <w:szCs w:val="21"/>
    </w:rPr>
  </w:style>
  <w:style w:type="paragraph" w:customStyle="1" w:styleId="161">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62">
    <w:name w:val="Table Text"/>
    <w:basedOn w:val="1"/>
    <w:semiHidden/>
    <w:qFormat/>
    <w:uiPriority w:val="0"/>
    <w:rPr>
      <w:rFonts w:ascii="宋体" w:hAnsi="宋体" w:eastAsia="宋体" w:cs="宋体"/>
      <w:sz w:val="20"/>
      <w:szCs w:val="20"/>
      <w:lang w:val="en-US" w:eastAsia="en-US" w:bidi="ar-SA"/>
    </w:rPr>
  </w:style>
  <w:style w:type="paragraph" w:customStyle="1" w:styleId="163">
    <w:name w:val="zhang正文"/>
    <w:basedOn w:val="14"/>
    <w:next w:val="1"/>
    <w:qFormat/>
    <w:uiPriority w:val="0"/>
    <w:pPr>
      <w:autoSpaceDE w:val="0"/>
      <w:autoSpaceDN w:val="0"/>
      <w:adjustRightInd w:val="0"/>
      <w:snapToGrid w:val="0"/>
      <w:spacing w:line="500" w:lineRule="exact"/>
      <w:ind w:firstLine="539"/>
      <w:textAlignment w:val="baseline"/>
    </w:pPr>
    <w:rPr>
      <w:rFonts w:eastAsia="楷体_GB2312"/>
      <w:sz w:val="20"/>
    </w:rPr>
  </w:style>
  <w:style w:type="paragraph" w:customStyle="1" w:styleId="164">
    <w:name w:val="第3级标题"/>
    <w:basedOn w:val="4"/>
    <w:next w:val="1"/>
    <w:autoRedefine/>
    <w:qFormat/>
    <w:uiPriority w:val="0"/>
    <w:pPr>
      <w:tabs>
        <w:tab w:val="left" w:pos="432"/>
        <w:tab w:val="left" w:pos="720"/>
      </w:tabs>
      <w:spacing w:before="100" w:beforeAutospacing="1" w:after="100" w:afterAutospacing="1" w:line="480" w:lineRule="exact"/>
      <w:ind w:left="720" w:hanging="720"/>
    </w:pPr>
    <w:rPr>
      <w:rFonts w:eastAsia="华文中宋"/>
      <w:bCs w:val="0"/>
      <w:kern w:val="0"/>
      <w:sz w:val="30"/>
      <w:szCs w:val="30"/>
    </w:rPr>
  </w:style>
  <w:style w:type="paragraph" w:customStyle="1" w:styleId="165">
    <w:name w:val="123正文"/>
    <w:basedOn w:val="1"/>
    <w:autoRedefine/>
    <w:qFormat/>
    <w:uiPriority w:val="0"/>
    <w:pPr>
      <w:snapToGrid w:val="0"/>
      <w:spacing w:line="360" w:lineRule="auto"/>
      <w:ind w:firstLine="480" w:firstLineChars="200"/>
    </w:pPr>
    <w:rPr>
      <w:color w:val="0000FF"/>
      <w:sz w:val="24"/>
      <w:lang w:val="zh-CN"/>
    </w:rPr>
  </w:style>
  <w:style w:type="paragraph" w:customStyle="1" w:styleId="166">
    <w:name w:val="金皇-正文"/>
    <w:basedOn w:val="1"/>
    <w:autoRedefine/>
    <w:qFormat/>
    <w:uiPriority w:val="0"/>
    <w:pPr>
      <w:ind w:firstLine="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emf"/><Relationship Id="rId16" Type="http://schemas.openxmlformats.org/officeDocument/2006/relationships/oleObject" Target="embeddings/oleObject2.bin"/><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lnDef>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129</Pages>
  <Words>722</Words>
  <Characters>813</Characters>
  <Lines>1</Lines>
  <Paragraphs>1</Paragraphs>
  <TotalTime>5</TotalTime>
  <ScaleCrop>false</ScaleCrop>
  <LinksUpToDate>false</LinksUpToDate>
  <CharactersWithSpaces>948</CharactersWithSpaces>
  <Application>WPS Office_12.8.2.1116_F1E327BC-269C-435d-A152-05C5408002CA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2023-06-14T10:37:00Z</dcterms:created>
  <dc:creator>夏末秋凉</dc:creator>
  <cp:lastModifiedBy>user</cp:lastModifiedBy>
  <cp:lastPrinted>2025-11-23T17:01:00Z</cp:lastPrinted>
  <dcterms:modified xsi:type="dcterms:W3CDTF">2026-03-11T17:12:36Z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2052-12.8.2.1116</vt:lpwstr>
  </property>
  <property fmtid="{D5CDD505-2E9C-101B-9397-08002B2CF9AE}" pid="3" name="ICV">
    <vt:lpwstr>1DD6B033E9F14BB68C5E00CF8B28DD0B_13</vt:lpwstr>
  </property>
  <property fmtid="{D5CDD505-2E9C-101B-9397-08002B2CF9AE}" pid="4" name="KSOTemplateDocerSaveRecord">
    <vt:lpwstr>eyJoZGlkIjoiYTk2MzE2OGU5M2EzYmRlMjRjMTVmZjcyZGNjNmY1OGQiLCJ1c2VySWQiOiI3MDQ0ODAyMDgifQ==</vt:lpwstr>
  </property>
</Properties>
</file>