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CF44F">
      <w:pPr>
        <w:pStyle w:val="14"/>
        <w:rPr>
          <w:rFonts w:hint="eastAsia" w:eastAsiaTheme="minorEastAsia"/>
          <w:color w:val="auto"/>
          <w:lang w:val="en-US" w:eastAsia="zh-CN"/>
        </w:rPr>
      </w:pPr>
    </w:p>
    <w:p w14:paraId="3EC259EC">
      <w:pPr>
        <w:pStyle w:val="14"/>
        <w:rPr>
          <w:rFonts w:hint="eastAsia" w:eastAsiaTheme="minorEastAsia"/>
          <w:color w:val="auto"/>
          <w:lang w:val="en-US" w:eastAsia="zh-CN"/>
        </w:rPr>
      </w:pPr>
    </w:p>
    <w:p w14:paraId="7B105020">
      <w:pPr>
        <w:pStyle w:val="14"/>
        <w:rPr>
          <w:color w:val="auto"/>
        </w:rPr>
      </w:pPr>
    </w:p>
    <w:p w14:paraId="0B6F7E6F">
      <w:pPr>
        <w:pStyle w:val="14"/>
        <w:rPr>
          <w:color w:val="auto"/>
        </w:rPr>
      </w:pPr>
    </w:p>
    <w:p w14:paraId="46653F06">
      <w:pPr>
        <w:pStyle w:val="14"/>
        <w:jc w:val="center"/>
        <w:outlineLvl w:val="0"/>
        <w:rPr>
          <w:color w:val="auto"/>
        </w:rPr>
      </w:pPr>
      <w:r>
        <w:rPr>
          <w:b/>
          <w:color w:val="auto"/>
          <w:sz w:val="48"/>
        </w:rPr>
        <w:t>福建省政府采购项目</w:t>
      </w:r>
    </w:p>
    <w:p w14:paraId="277A2C57">
      <w:pPr>
        <w:pStyle w:val="14"/>
        <w:jc w:val="center"/>
        <w:outlineLvl w:val="0"/>
        <w:rPr>
          <w:b/>
          <w:color w:val="auto"/>
          <w:sz w:val="48"/>
        </w:rPr>
      </w:pPr>
      <w:r>
        <w:rPr>
          <w:b/>
          <w:color w:val="auto"/>
          <w:sz w:val="48"/>
        </w:rPr>
        <w:t>竞争性磋商文件</w:t>
      </w:r>
    </w:p>
    <w:p w14:paraId="04EF15F5">
      <w:pPr>
        <w:pStyle w:val="14"/>
        <w:jc w:val="center"/>
        <w:outlineLvl w:val="0"/>
        <w:rPr>
          <w:b/>
          <w:color w:val="auto"/>
          <w:sz w:val="48"/>
        </w:rPr>
      </w:pPr>
    </w:p>
    <w:p w14:paraId="50857543">
      <w:pPr>
        <w:pStyle w:val="14"/>
        <w:jc w:val="center"/>
        <w:outlineLvl w:val="0"/>
        <w:rPr>
          <w:b/>
          <w:color w:val="auto"/>
          <w:sz w:val="48"/>
        </w:rPr>
      </w:pPr>
    </w:p>
    <w:p w14:paraId="305DD41A">
      <w:pPr>
        <w:pStyle w:val="14"/>
        <w:jc w:val="center"/>
        <w:outlineLvl w:val="0"/>
        <w:rPr>
          <w:b/>
          <w:color w:val="auto"/>
          <w:sz w:val="48"/>
        </w:rPr>
      </w:pPr>
    </w:p>
    <w:p w14:paraId="0C7757DE">
      <w:pPr>
        <w:pStyle w:val="14"/>
        <w:jc w:val="center"/>
        <w:outlineLvl w:val="2"/>
        <w:rPr>
          <w:rFonts w:hint="eastAsia" w:eastAsiaTheme="minorEastAsia"/>
          <w:color w:val="auto"/>
          <w:lang w:eastAsia="zh-CN"/>
        </w:rPr>
      </w:pPr>
      <w:r>
        <w:rPr>
          <w:b/>
          <w:color w:val="auto"/>
          <w:sz w:val="28"/>
        </w:rPr>
        <w:t>项目名称：</w:t>
      </w:r>
      <w:r>
        <w:rPr>
          <w:rFonts w:hint="eastAsia"/>
          <w:b/>
          <w:color w:val="auto"/>
          <w:sz w:val="28"/>
          <w:lang w:eastAsia="zh-CN"/>
        </w:rPr>
        <w:t>大田七中运动场提升改造工程</w:t>
      </w:r>
    </w:p>
    <w:p w14:paraId="25309070">
      <w:pPr>
        <w:pStyle w:val="14"/>
        <w:jc w:val="center"/>
        <w:outlineLvl w:val="2"/>
        <w:rPr>
          <w:rFonts w:hint="eastAsia" w:eastAsiaTheme="minorEastAsia"/>
          <w:color w:val="auto"/>
          <w:lang w:eastAsia="zh-CN"/>
        </w:rPr>
      </w:pPr>
      <w:r>
        <w:rPr>
          <w:b/>
          <w:color w:val="auto"/>
          <w:sz w:val="28"/>
        </w:rPr>
        <w:t>备案编号：</w:t>
      </w:r>
      <w:r>
        <w:rPr>
          <w:rFonts w:hint="eastAsia"/>
          <w:b/>
          <w:color w:val="auto"/>
          <w:sz w:val="28"/>
          <w:lang w:eastAsia="zh-CN"/>
        </w:rPr>
        <w:t>CGXM-2024-350425-01020[2024]00956（</w:t>
      </w:r>
      <w:r>
        <w:rPr>
          <w:rFonts w:hint="eastAsia"/>
          <w:b/>
          <w:color w:val="auto"/>
          <w:sz w:val="28"/>
          <w:lang w:val="en-US" w:eastAsia="zh-CN"/>
        </w:rPr>
        <w:t>待系统生成</w:t>
      </w:r>
      <w:r>
        <w:rPr>
          <w:rFonts w:hint="eastAsia"/>
          <w:b/>
          <w:color w:val="auto"/>
          <w:sz w:val="28"/>
          <w:lang w:eastAsia="zh-CN"/>
        </w:rPr>
        <w:t>）</w:t>
      </w:r>
    </w:p>
    <w:p w14:paraId="3AEDFC81">
      <w:pPr>
        <w:pStyle w:val="14"/>
        <w:jc w:val="center"/>
        <w:outlineLvl w:val="2"/>
        <w:rPr>
          <w:rFonts w:hint="eastAsia"/>
          <w:b/>
          <w:color w:val="auto"/>
          <w:sz w:val="28"/>
          <w:lang w:eastAsia="zh-CN"/>
        </w:rPr>
      </w:pPr>
      <w:r>
        <w:rPr>
          <w:b/>
          <w:color w:val="auto"/>
          <w:sz w:val="28"/>
        </w:rPr>
        <w:t>项目编号：</w:t>
      </w:r>
      <w:r>
        <w:rPr>
          <w:rFonts w:hint="eastAsia"/>
          <w:b/>
          <w:color w:val="auto"/>
          <w:sz w:val="28"/>
          <w:lang w:eastAsia="zh-CN"/>
        </w:rPr>
        <w:t>[350425]FJMJ[CS]2024003</w:t>
      </w:r>
      <w:r>
        <w:rPr>
          <w:rFonts w:hint="eastAsia" w:eastAsia="宋体"/>
          <w:b/>
          <w:color w:val="auto"/>
          <w:sz w:val="28"/>
          <w:lang w:eastAsia="zh-CN"/>
        </w:rPr>
        <w:t>（</w:t>
      </w:r>
      <w:r>
        <w:rPr>
          <w:rFonts w:hint="eastAsia" w:ascii="Times New Roman" w:eastAsia="宋体"/>
          <w:b/>
          <w:color w:val="auto"/>
          <w:sz w:val="28"/>
          <w:lang w:val="en-US" w:eastAsia="zh-CN"/>
        </w:rPr>
        <w:t>待系统生成</w:t>
      </w:r>
      <w:r>
        <w:rPr>
          <w:rFonts w:hint="eastAsia" w:eastAsia="宋体"/>
          <w:b/>
          <w:color w:val="auto"/>
          <w:sz w:val="28"/>
          <w:lang w:eastAsia="zh-CN"/>
        </w:rPr>
        <w:t>）</w:t>
      </w:r>
    </w:p>
    <w:p w14:paraId="0C93ADC5">
      <w:pPr>
        <w:pStyle w:val="14"/>
        <w:jc w:val="center"/>
        <w:outlineLvl w:val="2"/>
        <w:rPr>
          <w:rFonts w:hint="eastAsia"/>
          <w:b/>
          <w:color w:val="auto"/>
          <w:sz w:val="28"/>
          <w:lang w:eastAsia="zh-CN"/>
        </w:rPr>
      </w:pPr>
    </w:p>
    <w:p w14:paraId="00045E41">
      <w:pPr>
        <w:pStyle w:val="14"/>
        <w:jc w:val="center"/>
        <w:outlineLvl w:val="2"/>
        <w:rPr>
          <w:rFonts w:hint="eastAsia"/>
          <w:b/>
          <w:color w:val="auto"/>
          <w:sz w:val="28"/>
          <w:lang w:eastAsia="zh-CN"/>
        </w:rPr>
      </w:pPr>
    </w:p>
    <w:p w14:paraId="6BF82A4B">
      <w:pPr>
        <w:pStyle w:val="14"/>
        <w:jc w:val="center"/>
        <w:outlineLvl w:val="2"/>
        <w:rPr>
          <w:rFonts w:hint="eastAsia"/>
          <w:b/>
          <w:color w:val="auto"/>
          <w:sz w:val="28"/>
          <w:lang w:eastAsia="zh-CN"/>
        </w:rPr>
      </w:pPr>
    </w:p>
    <w:p w14:paraId="61EA228D">
      <w:pPr>
        <w:pStyle w:val="14"/>
        <w:jc w:val="center"/>
        <w:outlineLvl w:val="2"/>
        <w:rPr>
          <w:rFonts w:hint="eastAsia"/>
          <w:b/>
          <w:color w:val="auto"/>
          <w:sz w:val="28"/>
          <w:lang w:eastAsia="zh-CN"/>
        </w:rPr>
      </w:pPr>
    </w:p>
    <w:p w14:paraId="4059C6DD">
      <w:pPr>
        <w:pStyle w:val="14"/>
        <w:jc w:val="center"/>
        <w:outlineLvl w:val="2"/>
        <w:rPr>
          <w:rFonts w:hint="eastAsia"/>
          <w:b/>
          <w:color w:val="auto"/>
          <w:sz w:val="28"/>
          <w:lang w:eastAsia="zh-CN"/>
        </w:rPr>
      </w:pPr>
      <w:r>
        <w:rPr>
          <w:b/>
          <w:color w:val="auto"/>
          <w:sz w:val="28"/>
        </w:rPr>
        <w:t>采购人：</w:t>
      </w:r>
      <w:r>
        <w:rPr>
          <w:rFonts w:hint="eastAsia"/>
          <w:b/>
          <w:color w:val="auto"/>
          <w:sz w:val="28"/>
          <w:lang w:eastAsia="zh-CN"/>
        </w:rPr>
        <w:t>大田县第七中学</w:t>
      </w:r>
    </w:p>
    <w:p w14:paraId="5A8ED4D5">
      <w:pPr>
        <w:pStyle w:val="14"/>
        <w:jc w:val="center"/>
        <w:outlineLvl w:val="2"/>
        <w:rPr>
          <w:rFonts w:hint="eastAsia"/>
          <w:b/>
          <w:color w:val="auto"/>
          <w:sz w:val="28"/>
          <w:lang w:eastAsia="zh-CN"/>
        </w:rPr>
      </w:pPr>
    </w:p>
    <w:p w14:paraId="35FCB347">
      <w:pPr>
        <w:pStyle w:val="14"/>
        <w:jc w:val="center"/>
        <w:outlineLvl w:val="2"/>
        <w:rPr>
          <w:rFonts w:hint="eastAsia"/>
          <w:b/>
          <w:color w:val="auto"/>
          <w:sz w:val="28"/>
          <w:lang w:eastAsia="zh-CN"/>
        </w:rPr>
      </w:pPr>
      <w:r>
        <w:rPr>
          <w:b/>
          <w:color w:val="auto"/>
          <w:sz w:val="28"/>
        </w:rPr>
        <w:t>代理机构：</w:t>
      </w:r>
      <w:r>
        <w:rPr>
          <w:rFonts w:hint="eastAsia"/>
          <w:b/>
          <w:color w:val="auto"/>
          <w:sz w:val="28"/>
          <w:lang w:eastAsia="zh-CN"/>
        </w:rPr>
        <w:t>福建省明建工程咨询有限公司</w:t>
      </w:r>
    </w:p>
    <w:p w14:paraId="70E9A30E">
      <w:pPr>
        <w:pStyle w:val="14"/>
        <w:jc w:val="center"/>
        <w:outlineLvl w:val="2"/>
        <w:rPr>
          <w:rFonts w:hint="eastAsia"/>
          <w:b/>
          <w:color w:val="auto"/>
          <w:sz w:val="28"/>
          <w:lang w:eastAsia="zh-CN"/>
        </w:rPr>
      </w:pPr>
    </w:p>
    <w:p w14:paraId="26C673FD">
      <w:pPr>
        <w:pStyle w:val="14"/>
        <w:jc w:val="center"/>
        <w:outlineLvl w:val="2"/>
        <w:rPr>
          <w:rFonts w:hint="eastAsia"/>
          <w:b/>
          <w:color w:val="auto"/>
          <w:sz w:val="28"/>
          <w:lang w:eastAsia="zh-CN"/>
        </w:rPr>
      </w:pPr>
    </w:p>
    <w:p w14:paraId="095FACDF">
      <w:pPr>
        <w:pStyle w:val="14"/>
        <w:jc w:val="center"/>
        <w:outlineLvl w:val="2"/>
        <w:rPr>
          <w:rFonts w:hint="eastAsia"/>
          <w:b/>
          <w:color w:val="auto"/>
          <w:sz w:val="28"/>
          <w:lang w:eastAsia="zh-CN"/>
        </w:rPr>
      </w:pPr>
    </w:p>
    <w:p w14:paraId="329BA98E">
      <w:pPr>
        <w:pStyle w:val="14"/>
        <w:jc w:val="center"/>
        <w:outlineLvl w:val="2"/>
        <w:rPr>
          <w:rFonts w:hint="eastAsia" w:eastAsiaTheme="minorEastAsia"/>
          <w:color w:val="auto"/>
          <w:lang w:eastAsia="zh-CN"/>
        </w:rPr>
      </w:pPr>
      <w:r>
        <w:rPr>
          <w:b/>
          <w:color w:val="auto"/>
          <w:sz w:val="28"/>
        </w:rPr>
        <w:t>编制时间：</w:t>
      </w:r>
      <w:r>
        <w:rPr>
          <w:rFonts w:hint="eastAsia"/>
          <w:b/>
          <w:color w:val="auto"/>
          <w:sz w:val="28"/>
          <w:lang w:eastAsia="zh-CN"/>
        </w:rPr>
        <w:t>202</w:t>
      </w:r>
      <w:r>
        <w:rPr>
          <w:rFonts w:hint="eastAsia"/>
          <w:b/>
          <w:color w:val="auto"/>
          <w:sz w:val="28"/>
          <w:lang w:val="en-US" w:eastAsia="zh-CN"/>
        </w:rPr>
        <w:t>5</w:t>
      </w:r>
      <w:r>
        <w:rPr>
          <w:rFonts w:hint="eastAsia"/>
          <w:b/>
          <w:color w:val="auto"/>
          <w:sz w:val="28"/>
          <w:lang w:eastAsia="zh-CN"/>
        </w:rPr>
        <w:t>年</w:t>
      </w:r>
      <w:r>
        <w:rPr>
          <w:rFonts w:hint="eastAsia"/>
          <w:b/>
          <w:color w:val="auto"/>
          <w:sz w:val="28"/>
          <w:lang w:val="en-US" w:eastAsia="zh-CN"/>
        </w:rPr>
        <w:t>2</w:t>
      </w:r>
      <w:r>
        <w:rPr>
          <w:rFonts w:hint="eastAsia"/>
          <w:b/>
          <w:color w:val="auto"/>
          <w:sz w:val="28"/>
          <w:lang w:eastAsia="zh-CN"/>
        </w:rPr>
        <w:t>月</w:t>
      </w:r>
    </w:p>
    <w:p w14:paraId="2617CAEA">
      <w:pPr>
        <w:pStyle w:val="14"/>
        <w:rPr>
          <w:color w:val="auto"/>
        </w:rPr>
      </w:pPr>
    </w:p>
    <w:p w14:paraId="3A1C85EC">
      <w:pPr>
        <w:pStyle w:val="14"/>
        <w:rPr>
          <w:color w:val="auto"/>
        </w:rPr>
      </w:pPr>
      <w:r>
        <w:rPr>
          <w:color w:val="auto"/>
        </w:rPr>
        <w:t xml:space="preserve"> </w:t>
      </w:r>
    </w:p>
    <w:p w14:paraId="02479EE8">
      <w:pPr>
        <w:pStyle w:val="14"/>
        <w:jc w:val="center"/>
        <w:outlineLvl w:val="1"/>
        <w:rPr>
          <w:color w:val="auto"/>
        </w:rPr>
      </w:pPr>
      <w:r>
        <w:rPr>
          <w:b/>
          <w:color w:val="auto"/>
          <w:sz w:val="36"/>
        </w:rPr>
        <w:t>第一章  采购邀请书</w:t>
      </w:r>
    </w:p>
    <w:p w14:paraId="615E56AF">
      <w:pPr>
        <w:pStyle w:val="14"/>
        <w:jc w:val="center"/>
        <w:rPr>
          <w:color w:val="auto"/>
        </w:rPr>
      </w:pPr>
      <w:r>
        <w:rPr>
          <w:b/>
          <w:color w:val="auto"/>
        </w:rPr>
        <w:t>竞争性磋商采购公告</w:t>
      </w:r>
    </w:p>
    <w:p w14:paraId="4FD56CB8">
      <w:pPr>
        <w:pStyle w:val="14"/>
        <w:ind w:firstLine="480"/>
        <w:jc w:val="left"/>
        <w:rPr>
          <w:color w:val="auto"/>
        </w:rPr>
      </w:pPr>
      <w:r>
        <w:rPr>
          <w:rFonts w:hint="eastAsia"/>
          <w:color w:val="auto"/>
          <w:lang w:eastAsia="zh-CN"/>
        </w:rPr>
        <w:t>大田县第七中学</w:t>
      </w:r>
      <w:r>
        <w:rPr>
          <w:color w:val="auto"/>
        </w:rPr>
        <w:t>已根据政府采购相关法律法规，经相应程序确定采用 竞争性磋商 方式组织</w:t>
      </w:r>
      <w:r>
        <w:rPr>
          <w:rFonts w:hint="eastAsia"/>
          <w:color w:val="auto"/>
          <w:lang w:eastAsia="zh-CN"/>
        </w:rPr>
        <w:t>大田七中运动场提升改造工程</w:t>
      </w:r>
      <w:r>
        <w:rPr>
          <w:color w:val="auto"/>
        </w:rPr>
        <w:t>项目（以下简称：“本项目”）的政府采购活动，现欢迎国内合格的供应商前来参加。本项目由采购人委托</w:t>
      </w:r>
      <w:r>
        <w:rPr>
          <w:rFonts w:hint="eastAsia"/>
          <w:color w:val="auto"/>
          <w:lang w:eastAsia="zh-CN"/>
        </w:rPr>
        <w:t>福建省明建工程咨询有限公司</w:t>
      </w:r>
      <w:r>
        <w:rPr>
          <w:color w:val="auto"/>
        </w:rPr>
        <w:t>开展竞争性磋商活动。</w:t>
      </w:r>
    </w:p>
    <w:p w14:paraId="33DC80A4">
      <w:pPr>
        <w:pStyle w:val="14"/>
        <w:ind w:firstLine="480"/>
        <w:jc w:val="left"/>
        <w:outlineLvl w:val="2"/>
        <w:rPr>
          <w:rFonts w:hint="eastAsia" w:eastAsiaTheme="minorEastAsia"/>
          <w:color w:val="auto"/>
          <w:lang w:eastAsia="zh-CN"/>
        </w:rPr>
      </w:pPr>
      <w:r>
        <w:rPr>
          <w:b/>
          <w:color w:val="auto"/>
          <w:sz w:val="28"/>
        </w:rPr>
        <w:t>1.项目名称：</w:t>
      </w:r>
      <w:r>
        <w:rPr>
          <w:rFonts w:hint="eastAsia"/>
          <w:b/>
          <w:color w:val="auto"/>
          <w:sz w:val="28"/>
          <w:lang w:eastAsia="zh-CN"/>
        </w:rPr>
        <w:t>大田七中运动场提升改造工程</w:t>
      </w:r>
    </w:p>
    <w:p w14:paraId="2EE017CB">
      <w:pPr>
        <w:pStyle w:val="14"/>
        <w:ind w:firstLine="480"/>
        <w:jc w:val="left"/>
        <w:outlineLvl w:val="2"/>
        <w:rPr>
          <w:rFonts w:hint="eastAsia" w:eastAsiaTheme="minorEastAsia"/>
          <w:color w:val="auto"/>
          <w:lang w:eastAsia="zh-CN"/>
        </w:rPr>
      </w:pPr>
      <w:r>
        <w:rPr>
          <w:b/>
          <w:color w:val="auto"/>
          <w:sz w:val="28"/>
        </w:rPr>
        <w:t>2.备案编号：</w:t>
      </w:r>
      <w:r>
        <w:rPr>
          <w:rFonts w:hint="eastAsia"/>
          <w:b/>
          <w:color w:val="auto"/>
          <w:sz w:val="28"/>
          <w:lang w:eastAsia="zh-CN"/>
        </w:rPr>
        <w:t>CGXM-2024-350425-01020[2024]00956</w:t>
      </w:r>
    </w:p>
    <w:p w14:paraId="722734F1">
      <w:pPr>
        <w:pStyle w:val="14"/>
        <w:ind w:firstLine="480"/>
        <w:jc w:val="left"/>
        <w:outlineLvl w:val="2"/>
        <w:rPr>
          <w:rFonts w:hint="eastAsia" w:eastAsiaTheme="minorEastAsia"/>
          <w:color w:val="auto"/>
          <w:lang w:eastAsia="zh-CN"/>
        </w:rPr>
      </w:pPr>
      <w:r>
        <w:rPr>
          <w:b/>
          <w:color w:val="auto"/>
          <w:sz w:val="28"/>
        </w:rPr>
        <w:t>3.项目编号：</w:t>
      </w:r>
      <w:r>
        <w:rPr>
          <w:rFonts w:hint="eastAsia"/>
          <w:b/>
          <w:color w:val="auto"/>
          <w:sz w:val="28"/>
          <w:lang w:eastAsia="zh-CN"/>
        </w:rPr>
        <w:t>[350425]FJMJ[CS]2024003</w:t>
      </w:r>
    </w:p>
    <w:p w14:paraId="7AA0654D">
      <w:pPr>
        <w:pStyle w:val="14"/>
        <w:jc w:val="left"/>
        <w:outlineLvl w:val="2"/>
        <w:rPr>
          <w:color w:val="auto"/>
        </w:rPr>
      </w:pPr>
      <w:r>
        <w:rPr>
          <w:b/>
          <w:color w:val="auto"/>
          <w:sz w:val="28"/>
        </w:rPr>
        <w:t>4.采购内容及要求：</w:t>
      </w:r>
    </w:p>
    <w:p w14:paraId="162429C0">
      <w:pPr>
        <w:pStyle w:val="14"/>
        <w:jc w:val="left"/>
        <w:rPr>
          <w:color w:val="auto"/>
        </w:rPr>
      </w:pPr>
      <w:r>
        <w:rPr>
          <w:color w:val="auto"/>
        </w:rPr>
        <w:t>采购包1：</w:t>
      </w:r>
    </w:p>
    <w:p w14:paraId="4EABD5A1">
      <w:pPr>
        <w:pStyle w:val="14"/>
        <w:jc w:val="left"/>
        <w:rPr>
          <w:rFonts w:hint="eastAsia" w:eastAsiaTheme="minorEastAsia"/>
          <w:color w:val="auto"/>
          <w:lang w:eastAsia="zh-CN"/>
        </w:rPr>
      </w:pPr>
      <w:r>
        <w:rPr>
          <w:color w:val="auto"/>
        </w:rPr>
        <w:t>采购包预算金额（元）:</w:t>
      </w:r>
      <w:r>
        <w:rPr>
          <w:rFonts w:hint="eastAsia"/>
          <w:color w:val="auto"/>
          <w:lang w:eastAsia="zh-CN"/>
        </w:rPr>
        <w:t>3,201,035.00</w:t>
      </w:r>
    </w:p>
    <w:p w14:paraId="5868072D">
      <w:pPr>
        <w:pStyle w:val="14"/>
        <w:jc w:val="left"/>
        <w:rPr>
          <w:rFonts w:hint="eastAsia" w:ascii="宋体" w:hAnsi="宋体" w:eastAsia="宋体" w:cs="宋体"/>
          <w:color w:val="auto"/>
          <w:sz w:val="24"/>
          <w:lang w:val="en-US" w:eastAsia="zh-CN"/>
        </w:rPr>
      </w:pPr>
      <w:r>
        <w:rPr>
          <w:color w:val="auto"/>
        </w:rPr>
        <w:t>采购包最高限价（元）:</w:t>
      </w:r>
      <w:r>
        <w:rPr>
          <w:rFonts w:hint="eastAsia"/>
          <w:color w:val="auto"/>
          <w:lang w:val="en-US" w:eastAsia="zh-CN"/>
        </w:rPr>
        <w:t>2</w:t>
      </w:r>
      <w:r>
        <w:rPr>
          <w:rFonts w:hint="eastAsia"/>
          <w:color w:val="auto"/>
          <w:lang w:eastAsia="zh-CN"/>
        </w:rPr>
        <w:t>,</w:t>
      </w:r>
      <w:r>
        <w:rPr>
          <w:rFonts w:hint="eastAsia"/>
          <w:color w:val="auto"/>
          <w:lang w:val="en-US" w:eastAsia="zh-CN"/>
        </w:rPr>
        <w:t>88</w:t>
      </w:r>
      <w:r>
        <w:rPr>
          <w:rFonts w:hint="eastAsia"/>
          <w:color w:val="auto"/>
          <w:lang w:eastAsia="zh-CN"/>
        </w:rPr>
        <w:t>,</w:t>
      </w:r>
      <w:r>
        <w:rPr>
          <w:rFonts w:hint="eastAsia"/>
          <w:color w:val="auto"/>
          <w:lang w:val="en-US" w:eastAsia="zh-CN"/>
        </w:rPr>
        <w:t>0932</w:t>
      </w:r>
      <w:r>
        <w:rPr>
          <w:rFonts w:hint="eastAsia"/>
          <w:color w:val="auto"/>
          <w:lang w:eastAsia="zh-CN"/>
        </w:rPr>
        <w:t>.00</w:t>
      </w:r>
      <w:r>
        <w:rPr>
          <w:rFonts w:hint="eastAsia" w:ascii="宋体" w:hAnsi="宋体" w:eastAsia="宋体" w:cs="宋体"/>
          <w:color w:val="auto"/>
          <w:sz w:val="24"/>
          <w:lang w:val="en-US" w:eastAsia="zh-CN"/>
        </w:rPr>
        <w:t xml:space="preserve"> </w:t>
      </w:r>
    </w:p>
    <w:p w14:paraId="31DF7EB2">
      <w:pPr>
        <w:pStyle w:val="14"/>
        <w:jc w:val="left"/>
        <w:rPr>
          <w:rFonts w:hint="eastAsia" w:eastAsiaTheme="minorEastAsia"/>
          <w:color w:val="auto"/>
          <w:lang w:eastAsia="zh-CN"/>
        </w:rPr>
      </w:pPr>
      <w:r>
        <w:rPr>
          <w:color w:val="auto"/>
        </w:rPr>
        <w:t>采购包保证金金额（元）:</w:t>
      </w:r>
      <w:r>
        <w:rPr>
          <w:rFonts w:hint="eastAsia"/>
          <w:color w:val="auto"/>
          <w:lang w:eastAsia="zh-CN"/>
        </w:rPr>
        <w:t>32,000.00</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79"/>
        <w:gridCol w:w="1187"/>
        <w:gridCol w:w="1187"/>
        <w:gridCol w:w="1187"/>
      </w:tblGrid>
      <w:tr w14:paraId="44AEB9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B2D2950">
            <w:pPr>
              <w:pStyle w:val="14"/>
              <w:jc w:val="left"/>
              <w:rPr>
                <w:color w:val="auto"/>
              </w:rPr>
            </w:pPr>
            <w:r>
              <w:rPr>
                <w:color w:val="auto"/>
              </w:rPr>
              <w:t>序号</w:t>
            </w:r>
          </w:p>
        </w:tc>
        <w:tc>
          <w:tcPr>
            <w:tcW w:w="1187" w:type="dxa"/>
          </w:tcPr>
          <w:p w14:paraId="0B8542EB">
            <w:pPr>
              <w:pStyle w:val="14"/>
              <w:jc w:val="left"/>
              <w:rPr>
                <w:color w:val="auto"/>
              </w:rPr>
            </w:pPr>
            <w:r>
              <w:rPr>
                <w:color w:val="auto"/>
              </w:rPr>
              <w:t>标的名称</w:t>
            </w:r>
          </w:p>
        </w:tc>
        <w:tc>
          <w:tcPr>
            <w:tcW w:w="1187" w:type="dxa"/>
          </w:tcPr>
          <w:p w14:paraId="7D905207">
            <w:pPr>
              <w:pStyle w:val="14"/>
              <w:jc w:val="left"/>
              <w:rPr>
                <w:color w:val="auto"/>
              </w:rPr>
            </w:pPr>
            <w:r>
              <w:rPr>
                <w:color w:val="auto"/>
              </w:rPr>
              <w:t>数量</w:t>
            </w:r>
          </w:p>
        </w:tc>
        <w:tc>
          <w:tcPr>
            <w:tcW w:w="1187" w:type="dxa"/>
          </w:tcPr>
          <w:p w14:paraId="775D3952">
            <w:pPr>
              <w:pStyle w:val="14"/>
              <w:jc w:val="left"/>
              <w:rPr>
                <w:color w:val="auto"/>
              </w:rPr>
            </w:pPr>
            <w:r>
              <w:rPr>
                <w:color w:val="auto"/>
              </w:rPr>
              <w:t>标的金额 （元）</w:t>
            </w:r>
          </w:p>
        </w:tc>
        <w:tc>
          <w:tcPr>
            <w:tcW w:w="1187" w:type="dxa"/>
          </w:tcPr>
          <w:p w14:paraId="0FE19A3A">
            <w:pPr>
              <w:pStyle w:val="14"/>
              <w:jc w:val="left"/>
              <w:rPr>
                <w:color w:val="auto"/>
              </w:rPr>
            </w:pPr>
            <w:r>
              <w:rPr>
                <w:color w:val="auto"/>
              </w:rPr>
              <w:t>计量单位</w:t>
            </w:r>
          </w:p>
        </w:tc>
        <w:tc>
          <w:tcPr>
            <w:tcW w:w="1187" w:type="dxa"/>
          </w:tcPr>
          <w:p w14:paraId="10F12300">
            <w:pPr>
              <w:pStyle w:val="14"/>
              <w:jc w:val="left"/>
              <w:rPr>
                <w:color w:val="auto"/>
              </w:rPr>
            </w:pPr>
            <w:r>
              <w:rPr>
                <w:color w:val="auto"/>
              </w:rPr>
              <w:t>所属行业</w:t>
            </w:r>
          </w:p>
        </w:tc>
        <w:tc>
          <w:tcPr>
            <w:tcW w:w="1187" w:type="dxa"/>
          </w:tcPr>
          <w:p w14:paraId="7C49BDBF">
            <w:pPr>
              <w:pStyle w:val="14"/>
              <w:jc w:val="left"/>
              <w:rPr>
                <w:color w:val="auto"/>
              </w:rPr>
            </w:pPr>
            <w:r>
              <w:rPr>
                <w:color w:val="auto"/>
              </w:rPr>
              <w:t>是否允许进口产品</w:t>
            </w:r>
          </w:p>
        </w:tc>
      </w:tr>
      <w:tr w14:paraId="6337E3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D6F89E5">
            <w:pPr>
              <w:pStyle w:val="14"/>
              <w:jc w:val="left"/>
              <w:rPr>
                <w:color w:val="auto"/>
              </w:rPr>
            </w:pPr>
            <w:r>
              <w:rPr>
                <w:color w:val="auto"/>
              </w:rPr>
              <w:t>1</w:t>
            </w:r>
          </w:p>
        </w:tc>
        <w:tc>
          <w:tcPr>
            <w:tcW w:w="1187" w:type="dxa"/>
          </w:tcPr>
          <w:p w14:paraId="21E3023A">
            <w:pPr>
              <w:pStyle w:val="14"/>
              <w:jc w:val="left"/>
              <w:rPr>
                <w:rFonts w:hint="eastAsia" w:eastAsiaTheme="minorEastAsia"/>
                <w:color w:val="auto"/>
                <w:lang w:eastAsia="zh-CN"/>
              </w:rPr>
            </w:pPr>
            <w:r>
              <w:rPr>
                <w:rFonts w:hint="eastAsia"/>
                <w:color w:val="auto"/>
                <w:lang w:eastAsia="zh-CN"/>
              </w:rPr>
              <w:t>大田七中运动场提升改造工程</w:t>
            </w:r>
          </w:p>
        </w:tc>
        <w:tc>
          <w:tcPr>
            <w:tcW w:w="1187" w:type="dxa"/>
          </w:tcPr>
          <w:p w14:paraId="1418E014">
            <w:pPr>
              <w:pStyle w:val="14"/>
              <w:jc w:val="right"/>
              <w:rPr>
                <w:color w:val="auto"/>
              </w:rPr>
            </w:pPr>
            <w:r>
              <w:rPr>
                <w:color w:val="auto"/>
              </w:rPr>
              <w:t>1.00</w:t>
            </w:r>
          </w:p>
        </w:tc>
        <w:tc>
          <w:tcPr>
            <w:tcW w:w="1187" w:type="dxa"/>
          </w:tcPr>
          <w:p w14:paraId="318C5B0F">
            <w:pPr>
              <w:pStyle w:val="14"/>
              <w:jc w:val="right"/>
              <w:rPr>
                <w:rFonts w:hint="eastAsia" w:eastAsiaTheme="minorEastAsia"/>
                <w:color w:val="auto"/>
                <w:lang w:eastAsia="zh-CN"/>
              </w:rPr>
            </w:pPr>
            <w:r>
              <w:rPr>
                <w:rFonts w:hint="eastAsia"/>
                <w:color w:val="auto"/>
                <w:lang w:eastAsia="zh-CN"/>
              </w:rPr>
              <w:t>3,201,035.00</w:t>
            </w:r>
          </w:p>
        </w:tc>
        <w:tc>
          <w:tcPr>
            <w:tcW w:w="1187" w:type="dxa"/>
          </w:tcPr>
          <w:p w14:paraId="33B0A479">
            <w:pPr>
              <w:pStyle w:val="14"/>
              <w:jc w:val="left"/>
              <w:rPr>
                <w:color w:val="auto"/>
              </w:rPr>
            </w:pPr>
            <w:r>
              <w:rPr>
                <w:color w:val="auto"/>
              </w:rPr>
              <w:t>项</w:t>
            </w:r>
          </w:p>
        </w:tc>
        <w:tc>
          <w:tcPr>
            <w:tcW w:w="1187" w:type="dxa"/>
          </w:tcPr>
          <w:p w14:paraId="3DE5AA84">
            <w:pPr>
              <w:pStyle w:val="14"/>
              <w:jc w:val="left"/>
              <w:rPr>
                <w:color w:val="auto"/>
              </w:rPr>
            </w:pPr>
            <w:r>
              <w:rPr>
                <w:color w:val="auto"/>
              </w:rPr>
              <w:t>建筑业</w:t>
            </w:r>
          </w:p>
        </w:tc>
        <w:tc>
          <w:tcPr>
            <w:tcW w:w="1187" w:type="dxa"/>
          </w:tcPr>
          <w:p w14:paraId="322C43FF">
            <w:pPr>
              <w:pStyle w:val="14"/>
              <w:jc w:val="left"/>
              <w:rPr>
                <w:color w:val="auto"/>
              </w:rPr>
            </w:pPr>
            <w:r>
              <w:rPr>
                <w:color w:val="auto"/>
              </w:rPr>
              <w:t>否</w:t>
            </w:r>
          </w:p>
        </w:tc>
      </w:tr>
    </w:tbl>
    <w:p w14:paraId="70DECB0E">
      <w:pPr>
        <w:pStyle w:val="14"/>
        <w:jc w:val="left"/>
        <w:rPr>
          <w:color w:val="auto"/>
        </w:rPr>
      </w:pPr>
      <w:r>
        <w:rPr>
          <w:color w:val="auto"/>
        </w:rPr>
        <w:t>采购包1：</w:t>
      </w:r>
    </w:p>
    <w:p w14:paraId="57FD2CF9">
      <w:pPr>
        <w:pStyle w:val="14"/>
        <w:jc w:val="left"/>
        <w:rPr>
          <w:color w:val="auto"/>
        </w:rPr>
      </w:pPr>
      <w:r>
        <w:rPr>
          <w:color w:val="auto"/>
        </w:rPr>
        <w:t>（1）报价要求：</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384"/>
        <w:gridCol w:w="1384"/>
        <w:gridCol w:w="1038"/>
      </w:tblGrid>
      <w:tr w14:paraId="7D8C92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1C9B7731">
            <w:pPr>
              <w:pStyle w:val="14"/>
              <w:jc w:val="left"/>
              <w:rPr>
                <w:color w:val="auto"/>
              </w:rPr>
            </w:pPr>
            <w:r>
              <w:rPr>
                <w:color w:val="auto"/>
              </w:rPr>
              <w:t>序号</w:t>
            </w:r>
          </w:p>
        </w:tc>
        <w:tc>
          <w:tcPr>
            <w:tcW w:w="3046" w:type="dxa"/>
          </w:tcPr>
          <w:p w14:paraId="31D9AB50">
            <w:pPr>
              <w:pStyle w:val="14"/>
              <w:jc w:val="left"/>
              <w:rPr>
                <w:color w:val="auto"/>
              </w:rPr>
            </w:pPr>
            <w:r>
              <w:rPr>
                <w:color w:val="auto"/>
              </w:rPr>
              <w:t>报价内容</w:t>
            </w:r>
          </w:p>
        </w:tc>
        <w:tc>
          <w:tcPr>
            <w:tcW w:w="554" w:type="dxa"/>
          </w:tcPr>
          <w:p w14:paraId="2B388D7A">
            <w:pPr>
              <w:pStyle w:val="14"/>
              <w:jc w:val="left"/>
              <w:rPr>
                <w:color w:val="auto"/>
              </w:rPr>
            </w:pPr>
            <w:r>
              <w:rPr>
                <w:color w:val="auto"/>
              </w:rPr>
              <w:t>计量单位</w:t>
            </w:r>
          </w:p>
        </w:tc>
        <w:tc>
          <w:tcPr>
            <w:tcW w:w="554" w:type="dxa"/>
          </w:tcPr>
          <w:p w14:paraId="2929F63B">
            <w:pPr>
              <w:pStyle w:val="14"/>
              <w:jc w:val="left"/>
              <w:rPr>
                <w:color w:val="auto"/>
              </w:rPr>
            </w:pPr>
            <w:r>
              <w:rPr>
                <w:color w:val="auto"/>
              </w:rPr>
              <w:t>报价单位</w:t>
            </w:r>
          </w:p>
        </w:tc>
        <w:tc>
          <w:tcPr>
            <w:tcW w:w="1384" w:type="dxa"/>
          </w:tcPr>
          <w:p w14:paraId="0543557D">
            <w:pPr>
              <w:pStyle w:val="14"/>
              <w:jc w:val="left"/>
              <w:rPr>
                <w:color w:val="auto"/>
              </w:rPr>
            </w:pPr>
            <w:r>
              <w:rPr>
                <w:color w:val="auto"/>
              </w:rPr>
              <w:t>最高限价</w:t>
            </w:r>
          </w:p>
        </w:tc>
        <w:tc>
          <w:tcPr>
            <w:tcW w:w="1384" w:type="dxa"/>
          </w:tcPr>
          <w:p w14:paraId="348BA28B">
            <w:pPr>
              <w:pStyle w:val="14"/>
              <w:jc w:val="left"/>
              <w:rPr>
                <w:color w:val="auto"/>
              </w:rPr>
            </w:pPr>
            <w:r>
              <w:rPr>
                <w:color w:val="auto"/>
              </w:rPr>
              <w:t>价款形式</w:t>
            </w:r>
          </w:p>
        </w:tc>
        <w:tc>
          <w:tcPr>
            <w:tcW w:w="1038" w:type="dxa"/>
          </w:tcPr>
          <w:p w14:paraId="4D64B048">
            <w:pPr>
              <w:pStyle w:val="14"/>
              <w:jc w:val="left"/>
              <w:rPr>
                <w:color w:val="auto"/>
              </w:rPr>
            </w:pPr>
            <w:r>
              <w:rPr>
                <w:color w:val="auto"/>
              </w:rPr>
              <w:t>报价说明</w:t>
            </w:r>
          </w:p>
        </w:tc>
      </w:tr>
      <w:tr w14:paraId="0D50F0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39F245A3">
            <w:pPr>
              <w:pStyle w:val="14"/>
              <w:jc w:val="left"/>
              <w:rPr>
                <w:color w:val="auto"/>
              </w:rPr>
            </w:pPr>
            <w:r>
              <w:rPr>
                <w:color w:val="auto"/>
              </w:rPr>
              <w:t>1</w:t>
            </w:r>
          </w:p>
        </w:tc>
        <w:tc>
          <w:tcPr>
            <w:tcW w:w="3046" w:type="dxa"/>
          </w:tcPr>
          <w:p w14:paraId="4F143F7B">
            <w:pPr>
              <w:pStyle w:val="14"/>
              <w:jc w:val="left"/>
              <w:rPr>
                <w:color w:val="auto"/>
              </w:rPr>
            </w:pPr>
            <w:r>
              <w:rPr>
                <w:rFonts w:hint="eastAsia"/>
                <w:color w:val="auto"/>
                <w:lang w:eastAsia="zh-CN"/>
              </w:rPr>
              <w:t>大田七中运动场提升改造工程</w:t>
            </w:r>
          </w:p>
        </w:tc>
        <w:tc>
          <w:tcPr>
            <w:tcW w:w="554" w:type="dxa"/>
          </w:tcPr>
          <w:p w14:paraId="3733907C">
            <w:pPr>
              <w:pStyle w:val="14"/>
              <w:jc w:val="left"/>
              <w:rPr>
                <w:color w:val="auto"/>
              </w:rPr>
            </w:pPr>
            <w:r>
              <w:rPr>
                <w:color w:val="auto"/>
              </w:rPr>
              <w:t>项</w:t>
            </w:r>
          </w:p>
        </w:tc>
        <w:tc>
          <w:tcPr>
            <w:tcW w:w="554" w:type="dxa"/>
          </w:tcPr>
          <w:p w14:paraId="108F18CE">
            <w:pPr>
              <w:pStyle w:val="14"/>
              <w:jc w:val="left"/>
              <w:rPr>
                <w:color w:val="auto"/>
              </w:rPr>
            </w:pPr>
            <w:r>
              <w:rPr>
                <w:color w:val="auto"/>
              </w:rPr>
              <w:t>元</w:t>
            </w:r>
          </w:p>
        </w:tc>
        <w:tc>
          <w:tcPr>
            <w:tcW w:w="1384" w:type="dxa"/>
          </w:tcPr>
          <w:p w14:paraId="6F917785">
            <w:pPr>
              <w:pStyle w:val="14"/>
              <w:jc w:val="right"/>
              <w:rPr>
                <w:color w:val="auto"/>
              </w:rPr>
            </w:pPr>
            <w:r>
              <w:rPr>
                <w:rFonts w:hint="eastAsia"/>
                <w:color w:val="auto"/>
                <w:lang w:val="en-US" w:eastAsia="zh-CN"/>
              </w:rPr>
              <w:t>2</w:t>
            </w:r>
            <w:r>
              <w:rPr>
                <w:rFonts w:hint="eastAsia"/>
                <w:color w:val="auto"/>
                <w:lang w:eastAsia="zh-CN"/>
              </w:rPr>
              <w:t>,</w:t>
            </w:r>
            <w:r>
              <w:rPr>
                <w:rFonts w:hint="eastAsia"/>
                <w:color w:val="auto"/>
                <w:lang w:val="en-US" w:eastAsia="zh-CN"/>
              </w:rPr>
              <w:t>88</w:t>
            </w:r>
            <w:r>
              <w:rPr>
                <w:rFonts w:hint="eastAsia"/>
                <w:color w:val="auto"/>
                <w:lang w:eastAsia="zh-CN"/>
              </w:rPr>
              <w:t>,</w:t>
            </w:r>
            <w:r>
              <w:rPr>
                <w:rFonts w:hint="eastAsia"/>
                <w:color w:val="auto"/>
                <w:lang w:val="en-US" w:eastAsia="zh-CN"/>
              </w:rPr>
              <w:t>0932</w:t>
            </w:r>
            <w:r>
              <w:rPr>
                <w:rFonts w:hint="eastAsia"/>
                <w:color w:val="auto"/>
                <w:lang w:eastAsia="zh-CN"/>
              </w:rPr>
              <w:t>.00</w:t>
            </w:r>
            <w:r>
              <w:rPr>
                <w:rFonts w:hint="eastAsia" w:ascii="宋体" w:hAnsi="宋体" w:eastAsia="宋体" w:cs="宋体"/>
                <w:color w:val="auto"/>
                <w:sz w:val="24"/>
                <w:lang w:val="en-US" w:eastAsia="zh-CN"/>
              </w:rPr>
              <w:t xml:space="preserve"> </w:t>
            </w:r>
          </w:p>
        </w:tc>
        <w:tc>
          <w:tcPr>
            <w:tcW w:w="1384" w:type="dxa"/>
          </w:tcPr>
          <w:p w14:paraId="76D8A2E1">
            <w:pPr>
              <w:pStyle w:val="14"/>
              <w:jc w:val="left"/>
              <w:rPr>
                <w:color w:val="auto"/>
              </w:rPr>
            </w:pPr>
            <w:r>
              <w:rPr>
                <w:color w:val="auto"/>
              </w:rPr>
              <w:t>总价</w:t>
            </w:r>
          </w:p>
        </w:tc>
        <w:tc>
          <w:tcPr>
            <w:tcW w:w="1038" w:type="dxa"/>
          </w:tcPr>
          <w:p w14:paraId="07310BA3">
            <w:pPr>
              <w:pStyle w:val="14"/>
              <w:jc w:val="left"/>
              <w:rPr>
                <w:color w:val="auto"/>
              </w:rPr>
            </w:pPr>
            <w:r>
              <w:rPr>
                <w:color w:val="auto"/>
              </w:rPr>
              <w:t>按商务条件要求报价</w:t>
            </w:r>
          </w:p>
        </w:tc>
      </w:tr>
    </w:tbl>
    <w:p w14:paraId="1472FB6A">
      <w:pPr>
        <w:pStyle w:val="14"/>
        <w:ind w:firstLine="480"/>
        <w:jc w:val="left"/>
        <w:outlineLvl w:val="2"/>
        <w:rPr>
          <w:color w:val="auto"/>
        </w:rPr>
      </w:pPr>
      <w:r>
        <w:rPr>
          <w:b/>
          <w:color w:val="auto"/>
          <w:sz w:val="28"/>
        </w:rPr>
        <w:t>5.采购项目需要落实的政府采购政策：</w:t>
      </w:r>
    </w:p>
    <w:p w14:paraId="11428E22">
      <w:pPr>
        <w:pStyle w:val="14"/>
        <w:ind w:firstLine="960"/>
        <w:jc w:val="left"/>
        <w:rPr>
          <w:color w:val="auto"/>
        </w:rPr>
      </w:pPr>
      <w:r>
        <w:rPr>
          <w:color w:val="auto"/>
        </w:rPr>
        <w:t>进口产品：无</w:t>
      </w:r>
    </w:p>
    <w:p w14:paraId="0FAD7720">
      <w:pPr>
        <w:pStyle w:val="14"/>
        <w:ind w:firstLine="960"/>
        <w:jc w:val="left"/>
        <w:rPr>
          <w:color w:val="auto"/>
        </w:rPr>
      </w:pPr>
      <w:r>
        <w:rPr>
          <w:color w:val="auto"/>
        </w:rPr>
        <w:t>节能产品：无</w:t>
      </w:r>
    </w:p>
    <w:p w14:paraId="103D01D7">
      <w:pPr>
        <w:pStyle w:val="14"/>
        <w:ind w:firstLine="960"/>
        <w:jc w:val="left"/>
        <w:rPr>
          <w:color w:val="auto"/>
        </w:rPr>
      </w:pPr>
      <w:r>
        <w:rPr>
          <w:color w:val="auto"/>
        </w:rPr>
        <w:t>环境标志产品：无</w:t>
      </w:r>
    </w:p>
    <w:p w14:paraId="160B4E89">
      <w:pPr>
        <w:pStyle w:val="14"/>
        <w:ind w:firstLine="960"/>
        <w:jc w:val="left"/>
        <w:rPr>
          <w:color w:val="auto"/>
        </w:rPr>
      </w:pPr>
      <w:r>
        <w:rPr>
          <w:rFonts w:hint="eastAsia"/>
          <w:color w:val="auto"/>
        </w:rPr>
        <w:t>绿色建材：</w:t>
      </w:r>
      <w:r>
        <w:rPr>
          <w:color w:val="auto"/>
        </w:rPr>
        <w:t>适用，按国家及福建省现行规范执行。</w:t>
      </w:r>
    </w:p>
    <w:p w14:paraId="4C4CD3AB">
      <w:pPr>
        <w:pStyle w:val="14"/>
        <w:ind w:firstLine="960"/>
        <w:jc w:val="left"/>
        <w:rPr>
          <w:color w:val="auto"/>
        </w:rPr>
      </w:pPr>
      <w:r>
        <w:rPr>
          <w:color w:val="auto"/>
        </w:rPr>
        <w:t>促进中小企业发展的相关政策：</w:t>
      </w:r>
    </w:p>
    <w:p w14:paraId="751757CE">
      <w:pPr>
        <w:pStyle w:val="14"/>
        <w:jc w:val="left"/>
        <w:rPr>
          <w:color w:val="auto"/>
        </w:rPr>
      </w:pPr>
      <w:r>
        <w:rPr>
          <w:color w:val="auto"/>
        </w:rPr>
        <w:t>采购包1：【预留】专门面向中小企业</w:t>
      </w:r>
    </w:p>
    <w:p w14:paraId="23E3D15F">
      <w:pPr>
        <w:pStyle w:val="14"/>
        <w:jc w:val="left"/>
        <w:rPr>
          <w:color w:val="auto"/>
        </w:rPr>
      </w:pPr>
      <w:r>
        <w:rPr>
          <w:color w:val="auto"/>
        </w:rPr>
        <w:t>面向的企业规模：中小企业</w:t>
      </w:r>
    </w:p>
    <w:p w14:paraId="50DE53A2">
      <w:pPr>
        <w:pStyle w:val="14"/>
        <w:jc w:val="left"/>
        <w:rPr>
          <w:color w:val="auto"/>
        </w:rPr>
      </w:pPr>
      <w:r>
        <w:rPr>
          <w:color w:val="auto"/>
        </w:rPr>
        <w:t>预留形式：【预留】专门面向中小企业</w:t>
      </w:r>
    </w:p>
    <w:p w14:paraId="384BF478">
      <w:pPr>
        <w:pStyle w:val="14"/>
        <w:jc w:val="left"/>
        <w:rPr>
          <w:color w:val="auto"/>
        </w:rPr>
      </w:pPr>
      <w:r>
        <w:rPr>
          <w:color w:val="auto"/>
        </w:rPr>
        <w:t>预留比例：100%</w:t>
      </w:r>
    </w:p>
    <w:p w14:paraId="62131D16">
      <w:pPr>
        <w:pStyle w:val="14"/>
        <w:ind w:firstLine="480"/>
        <w:jc w:val="left"/>
        <w:outlineLvl w:val="2"/>
        <w:rPr>
          <w:color w:val="auto"/>
        </w:rPr>
      </w:pPr>
      <w:r>
        <w:rPr>
          <w:b/>
          <w:color w:val="auto"/>
          <w:sz w:val="28"/>
        </w:rPr>
        <w:t>6.供应商的资格要求：</w:t>
      </w:r>
    </w:p>
    <w:p w14:paraId="60D37E58">
      <w:pPr>
        <w:pStyle w:val="14"/>
        <w:ind w:firstLine="960"/>
        <w:jc w:val="left"/>
        <w:rPr>
          <w:color w:val="auto"/>
        </w:rPr>
      </w:pPr>
      <w:r>
        <w:rPr>
          <w:color w:val="auto"/>
        </w:rPr>
        <w:t>6.1法定条件：符合《中华人民共和国政府采购法》第二十二条第一款规定的条件。</w:t>
      </w:r>
    </w:p>
    <w:p w14:paraId="6784EB6D">
      <w:pPr>
        <w:pStyle w:val="14"/>
        <w:ind w:firstLine="960"/>
        <w:jc w:val="left"/>
        <w:rPr>
          <w:color w:val="auto"/>
        </w:rPr>
      </w:pPr>
      <w:r>
        <w:rPr>
          <w:color w:val="auto"/>
        </w:rPr>
        <w:t>6.2特定条件：</w:t>
      </w:r>
    </w:p>
    <w:p w14:paraId="27637067">
      <w:pPr>
        <w:pStyle w:val="14"/>
        <w:ind w:firstLine="960"/>
        <w:jc w:val="left"/>
        <w:rPr>
          <w:color w:val="auto"/>
        </w:rPr>
      </w:pPr>
    </w:p>
    <w:p w14:paraId="2F9020CB">
      <w:pPr>
        <w:pStyle w:val="14"/>
        <w:jc w:val="left"/>
        <w:rPr>
          <w:color w:val="auto"/>
        </w:rPr>
      </w:pPr>
    </w:p>
    <w:p w14:paraId="4CF0F9B7">
      <w:pPr>
        <w:pStyle w:val="14"/>
        <w:jc w:val="left"/>
        <w:rPr>
          <w:color w:val="auto"/>
        </w:rPr>
      </w:pPr>
      <w:r>
        <w:rPr>
          <w:color w:val="auto"/>
        </w:rP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1B4E1E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F5E07D5">
            <w:pPr>
              <w:pStyle w:val="14"/>
              <w:jc w:val="left"/>
              <w:rPr>
                <w:color w:val="auto"/>
              </w:rPr>
            </w:pPr>
            <w:r>
              <w:rPr>
                <w:color w:val="auto"/>
              </w:rPr>
              <w:t>资格审查要求概况</w:t>
            </w:r>
          </w:p>
        </w:tc>
        <w:tc>
          <w:tcPr>
            <w:tcW w:w="4614" w:type="dxa"/>
          </w:tcPr>
          <w:p w14:paraId="719786C7">
            <w:pPr>
              <w:pStyle w:val="14"/>
              <w:jc w:val="left"/>
              <w:rPr>
                <w:color w:val="auto"/>
              </w:rPr>
            </w:pPr>
            <w:r>
              <w:rPr>
                <w:color w:val="auto"/>
              </w:rPr>
              <w:t>评审点具体描述</w:t>
            </w:r>
          </w:p>
        </w:tc>
      </w:tr>
      <w:tr w14:paraId="57E312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2A43D53">
            <w:pPr>
              <w:pStyle w:val="14"/>
              <w:jc w:val="left"/>
              <w:rPr>
                <w:color w:val="auto"/>
              </w:rPr>
            </w:pPr>
            <w:r>
              <w:rPr>
                <w:color w:val="auto"/>
              </w:rPr>
              <w:t>磋商文件规定的其他资格证明文件-1</w:t>
            </w:r>
          </w:p>
        </w:tc>
        <w:tc>
          <w:tcPr>
            <w:tcW w:w="4614" w:type="dxa"/>
            <w:vAlign w:val="top"/>
          </w:tcPr>
          <w:p w14:paraId="066694EF">
            <w:pPr>
              <w:pStyle w:val="14"/>
              <w:jc w:val="left"/>
              <w:rPr>
                <w:color w:val="auto"/>
              </w:rPr>
            </w:pPr>
            <w:r>
              <w:rPr>
                <w:color w:val="auto"/>
              </w:rPr>
              <w:t>供应商应具备建设行政主管部门核发的合格有效</w:t>
            </w:r>
            <w:r>
              <w:rPr>
                <w:rFonts w:hint="eastAsia"/>
                <w:color w:val="auto"/>
                <w:lang w:eastAsia="zh-CN"/>
              </w:rPr>
              <w:t>不低于三级建筑工程</w:t>
            </w:r>
            <w:r>
              <w:rPr>
                <w:rFonts w:hint="eastAsia"/>
                <w:color w:val="auto"/>
                <w:lang w:val="en-US" w:eastAsia="zh-CN"/>
              </w:rPr>
              <w:t>或</w:t>
            </w:r>
            <w:r>
              <w:rPr>
                <w:rFonts w:hint="eastAsia"/>
                <w:color w:val="auto"/>
                <w:lang w:eastAsia="zh-CN"/>
              </w:rPr>
              <w:t>不低于三级</w:t>
            </w:r>
            <w:r>
              <w:rPr>
                <w:rFonts w:hint="eastAsia"/>
                <w:color w:val="auto"/>
                <w:lang w:val="en-US" w:eastAsia="zh-CN"/>
              </w:rPr>
              <w:t>市政公用工程</w:t>
            </w:r>
            <w:r>
              <w:rPr>
                <w:rFonts w:hint="eastAsia"/>
                <w:color w:val="auto"/>
                <w:lang w:eastAsia="zh-CN"/>
              </w:rPr>
              <w:t>施工总承包</w:t>
            </w:r>
            <w:r>
              <w:rPr>
                <w:color w:val="auto"/>
              </w:rPr>
              <w:t>资质，以及具备有建设行政主管部门颁发的有效的安全生产许可证。供应商应在响应文件中提供相关证书复印件并加盖公章。</w:t>
            </w:r>
          </w:p>
        </w:tc>
      </w:tr>
      <w:tr w14:paraId="6A3AE5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0905D65">
            <w:pPr>
              <w:pStyle w:val="14"/>
              <w:jc w:val="left"/>
              <w:rPr>
                <w:color w:val="auto"/>
              </w:rPr>
            </w:pPr>
            <w:r>
              <w:rPr>
                <w:color w:val="auto"/>
              </w:rPr>
              <w:t>磋商文件规定的其他资格证明文件-2</w:t>
            </w:r>
          </w:p>
        </w:tc>
        <w:tc>
          <w:tcPr>
            <w:tcW w:w="4614" w:type="dxa"/>
            <w:vAlign w:val="top"/>
          </w:tcPr>
          <w:p w14:paraId="02AB93B9">
            <w:pPr>
              <w:pStyle w:val="14"/>
              <w:jc w:val="left"/>
              <w:rPr>
                <w:color w:val="auto"/>
              </w:rPr>
            </w:pPr>
            <w:r>
              <w:rPr>
                <w:b/>
                <w:color w:val="auto"/>
              </w:rPr>
              <w:t>拟派项目负责人（即项目经理）须具有</w:t>
            </w:r>
            <w:r>
              <w:rPr>
                <w:rFonts w:hint="eastAsia"/>
                <w:b/>
                <w:color w:val="auto"/>
                <w:lang w:val="en-US" w:eastAsia="zh-CN"/>
              </w:rPr>
              <w:t>不低于二级建筑工程或不低于二级市政公用工程注册建造师执业资格</w:t>
            </w:r>
            <w:r>
              <w:rPr>
                <w:b/>
                <w:color w:val="auto"/>
              </w:rPr>
              <w:t>并持有效的安全生产考核合格证书B证</w:t>
            </w:r>
            <w:r>
              <w:rPr>
                <w:color w:val="auto"/>
              </w:rPr>
              <w:t>。</w:t>
            </w:r>
            <w:r>
              <w:rPr>
                <w:rFonts w:ascii="宋体" w:hAnsi="宋体" w:eastAsia="宋体" w:cs="宋体"/>
                <w:color w:val="auto"/>
                <w:kern w:val="0"/>
                <w:sz w:val="24"/>
                <w:szCs w:val="24"/>
                <w:lang w:val="en-US" w:eastAsia="zh-CN" w:bidi="ar"/>
              </w:rPr>
              <w:t>拟派出项目负责人必须为供应商的本企业在岗人员，</w:t>
            </w:r>
            <w:r>
              <w:rPr>
                <w:rFonts w:hint="eastAsia" w:ascii="宋体" w:hAnsi="宋体" w:eastAsia="宋体" w:cs="宋体"/>
                <w:color w:val="auto"/>
                <w:kern w:val="0"/>
                <w:sz w:val="24"/>
                <w:szCs w:val="24"/>
                <w:lang w:val="en-US" w:eastAsia="zh-CN" w:bidi="ar"/>
              </w:rPr>
              <w:t>同时需</w:t>
            </w:r>
            <w:r>
              <w:rPr>
                <w:rFonts w:ascii="宋体" w:hAnsi="宋体" w:eastAsia="宋体" w:cs="宋体"/>
                <w:color w:val="auto"/>
                <w:kern w:val="0"/>
                <w:sz w:val="24"/>
                <w:szCs w:val="24"/>
                <w:lang w:val="en-US" w:eastAsia="zh-CN" w:bidi="ar"/>
              </w:rPr>
              <w:t>提供投标人为其缴纳的投标截止时间前6个月（不含投标截止当月）任意1个月社保缴费证明材料。</w:t>
            </w:r>
          </w:p>
        </w:tc>
      </w:tr>
      <w:tr w14:paraId="4D4047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4DEF2AD">
            <w:pPr>
              <w:pStyle w:val="14"/>
              <w:jc w:val="left"/>
              <w:rPr>
                <w:color w:val="auto"/>
              </w:rPr>
            </w:pPr>
            <w:r>
              <w:rPr>
                <w:color w:val="auto"/>
              </w:rPr>
              <w:t>本采购包属于专门面向中小企业采购。</w:t>
            </w:r>
          </w:p>
        </w:tc>
        <w:tc>
          <w:tcPr>
            <w:tcW w:w="4614" w:type="dxa"/>
          </w:tcPr>
          <w:p w14:paraId="44A6DFF9">
            <w:pPr>
              <w:pStyle w:val="14"/>
              <w:jc w:val="left"/>
              <w:rPr>
                <w:color w:val="auto"/>
              </w:rPr>
            </w:pPr>
            <w:r>
              <w:rPr>
                <w:color w:val="auto"/>
              </w:rPr>
              <w:t>本采购包为专门面向中小企业采购，投标人须提供中小企业声明函。监狱企业、残疾人福利性单位视同小型、微型企业。</w:t>
            </w:r>
          </w:p>
        </w:tc>
      </w:tr>
      <w:tr w14:paraId="3411F2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top"/>
          </w:tcPr>
          <w:p w14:paraId="221C9F74">
            <w:pPr>
              <w:pStyle w:val="14"/>
              <w:jc w:val="left"/>
              <w:rPr>
                <w:color w:val="auto"/>
              </w:rPr>
            </w:pPr>
            <w:r>
              <w:rPr>
                <w:color w:val="auto"/>
              </w:rPr>
              <w:t>资格承诺函</w:t>
            </w:r>
          </w:p>
        </w:tc>
        <w:tc>
          <w:tcPr>
            <w:tcW w:w="4614" w:type="dxa"/>
            <w:vAlign w:val="top"/>
          </w:tcPr>
          <w:p w14:paraId="66C3BED3">
            <w:pPr>
              <w:pStyle w:val="14"/>
              <w:jc w:val="left"/>
              <w:rPr>
                <w:color w:val="auto"/>
              </w:rPr>
            </w:pPr>
            <w:r>
              <w:rPr>
                <w:color w:val="auto"/>
              </w:rPr>
              <w:t>采用资格承诺制的供应商，须根据投标(响应)格式文件要求提供资格承诺函，否则，视为未按照招标文件规定提交投标人的资格及资信文件，按资格审查不合格处理。</w:t>
            </w:r>
          </w:p>
        </w:tc>
      </w:tr>
    </w:tbl>
    <w:p w14:paraId="06170EFA">
      <w:pPr>
        <w:pStyle w:val="14"/>
        <w:ind w:firstLine="960"/>
        <w:jc w:val="left"/>
        <w:rPr>
          <w:color w:val="auto"/>
        </w:rPr>
      </w:pPr>
      <w:r>
        <w:rPr>
          <w:color w:val="auto"/>
        </w:rPr>
        <w:t>6.3是否接受联合体形式的响应磋商：</w:t>
      </w:r>
    </w:p>
    <w:p w14:paraId="37A781D4">
      <w:pPr>
        <w:pStyle w:val="14"/>
        <w:ind w:firstLine="960"/>
        <w:jc w:val="left"/>
        <w:rPr>
          <w:color w:val="auto"/>
        </w:rPr>
      </w:pPr>
    </w:p>
    <w:p w14:paraId="5BD8631B">
      <w:pPr>
        <w:pStyle w:val="14"/>
        <w:jc w:val="left"/>
        <w:rPr>
          <w:color w:val="auto"/>
        </w:rPr>
      </w:pPr>
    </w:p>
    <w:p w14:paraId="477DEBFD">
      <w:pPr>
        <w:pStyle w:val="14"/>
        <w:jc w:val="left"/>
        <w:rPr>
          <w:color w:val="auto"/>
        </w:rPr>
      </w:pPr>
      <w:r>
        <w:rPr>
          <w:color w:val="auto"/>
        </w:rPr>
        <w:t>采购包1：不接受</w:t>
      </w:r>
    </w:p>
    <w:p w14:paraId="3E550079">
      <w:pPr>
        <w:pStyle w:val="14"/>
        <w:ind w:firstLine="480"/>
        <w:jc w:val="left"/>
        <w:rPr>
          <w:color w:val="auto"/>
        </w:rPr>
      </w:pPr>
      <w:r>
        <w:rPr>
          <w:b/>
          <w:color w:val="auto"/>
        </w:rPr>
        <w:t>※根据上述资格要求，供应商响应文件中应提交的“资格证明文件”相关规定和资料要求，详见竞争性磋商须知前附表和磋商文件第五章。</w:t>
      </w:r>
    </w:p>
    <w:p w14:paraId="0B3AA3F2">
      <w:pPr>
        <w:pStyle w:val="14"/>
        <w:ind w:firstLine="480"/>
        <w:jc w:val="left"/>
        <w:outlineLvl w:val="2"/>
        <w:rPr>
          <w:color w:val="auto"/>
        </w:rPr>
      </w:pPr>
      <w:r>
        <w:rPr>
          <w:b/>
          <w:color w:val="auto"/>
          <w:sz w:val="28"/>
        </w:rPr>
        <w:t>7.竞争性磋商文件获取期限：</w:t>
      </w:r>
    </w:p>
    <w:p w14:paraId="361DF413">
      <w:pPr>
        <w:pStyle w:val="14"/>
        <w:ind w:firstLine="480"/>
        <w:jc w:val="left"/>
        <w:rPr>
          <w:color w:val="auto"/>
        </w:rPr>
      </w:pPr>
      <w:r>
        <w:rPr>
          <w:color w:val="auto"/>
        </w:rPr>
        <w:t>详见磋商公告或更正公告（若有）。</w:t>
      </w:r>
    </w:p>
    <w:p w14:paraId="25203853">
      <w:pPr>
        <w:pStyle w:val="14"/>
        <w:ind w:firstLine="480"/>
        <w:jc w:val="left"/>
        <w:rPr>
          <w:color w:val="auto"/>
        </w:rPr>
      </w:pPr>
      <w:r>
        <w:rPr>
          <w:color w:val="auto"/>
        </w:rPr>
        <w:t>7.1如果采购过程中有发出更正公告，采购人将根据实际情况确定是否延长文件获取期限，则文件获取截止时间以更正公告中的约定为准。</w:t>
      </w:r>
    </w:p>
    <w:p w14:paraId="73A65FA9">
      <w:pPr>
        <w:pStyle w:val="14"/>
        <w:ind w:firstLine="480"/>
        <w:jc w:val="left"/>
        <w:rPr>
          <w:color w:val="auto"/>
        </w:rPr>
      </w:pPr>
      <w:r>
        <w:rPr>
          <w:color w:val="auto"/>
        </w:rPr>
        <w:t>7.2竞争性磋商文件获取期限内，供应商应通过福建省政府采购网上公开信息系统的注册账号（免费注册）并获取竞争性磋商文件(登陆福建省政府采购网上公开信息系统进行文件获取)，否则报价响应将被拒绝。</w:t>
      </w:r>
    </w:p>
    <w:p w14:paraId="2D384263">
      <w:pPr>
        <w:pStyle w:val="14"/>
        <w:ind w:firstLine="480"/>
        <w:jc w:val="left"/>
        <w:outlineLvl w:val="2"/>
        <w:rPr>
          <w:color w:val="auto"/>
        </w:rPr>
      </w:pPr>
      <w:r>
        <w:rPr>
          <w:b/>
          <w:color w:val="auto"/>
          <w:sz w:val="28"/>
        </w:rPr>
        <w:t>8.获取采购文件时间、地点、方式：</w:t>
      </w:r>
    </w:p>
    <w:p w14:paraId="6B0C66D7">
      <w:pPr>
        <w:pStyle w:val="14"/>
        <w:ind w:firstLine="480"/>
        <w:jc w:val="left"/>
        <w:rPr>
          <w:color w:val="auto"/>
        </w:rPr>
      </w:pPr>
      <w:r>
        <w:rPr>
          <w:color w:val="auto"/>
        </w:rPr>
        <w:t>8.1采购文件的提供期限：详见磋商公告或更正公告（若有），若不一致，以更正公告（若有）为准。采购文件的提供期限与磋商公告的公告期限保持一致。</w:t>
      </w:r>
    </w:p>
    <w:p w14:paraId="0D6B4344">
      <w:pPr>
        <w:pStyle w:val="14"/>
        <w:ind w:firstLine="480"/>
        <w:jc w:val="left"/>
        <w:rPr>
          <w:color w:val="auto"/>
        </w:rPr>
      </w:pPr>
      <w:r>
        <w:rPr>
          <w:color w:val="auto"/>
        </w:rPr>
        <w:t>8.2获取地点及方式：注册账号后通过福建省政府采购网上公开信息系统以下载方式获取。</w:t>
      </w:r>
    </w:p>
    <w:p w14:paraId="0771450D">
      <w:pPr>
        <w:pStyle w:val="14"/>
        <w:ind w:firstLine="480"/>
        <w:jc w:val="left"/>
        <w:outlineLvl w:val="2"/>
        <w:rPr>
          <w:color w:val="auto"/>
        </w:rPr>
      </w:pPr>
      <w:r>
        <w:rPr>
          <w:b/>
          <w:color w:val="auto"/>
          <w:sz w:val="28"/>
        </w:rPr>
        <w:t>9.采购文件售价：0元。</w:t>
      </w:r>
    </w:p>
    <w:p w14:paraId="2A54D072">
      <w:pPr>
        <w:pStyle w:val="14"/>
        <w:ind w:firstLine="480"/>
        <w:jc w:val="left"/>
        <w:outlineLvl w:val="2"/>
        <w:rPr>
          <w:color w:val="auto"/>
        </w:rPr>
      </w:pPr>
      <w:r>
        <w:rPr>
          <w:b/>
          <w:color w:val="auto"/>
          <w:sz w:val="28"/>
        </w:rPr>
        <w:t>10.首次响应文件递交截止时间及地点：</w:t>
      </w:r>
    </w:p>
    <w:p w14:paraId="2A1C5273">
      <w:pPr>
        <w:pStyle w:val="14"/>
        <w:ind w:firstLine="480"/>
        <w:jc w:val="left"/>
        <w:rPr>
          <w:color w:val="auto"/>
        </w:rPr>
      </w:pPr>
      <w:r>
        <w:rPr>
          <w:color w:val="auto"/>
        </w:rPr>
        <w:t>详见磋商公告或更正公告（若有），若不一致，以更正公告（若有）为准。供应商应在此之前将密封的首次响应文件送达本章第11条载明的地点，逾期送达的或不符合规定的响应文件将被拒绝接收。</w:t>
      </w:r>
    </w:p>
    <w:p w14:paraId="0CAB3F55">
      <w:pPr>
        <w:pStyle w:val="14"/>
        <w:ind w:firstLine="480"/>
        <w:jc w:val="left"/>
        <w:outlineLvl w:val="2"/>
        <w:rPr>
          <w:color w:val="auto"/>
        </w:rPr>
      </w:pPr>
      <w:r>
        <w:rPr>
          <w:b/>
          <w:color w:val="auto"/>
          <w:sz w:val="28"/>
        </w:rPr>
        <w:t>11.磋商时间及地点：</w:t>
      </w:r>
    </w:p>
    <w:p w14:paraId="3FA2086F">
      <w:pPr>
        <w:pStyle w:val="14"/>
        <w:ind w:firstLine="480"/>
        <w:jc w:val="left"/>
        <w:rPr>
          <w:color w:val="auto"/>
        </w:rPr>
      </w:pPr>
      <w:r>
        <w:rPr>
          <w:color w:val="auto"/>
        </w:rPr>
        <w:t>详见磋商公告或更正公告（若有），若不一致，以更正公告（若有）为准。</w:t>
      </w:r>
    </w:p>
    <w:p w14:paraId="265DE3A7">
      <w:pPr>
        <w:pStyle w:val="14"/>
        <w:ind w:firstLine="480"/>
        <w:jc w:val="left"/>
        <w:outlineLvl w:val="2"/>
        <w:rPr>
          <w:color w:val="auto"/>
        </w:rPr>
      </w:pPr>
      <w:r>
        <w:rPr>
          <w:b/>
          <w:color w:val="auto"/>
          <w:sz w:val="28"/>
        </w:rPr>
        <w:t>12.竞争性磋商公告期限：</w:t>
      </w:r>
    </w:p>
    <w:p w14:paraId="2A99AC9E">
      <w:pPr>
        <w:pStyle w:val="14"/>
        <w:ind w:firstLine="480"/>
        <w:jc w:val="left"/>
        <w:rPr>
          <w:color w:val="auto"/>
        </w:rPr>
      </w:pPr>
      <w:r>
        <w:rPr>
          <w:color w:val="auto"/>
        </w:rPr>
        <w:t>自财政部和福建省财政厅指定的政府采购信息发布媒体最先发布公告之日起3个工作日。</w:t>
      </w:r>
    </w:p>
    <w:p w14:paraId="24C12512">
      <w:pPr>
        <w:pStyle w:val="14"/>
        <w:ind w:firstLine="480"/>
        <w:jc w:val="left"/>
        <w:outlineLvl w:val="2"/>
        <w:rPr>
          <w:rFonts w:hint="eastAsia" w:eastAsiaTheme="minorEastAsia"/>
          <w:color w:val="auto"/>
          <w:lang w:eastAsia="zh-CN"/>
        </w:rPr>
      </w:pPr>
      <w:r>
        <w:rPr>
          <w:b/>
          <w:color w:val="auto"/>
          <w:sz w:val="28"/>
        </w:rPr>
        <w:t>13、采购人：</w:t>
      </w:r>
      <w:r>
        <w:rPr>
          <w:rFonts w:hint="eastAsia"/>
          <w:b/>
          <w:color w:val="auto"/>
          <w:sz w:val="28"/>
          <w:lang w:eastAsia="zh-CN"/>
        </w:rPr>
        <w:t>大田县第七中学</w:t>
      </w:r>
    </w:p>
    <w:p w14:paraId="7B828FCB">
      <w:pPr>
        <w:pStyle w:val="14"/>
        <w:ind w:firstLine="960"/>
        <w:jc w:val="left"/>
        <w:rPr>
          <w:color w:val="auto"/>
        </w:rPr>
      </w:pPr>
    </w:p>
    <w:p w14:paraId="1F0AC23E">
      <w:pPr>
        <w:pStyle w:val="14"/>
        <w:jc w:val="left"/>
        <w:rPr>
          <w:color w:val="auto"/>
        </w:rPr>
      </w:pPr>
    </w:p>
    <w:p w14:paraId="729E97A0">
      <w:pPr>
        <w:pStyle w:val="14"/>
        <w:jc w:val="left"/>
        <w:rPr>
          <w:rFonts w:hint="eastAsia" w:eastAsiaTheme="minorEastAsia"/>
          <w:color w:val="auto"/>
          <w:lang w:eastAsia="zh-CN"/>
        </w:rPr>
      </w:pPr>
      <w:r>
        <w:rPr>
          <w:color w:val="auto"/>
        </w:rPr>
        <w:t>地址：</w:t>
      </w:r>
      <w:r>
        <w:rPr>
          <w:rFonts w:hint="eastAsia"/>
          <w:color w:val="auto"/>
        </w:rPr>
        <w:t>大田县均溪镇香山路150-3号</w:t>
      </w:r>
    </w:p>
    <w:p w14:paraId="52F877A8">
      <w:pPr>
        <w:pStyle w:val="14"/>
        <w:jc w:val="left"/>
        <w:rPr>
          <w:color w:val="auto"/>
        </w:rPr>
      </w:pPr>
      <w:r>
        <w:rPr>
          <w:color w:val="auto"/>
        </w:rPr>
        <w:t>邮编：366100</w:t>
      </w:r>
    </w:p>
    <w:p w14:paraId="26FA668D">
      <w:pPr>
        <w:pStyle w:val="14"/>
        <w:jc w:val="left"/>
        <w:rPr>
          <w:rFonts w:hint="eastAsia" w:eastAsiaTheme="minorEastAsia"/>
          <w:color w:val="auto"/>
          <w:lang w:eastAsia="zh-CN"/>
        </w:rPr>
      </w:pPr>
      <w:r>
        <w:rPr>
          <w:color w:val="auto"/>
        </w:rPr>
        <w:t>联系人：</w:t>
      </w:r>
      <w:r>
        <w:rPr>
          <w:rFonts w:hint="eastAsia"/>
          <w:color w:val="auto"/>
          <w:lang w:val="en-US" w:eastAsia="zh-CN"/>
        </w:rPr>
        <w:t>卢</w:t>
      </w:r>
      <w:r>
        <w:rPr>
          <w:rFonts w:hint="eastAsia"/>
          <w:color w:val="auto"/>
          <w:lang w:eastAsia="zh-CN"/>
        </w:rPr>
        <w:t>先生</w:t>
      </w:r>
    </w:p>
    <w:p w14:paraId="33C45E14">
      <w:pPr>
        <w:pStyle w:val="14"/>
        <w:jc w:val="left"/>
        <w:rPr>
          <w:rFonts w:hint="eastAsia" w:eastAsiaTheme="minorEastAsia"/>
          <w:color w:val="auto"/>
          <w:lang w:eastAsia="zh-CN"/>
        </w:rPr>
      </w:pPr>
      <w:r>
        <w:rPr>
          <w:color w:val="auto"/>
        </w:rPr>
        <w:t>联系电话：</w:t>
      </w:r>
      <w:r>
        <w:rPr>
          <w:rFonts w:hint="eastAsia"/>
          <w:color w:val="auto"/>
        </w:rPr>
        <w:t>05987236608</w:t>
      </w:r>
    </w:p>
    <w:p w14:paraId="47DC0645">
      <w:pPr>
        <w:pStyle w:val="14"/>
        <w:ind w:firstLine="480"/>
        <w:jc w:val="left"/>
        <w:outlineLvl w:val="2"/>
        <w:rPr>
          <w:rFonts w:hint="eastAsia" w:eastAsiaTheme="minorEastAsia"/>
          <w:color w:val="auto"/>
          <w:lang w:eastAsia="zh-CN"/>
        </w:rPr>
      </w:pPr>
      <w:r>
        <w:rPr>
          <w:b/>
          <w:color w:val="auto"/>
          <w:sz w:val="28"/>
        </w:rPr>
        <w:t>14、代理机构：</w:t>
      </w:r>
      <w:r>
        <w:rPr>
          <w:rFonts w:hint="eastAsia"/>
          <w:b/>
          <w:color w:val="auto"/>
          <w:sz w:val="28"/>
          <w:lang w:eastAsia="zh-CN"/>
        </w:rPr>
        <w:t>福建省明建工程咨询有限公司</w:t>
      </w:r>
    </w:p>
    <w:p w14:paraId="5C79C88B">
      <w:pPr>
        <w:pStyle w:val="14"/>
        <w:ind w:firstLine="960"/>
        <w:jc w:val="left"/>
        <w:rPr>
          <w:color w:val="auto"/>
        </w:rPr>
      </w:pPr>
    </w:p>
    <w:p w14:paraId="26F581E8">
      <w:pPr>
        <w:pStyle w:val="14"/>
        <w:jc w:val="left"/>
        <w:rPr>
          <w:color w:val="auto"/>
        </w:rPr>
      </w:pPr>
    </w:p>
    <w:p w14:paraId="2C460D96">
      <w:pPr>
        <w:pStyle w:val="14"/>
        <w:jc w:val="left"/>
        <w:rPr>
          <w:rFonts w:hint="eastAsia" w:eastAsiaTheme="minorEastAsia"/>
          <w:color w:val="auto"/>
          <w:lang w:eastAsia="zh-CN"/>
        </w:rPr>
      </w:pPr>
      <w:r>
        <w:rPr>
          <w:color w:val="auto"/>
        </w:rPr>
        <w:t>地址：</w:t>
      </w:r>
      <w:r>
        <w:rPr>
          <w:rFonts w:hint="eastAsia"/>
          <w:color w:val="auto"/>
          <w:lang w:eastAsia="zh-CN"/>
        </w:rPr>
        <w:t>大田县均溪镇宝山路31-5号二楼</w:t>
      </w:r>
    </w:p>
    <w:p w14:paraId="628A2494">
      <w:pPr>
        <w:pStyle w:val="14"/>
        <w:jc w:val="left"/>
        <w:rPr>
          <w:color w:val="auto"/>
        </w:rPr>
      </w:pPr>
      <w:r>
        <w:rPr>
          <w:color w:val="auto"/>
        </w:rPr>
        <w:t>邮编：366100</w:t>
      </w:r>
    </w:p>
    <w:p w14:paraId="4037ABB7">
      <w:pPr>
        <w:pStyle w:val="14"/>
        <w:jc w:val="left"/>
        <w:rPr>
          <w:rFonts w:hint="default" w:eastAsiaTheme="minorEastAsia"/>
          <w:color w:val="auto"/>
          <w:lang w:val="en-US" w:eastAsia="zh-CN"/>
        </w:rPr>
      </w:pPr>
      <w:r>
        <w:rPr>
          <w:color w:val="auto"/>
        </w:rPr>
        <w:t>联系人：</w:t>
      </w:r>
      <w:r>
        <w:rPr>
          <w:rFonts w:hint="eastAsia"/>
          <w:color w:val="auto"/>
          <w:lang w:val="en-US" w:eastAsia="zh-CN"/>
        </w:rPr>
        <w:t>陈桂玲</w:t>
      </w:r>
    </w:p>
    <w:p w14:paraId="6AAAD24F">
      <w:pPr>
        <w:pStyle w:val="14"/>
        <w:jc w:val="left"/>
        <w:rPr>
          <w:rFonts w:hint="default" w:eastAsiaTheme="minorEastAsia"/>
          <w:color w:val="auto"/>
          <w:lang w:val="en-US" w:eastAsia="zh-CN"/>
        </w:rPr>
      </w:pPr>
      <w:r>
        <w:rPr>
          <w:color w:val="auto"/>
        </w:rPr>
        <w:t>联系电话：</w:t>
      </w:r>
      <w:r>
        <w:rPr>
          <w:rFonts w:hint="eastAsia"/>
          <w:color w:val="auto"/>
          <w:lang w:eastAsia="zh-CN"/>
        </w:rPr>
        <w:t>0598-7226272</w:t>
      </w:r>
      <w:r>
        <w:rPr>
          <w:rFonts w:hint="eastAsia"/>
          <w:color w:val="auto"/>
          <w:lang w:val="en-US" w:eastAsia="zh-CN"/>
        </w:rPr>
        <w:t>/13559876710</w:t>
      </w:r>
    </w:p>
    <w:p w14:paraId="046253ED">
      <w:pPr>
        <w:pStyle w:val="14"/>
        <w:jc w:val="left"/>
        <w:outlineLvl w:val="2"/>
        <w:rPr>
          <w:color w:val="auto"/>
        </w:rPr>
      </w:pPr>
      <w:r>
        <w:rPr>
          <w:b/>
          <w:color w:val="auto"/>
          <w:sz w:val="28"/>
        </w:rPr>
        <w:t>附1：购买采购文件和提交磋商保证金的银行账户信息</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3C1513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A470B4C">
            <w:pPr>
              <w:pStyle w:val="14"/>
              <w:jc w:val="center"/>
              <w:rPr>
                <w:color w:val="auto"/>
              </w:rPr>
            </w:pPr>
            <w:r>
              <w:rPr>
                <w:b/>
                <w:color w:val="auto"/>
              </w:rPr>
              <w:t>银行账户</w:t>
            </w:r>
          </w:p>
        </w:tc>
      </w:tr>
      <w:tr w14:paraId="02E7A4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D9D89ED">
            <w:pPr>
              <w:pStyle w:val="14"/>
              <w:jc w:val="center"/>
              <w:rPr>
                <w:rFonts w:hint="eastAsia" w:eastAsiaTheme="minorEastAsia"/>
                <w:color w:val="auto"/>
                <w:lang w:eastAsia="zh-CN"/>
              </w:rPr>
            </w:pPr>
            <w:r>
              <w:rPr>
                <w:b/>
                <w:color w:val="auto"/>
              </w:rPr>
              <w:t>开户名称：</w:t>
            </w:r>
            <w:r>
              <w:rPr>
                <w:rFonts w:hint="eastAsia"/>
                <w:b/>
                <w:color w:val="auto"/>
                <w:lang w:eastAsia="zh-CN"/>
              </w:rPr>
              <w:t>福建省明建工程咨询有限公司</w:t>
            </w:r>
          </w:p>
        </w:tc>
      </w:tr>
      <w:tr w14:paraId="6084D6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70E8664">
            <w:pPr>
              <w:pStyle w:val="14"/>
              <w:jc w:val="center"/>
              <w:rPr>
                <w:color w:val="auto"/>
              </w:rPr>
            </w:pPr>
            <w:r>
              <w:rPr>
                <w:b/>
                <w:color w:val="auto"/>
              </w:rPr>
              <w:t>开户银行：由供应商在福建省政府采购网上公开信息系统获取竞争性磋商文件成功后根据系统的提示，自行选择要缴交的保证金托管银行</w:t>
            </w:r>
          </w:p>
        </w:tc>
      </w:tr>
      <w:tr w14:paraId="4D41B6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D70BA72">
            <w:pPr>
              <w:pStyle w:val="14"/>
              <w:jc w:val="center"/>
              <w:rPr>
                <w:color w:val="auto"/>
              </w:rPr>
            </w:pPr>
            <w:r>
              <w:rPr>
                <w:b/>
                <w:color w:val="auto"/>
              </w:rPr>
              <w:t>银行账号：福建省政府采购网上公开信息系统根据供应商选择的保证金托管银行，自动生成供应商所投采购包的缴交银行账号。若投多个采购包将生成多个对应缴交账号。请分别根据所投采购包的保证金要求，进行保证金缴交。</w:t>
            </w:r>
          </w:p>
        </w:tc>
      </w:tr>
      <w:tr w14:paraId="41216C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63DE3A2">
            <w:pPr>
              <w:pStyle w:val="14"/>
              <w:jc w:val="center"/>
              <w:rPr>
                <w:color w:val="auto"/>
              </w:rPr>
            </w:pPr>
            <w:r>
              <w:rPr>
                <w:b/>
                <w:color w:val="auto"/>
              </w:rPr>
              <w:t>特别提示</w:t>
            </w:r>
          </w:p>
        </w:tc>
      </w:tr>
      <w:tr w14:paraId="7411F1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072B398">
            <w:pPr>
              <w:pStyle w:val="14"/>
              <w:jc w:val="center"/>
              <w:rPr>
                <w:color w:val="auto"/>
              </w:rPr>
            </w:pPr>
            <w:r>
              <w:rPr>
                <w:b/>
                <w:color w:val="auto"/>
              </w:rPr>
              <w:t>1、请供应商务必认真核对账户信息，将磋商保证金款项汇入对应账户，并自行承担因款项汇错而产生的一切后果。</w:t>
            </w:r>
          </w:p>
          <w:p w14:paraId="4B0391C0">
            <w:pPr>
              <w:pStyle w:val="14"/>
              <w:jc w:val="center"/>
              <w:rPr>
                <w:color w:val="auto"/>
              </w:rPr>
            </w:pPr>
            <w:r>
              <w:rPr>
                <w:b/>
                <w:color w:val="auto"/>
              </w:rPr>
              <w:t>2、请供应商在转账或电汇的凭证上务必按照以下格式注明，以便核对：“（项目编号：***、采购包：***）的磋商保证金”。</w:t>
            </w:r>
          </w:p>
        </w:tc>
      </w:tr>
    </w:tbl>
    <w:p w14:paraId="7F938F75">
      <w:pPr>
        <w:pStyle w:val="14"/>
        <w:jc w:val="center"/>
        <w:rPr>
          <w:color w:val="auto"/>
        </w:rPr>
      </w:pPr>
    </w:p>
    <w:p w14:paraId="7DD620AD">
      <w:pPr>
        <w:pStyle w:val="14"/>
        <w:jc w:val="center"/>
        <w:rPr>
          <w:color w:val="auto"/>
        </w:rPr>
      </w:pPr>
      <w:r>
        <w:rPr>
          <w:b/>
          <w:color w:val="auto"/>
        </w:rPr>
        <w:t xml:space="preserve"> </w:t>
      </w:r>
    </w:p>
    <w:p w14:paraId="13809995">
      <w:pPr>
        <w:pStyle w:val="14"/>
        <w:jc w:val="center"/>
        <w:outlineLvl w:val="1"/>
        <w:rPr>
          <w:color w:val="auto"/>
        </w:rPr>
      </w:pPr>
      <w:r>
        <w:rPr>
          <w:b/>
          <w:color w:val="auto"/>
          <w:sz w:val="36"/>
        </w:rPr>
        <w:t>第二章  竞争性磋商须知</w:t>
      </w:r>
    </w:p>
    <w:p w14:paraId="36E29A56">
      <w:pPr>
        <w:pStyle w:val="14"/>
        <w:jc w:val="center"/>
        <w:outlineLvl w:val="2"/>
        <w:rPr>
          <w:color w:val="auto"/>
        </w:rPr>
      </w:pPr>
      <w:r>
        <w:rPr>
          <w:b/>
          <w:color w:val="auto"/>
          <w:sz w:val="28"/>
        </w:rPr>
        <w:t>第1节  竞争性磋商须知前附表（表1、表2）</w:t>
      </w:r>
    </w:p>
    <w:p w14:paraId="2E678E80">
      <w:pPr>
        <w:pStyle w:val="14"/>
        <w:jc w:val="center"/>
        <w:outlineLvl w:val="3"/>
        <w:rPr>
          <w:color w:val="auto"/>
        </w:rPr>
      </w:pPr>
      <w:r>
        <w:rPr>
          <w:b/>
          <w:color w:val="auto"/>
          <w:sz w:val="24"/>
        </w:rPr>
        <w:t>一、竞争性磋商须知前附表1</w:t>
      </w:r>
    </w:p>
    <w:p w14:paraId="2075A77C">
      <w:pPr>
        <w:pStyle w:val="14"/>
        <w:jc w:val="left"/>
        <w:rPr>
          <w:color w:val="auto"/>
        </w:rPr>
      </w:pPr>
      <w:r>
        <w:rPr>
          <w:b/>
          <w:color w:val="auto"/>
        </w:rPr>
        <w:t>竞争性磋商须知前附表是对竞争性磋商须知的补充和细化，二者如有矛盾，以前附表中的要求和规定为准</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4"/>
        <w:gridCol w:w="810"/>
        <w:gridCol w:w="6818"/>
      </w:tblGrid>
      <w:tr w14:paraId="0FDE8F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4" w:type="dxa"/>
          </w:tcPr>
          <w:p w14:paraId="4692CA02">
            <w:pPr>
              <w:pStyle w:val="14"/>
              <w:jc w:val="center"/>
              <w:rPr>
                <w:color w:val="auto"/>
              </w:rPr>
            </w:pPr>
            <w:r>
              <w:rPr>
                <w:b/>
                <w:color w:val="auto"/>
              </w:rPr>
              <w:t>项号</w:t>
            </w:r>
          </w:p>
        </w:tc>
        <w:tc>
          <w:tcPr>
            <w:tcW w:w="810" w:type="dxa"/>
          </w:tcPr>
          <w:p w14:paraId="64833CD0">
            <w:pPr>
              <w:pStyle w:val="14"/>
              <w:jc w:val="center"/>
              <w:rPr>
                <w:color w:val="auto"/>
              </w:rPr>
            </w:pPr>
            <w:r>
              <w:rPr>
                <w:b/>
                <w:color w:val="auto"/>
              </w:rPr>
              <w:t>条款号</w:t>
            </w:r>
          </w:p>
        </w:tc>
        <w:tc>
          <w:tcPr>
            <w:tcW w:w="6818" w:type="dxa"/>
          </w:tcPr>
          <w:p w14:paraId="078D44B6">
            <w:pPr>
              <w:pStyle w:val="14"/>
              <w:jc w:val="center"/>
              <w:rPr>
                <w:color w:val="auto"/>
              </w:rPr>
            </w:pPr>
            <w:r>
              <w:rPr>
                <w:b/>
                <w:color w:val="auto"/>
              </w:rPr>
              <w:t>编列内容</w:t>
            </w:r>
          </w:p>
        </w:tc>
      </w:tr>
      <w:tr w14:paraId="7B768E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4" w:type="dxa"/>
          </w:tcPr>
          <w:p w14:paraId="49A29EFF">
            <w:pPr>
              <w:pStyle w:val="14"/>
              <w:jc w:val="center"/>
              <w:rPr>
                <w:color w:val="auto"/>
              </w:rPr>
            </w:pPr>
            <w:r>
              <w:rPr>
                <w:b/>
                <w:color w:val="auto"/>
              </w:rPr>
              <w:t>1</w:t>
            </w:r>
          </w:p>
        </w:tc>
        <w:tc>
          <w:tcPr>
            <w:tcW w:w="810" w:type="dxa"/>
          </w:tcPr>
          <w:p w14:paraId="71D8B1A7">
            <w:pPr>
              <w:pStyle w:val="14"/>
              <w:jc w:val="center"/>
              <w:rPr>
                <w:color w:val="auto"/>
              </w:rPr>
            </w:pPr>
            <w:r>
              <w:rPr>
                <w:b/>
                <w:color w:val="auto"/>
              </w:rPr>
              <w:t>3.2.1</w:t>
            </w:r>
          </w:p>
        </w:tc>
        <w:tc>
          <w:tcPr>
            <w:tcW w:w="6818" w:type="dxa"/>
          </w:tcPr>
          <w:p w14:paraId="0D0D026B">
            <w:pPr>
              <w:pStyle w:val="14"/>
              <w:jc w:val="center"/>
              <w:rPr>
                <w:color w:val="auto"/>
              </w:rPr>
            </w:pPr>
            <w:r>
              <w:rPr>
                <w:b/>
                <w:color w:val="auto"/>
              </w:rPr>
              <w:t>供应商的资格要求：见磋商文件第一章“采购公告/采购邀请书”</w:t>
            </w:r>
          </w:p>
          <w:p w14:paraId="7578FFDB">
            <w:pPr>
              <w:pStyle w:val="14"/>
              <w:jc w:val="center"/>
              <w:rPr>
                <w:color w:val="auto"/>
              </w:rPr>
            </w:pPr>
            <w:r>
              <w:rPr>
                <w:b/>
                <w:color w:val="auto"/>
              </w:rPr>
              <w:t>（1）资格证明文件资料要求：</w:t>
            </w:r>
          </w:p>
          <w:p w14:paraId="27FAD8F1">
            <w:pPr>
              <w:pStyle w:val="14"/>
              <w:jc w:val="center"/>
              <w:rPr>
                <w:color w:val="auto"/>
              </w:rPr>
            </w:pPr>
          </w:p>
          <w:p w14:paraId="6AB19AF1">
            <w:pPr>
              <w:pStyle w:val="14"/>
              <w:jc w:val="center"/>
              <w:rPr>
                <w:color w:val="auto"/>
              </w:rPr>
            </w:pPr>
          </w:p>
          <w:p w14:paraId="7220E173">
            <w:pPr>
              <w:pStyle w:val="14"/>
              <w:jc w:val="center"/>
              <w:rPr>
                <w:color w:val="auto"/>
              </w:rPr>
            </w:pPr>
          </w:p>
          <w:p w14:paraId="1357447C">
            <w:pPr>
              <w:pStyle w:val="14"/>
              <w:jc w:val="center"/>
              <w:rPr>
                <w:color w:val="auto"/>
              </w:rPr>
            </w:pPr>
            <w:r>
              <w:rPr>
                <w:b/>
                <w:color w:val="auto"/>
              </w:rP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43"/>
              <w:gridCol w:w="1568"/>
              <w:gridCol w:w="4367"/>
            </w:tblGrid>
            <w:tr w14:paraId="30AD2C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9" w:hRule="atLeast"/>
              </w:trPr>
              <w:tc>
                <w:tcPr>
                  <w:tcW w:w="643" w:type="dxa"/>
                </w:tcPr>
                <w:p w14:paraId="196059B2">
                  <w:pPr>
                    <w:pStyle w:val="14"/>
                    <w:jc w:val="center"/>
                    <w:rPr>
                      <w:color w:val="auto"/>
                    </w:rPr>
                  </w:pPr>
                  <w:r>
                    <w:rPr>
                      <w:b/>
                      <w:color w:val="auto"/>
                    </w:rPr>
                    <w:t>序号</w:t>
                  </w:r>
                </w:p>
              </w:tc>
              <w:tc>
                <w:tcPr>
                  <w:tcW w:w="1568" w:type="dxa"/>
                </w:tcPr>
                <w:p w14:paraId="428271A2">
                  <w:pPr>
                    <w:pStyle w:val="14"/>
                    <w:jc w:val="center"/>
                    <w:rPr>
                      <w:color w:val="auto"/>
                    </w:rPr>
                  </w:pPr>
                  <w:r>
                    <w:rPr>
                      <w:b/>
                      <w:color w:val="auto"/>
                    </w:rPr>
                    <w:t>资格审查要求概况</w:t>
                  </w:r>
                </w:p>
              </w:tc>
              <w:tc>
                <w:tcPr>
                  <w:tcW w:w="4367" w:type="dxa"/>
                </w:tcPr>
                <w:p w14:paraId="557123AC">
                  <w:pPr>
                    <w:pStyle w:val="14"/>
                    <w:jc w:val="center"/>
                    <w:rPr>
                      <w:color w:val="auto"/>
                    </w:rPr>
                  </w:pPr>
                  <w:r>
                    <w:rPr>
                      <w:b/>
                      <w:color w:val="auto"/>
                    </w:rPr>
                    <w:t>评审点具体描述</w:t>
                  </w:r>
                </w:p>
              </w:tc>
            </w:tr>
            <w:tr w14:paraId="6C6AE6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2" w:hRule="atLeast"/>
              </w:trPr>
              <w:tc>
                <w:tcPr>
                  <w:tcW w:w="643" w:type="dxa"/>
                </w:tcPr>
                <w:p w14:paraId="02B93336">
                  <w:pPr>
                    <w:pStyle w:val="14"/>
                    <w:jc w:val="center"/>
                    <w:rPr>
                      <w:color w:val="auto"/>
                    </w:rPr>
                  </w:pPr>
                  <w:r>
                    <w:rPr>
                      <w:b/>
                      <w:color w:val="auto"/>
                    </w:rPr>
                    <w:t>1</w:t>
                  </w:r>
                </w:p>
              </w:tc>
              <w:tc>
                <w:tcPr>
                  <w:tcW w:w="1568" w:type="dxa"/>
                </w:tcPr>
                <w:p w14:paraId="7DE661AE">
                  <w:pPr>
                    <w:pStyle w:val="14"/>
                    <w:jc w:val="center"/>
                    <w:rPr>
                      <w:color w:val="auto"/>
                    </w:rPr>
                  </w:pPr>
                  <w:r>
                    <w:rPr>
                      <w:b/>
                      <w:color w:val="auto"/>
                    </w:rPr>
                    <w:t>磋商响应声明</w:t>
                  </w:r>
                </w:p>
              </w:tc>
              <w:tc>
                <w:tcPr>
                  <w:tcW w:w="4367" w:type="dxa"/>
                </w:tcPr>
                <w:p w14:paraId="62754B4D">
                  <w:pPr>
                    <w:pStyle w:val="14"/>
                    <w:jc w:val="center"/>
                    <w:rPr>
                      <w:color w:val="auto"/>
                    </w:rPr>
                  </w:pPr>
                  <w:r>
                    <w:rPr>
                      <w:b/>
                      <w:color w:val="auto"/>
                    </w:rPr>
                    <w:t>详见声明函</w:t>
                  </w:r>
                </w:p>
              </w:tc>
            </w:tr>
            <w:tr w14:paraId="58427F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59" w:hRule="atLeast"/>
              </w:trPr>
              <w:tc>
                <w:tcPr>
                  <w:tcW w:w="643" w:type="dxa"/>
                </w:tcPr>
                <w:p w14:paraId="24CD073C">
                  <w:pPr>
                    <w:pStyle w:val="14"/>
                    <w:jc w:val="center"/>
                    <w:rPr>
                      <w:color w:val="auto"/>
                    </w:rPr>
                  </w:pPr>
                  <w:r>
                    <w:rPr>
                      <w:b/>
                      <w:color w:val="auto"/>
                    </w:rPr>
                    <w:t>2</w:t>
                  </w:r>
                </w:p>
              </w:tc>
              <w:tc>
                <w:tcPr>
                  <w:tcW w:w="1568" w:type="dxa"/>
                </w:tcPr>
                <w:p w14:paraId="07EC7C0B">
                  <w:pPr>
                    <w:pStyle w:val="14"/>
                    <w:jc w:val="center"/>
                    <w:rPr>
                      <w:color w:val="auto"/>
                    </w:rPr>
                  </w:pPr>
                  <w:r>
                    <w:rPr>
                      <w:b/>
                      <w:color w:val="auto"/>
                    </w:rPr>
                    <w:t>单位负责人授权书</w:t>
                  </w:r>
                </w:p>
              </w:tc>
              <w:tc>
                <w:tcPr>
                  <w:tcW w:w="4367" w:type="dxa"/>
                </w:tcPr>
                <w:p w14:paraId="0515DC55">
                  <w:pPr>
                    <w:pStyle w:val="14"/>
                    <w:jc w:val="center"/>
                    <w:rPr>
                      <w:color w:val="auto"/>
                    </w:rPr>
                  </w:pPr>
                  <w:r>
                    <w:rPr>
                      <w:b/>
                      <w:color w:val="auto"/>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14:paraId="068B40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13" w:hRule="atLeast"/>
              </w:trPr>
              <w:tc>
                <w:tcPr>
                  <w:tcW w:w="643" w:type="dxa"/>
                </w:tcPr>
                <w:p w14:paraId="2BE763C9">
                  <w:pPr>
                    <w:pStyle w:val="14"/>
                    <w:jc w:val="center"/>
                    <w:rPr>
                      <w:color w:val="auto"/>
                    </w:rPr>
                  </w:pPr>
                  <w:r>
                    <w:rPr>
                      <w:b/>
                      <w:color w:val="auto"/>
                    </w:rPr>
                    <w:t>3</w:t>
                  </w:r>
                </w:p>
              </w:tc>
              <w:tc>
                <w:tcPr>
                  <w:tcW w:w="1568" w:type="dxa"/>
                </w:tcPr>
                <w:p w14:paraId="4FDA1C04">
                  <w:pPr>
                    <w:pStyle w:val="14"/>
                    <w:jc w:val="center"/>
                    <w:rPr>
                      <w:color w:val="auto"/>
                    </w:rPr>
                  </w:pPr>
                  <w:r>
                    <w:rPr>
                      <w:b/>
                      <w:color w:val="auto"/>
                    </w:rPr>
                    <w:t>营业执照等证明文件</w:t>
                  </w:r>
                </w:p>
              </w:tc>
              <w:tc>
                <w:tcPr>
                  <w:tcW w:w="4367" w:type="dxa"/>
                </w:tcPr>
                <w:p w14:paraId="56FF3387">
                  <w:pPr>
                    <w:pStyle w:val="14"/>
                    <w:jc w:val="center"/>
                    <w:rPr>
                      <w:color w:val="auto"/>
                    </w:rPr>
                  </w:pPr>
                  <w:r>
                    <w:rPr>
                      <w:b/>
                      <w:color w:val="auto"/>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14:paraId="61EAE6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20" w:hRule="atLeast"/>
              </w:trPr>
              <w:tc>
                <w:tcPr>
                  <w:tcW w:w="643" w:type="dxa"/>
                </w:tcPr>
                <w:p w14:paraId="3BD4E780">
                  <w:pPr>
                    <w:pStyle w:val="14"/>
                    <w:jc w:val="center"/>
                    <w:rPr>
                      <w:color w:val="auto"/>
                    </w:rPr>
                  </w:pPr>
                  <w:r>
                    <w:rPr>
                      <w:b/>
                      <w:color w:val="auto"/>
                    </w:rPr>
                    <w:t>4</w:t>
                  </w:r>
                </w:p>
              </w:tc>
              <w:tc>
                <w:tcPr>
                  <w:tcW w:w="1568" w:type="dxa"/>
                </w:tcPr>
                <w:p w14:paraId="7ACC975E">
                  <w:pPr>
                    <w:pStyle w:val="14"/>
                    <w:jc w:val="center"/>
                    <w:rPr>
                      <w:color w:val="auto"/>
                    </w:rPr>
                  </w:pPr>
                  <w:r>
                    <w:rPr>
                      <w:b/>
                      <w:color w:val="auto"/>
                    </w:rPr>
                    <w:t>提供财务状况报告（财务报告、或资信证明）</w:t>
                  </w:r>
                </w:p>
              </w:tc>
              <w:tc>
                <w:tcPr>
                  <w:tcW w:w="4367" w:type="dxa"/>
                </w:tcPr>
                <w:p w14:paraId="1DEF5769">
                  <w:pPr>
                    <w:pStyle w:val="14"/>
                    <w:jc w:val="center"/>
                    <w:rPr>
                      <w:color w:val="auto"/>
                    </w:rPr>
                  </w:pPr>
                  <w:r>
                    <w:rPr>
                      <w:b/>
                      <w:color w:val="auto"/>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14:paraId="1FCF83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9" w:hRule="atLeast"/>
              </w:trPr>
              <w:tc>
                <w:tcPr>
                  <w:tcW w:w="643" w:type="dxa"/>
                </w:tcPr>
                <w:p w14:paraId="295A5CB5">
                  <w:pPr>
                    <w:pStyle w:val="14"/>
                    <w:jc w:val="center"/>
                    <w:rPr>
                      <w:color w:val="auto"/>
                    </w:rPr>
                  </w:pPr>
                  <w:r>
                    <w:rPr>
                      <w:b/>
                      <w:color w:val="auto"/>
                    </w:rPr>
                    <w:t>5</w:t>
                  </w:r>
                </w:p>
              </w:tc>
              <w:tc>
                <w:tcPr>
                  <w:tcW w:w="1568" w:type="dxa"/>
                </w:tcPr>
                <w:p w14:paraId="44B08FBC">
                  <w:pPr>
                    <w:pStyle w:val="14"/>
                    <w:jc w:val="center"/>
                    <w:rPr>
                      <w:color w:val="auto"/>
                    </w:rPr>
                  </w:pPr>
                  <w:r>
                    <w:rPr>
                      <w:b/>
                      <w:color w:val="auto"/>
                    </w:rPr>
                    <w:t>依法缴纳税收证明材料</w:t>
                  </w:r>
                </w:p>
              </w:tc>
              <w:tc>
                <w:tcPr>
                  <w:tcW w:w="4367" w:type="dxa"/>
                </w:tcPr>
                <w:p w14:paraId="5472B4A7">
                  <w:pPr>
                    <w:pStyle w:val="14"/>
                    <w:jc w:val="center"/>
                    <w:rPr>
                      <w:color w:val="auto"/>
                    </w:rPr>
                  </w:pPr>
                  <w:r>
                    <w:rPr>
                      <w:b/>
                      <w:color w:val="auto"/>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14:paraId="3BF2F1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26" w:hRule="atLeast"/>
              </w:trPr>
              <w:tc>
                <w:tcPr>
                  <w:tcW w:w="643" w:type="dxa"/>
                </w:tcPr>
                <w:p w14:paraId="345D6249">
                  <w:pPr>
                    <w:pStyle w:val="14"/>
                    <w:jc w:val="center"/>
                    <w:rPr>
                      <w:color w:val="auto"/>
                    </w:rPr>
                  </w:pPr>
                  <w:r>
                    <w:rPr>
                      <w:b/>
                      <w:color w:val="auto"/>
                    </w:rPr>
                    <w:t>6</w:t>
                  </w:r>
                </w:p>
              </w:tc>
              <w:tc>
                <w:tcPr>
                  <w:tcW w:w="1568" w:type="dxa"/>
                </w:tcPr>
                <w:p w14:paraId="340B5638">
                  <w:pPr>
                    <w:pStyle w:val="14"/>
                    <w:jc w:val="center"/>
                    <w:rPr>
                      <w:color w:val="auto"/>
                    </w:rPr>
                  </w:pPr>
                  <w:r>
                    <w:rPr>
                      <w:b/>
                      <w:color w:val="auto"/>
                    </w:rPr>
                    <w:t>依法缴纳社会保障资金证明材料</w:t>
                  </w:r>
                </w:p>
              </w:tc>
              <w:tc>
                <w:tcPr>
                  <w:tcW w:w="4367" w:type="dxa"/>
                </w:tcPr>
                <w:p w14:paraId="58C4363A">
                  <w:pPr>
                    <w:pStyle w:val="14"/>
                    <w:jc w:val="center"/>
                    <w:rPr>
                      <w:color w:val="auto"/>
                    </w:rPr>
                  </w:pPr>
                  <w:r>
                    <w:rPr>
                      <w:b/>
                      <w:color w:val="auto"/>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14:paraId="78692F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66" w:hRule="atLeast"/>
              </w:trPr>
              <w:tc>
                <w:tcPr>
                  <w:tcW w:w="643" w:type="dxa"/>
                </w:tcPr>
                <w:p w14:paraId="38D40E9E">
                  <w:pPr>
                    <w:pStyle w:val="14"/>
                    <w:jc w:val="center"/>
                    <w:rPr>
                      <w:color w:val="auto"/>
                    </w:rPr>
                  </w:pPr>
                  <w:r>
                    <w:rPr>
                      <w:b/>
                      <w:color w:val="auto"/>
                    </w:rPr>
                    <w:t>7</w:t>
                  </w:r>
                </w:p>
              </w:tc>
              <w:tc>
                <w:tcPr>
                  <w:tcW w:w="1568" w:type="dxa"/>
                </w:tcPr>
                <w:p w14:paraId="3C842FB6">
                  <w:pPr>
                    <w:pStyle w:val="14"/>
                    <w:jc w:val="center"/>
                    <w:rPr>
                      <w:color w:val="auto"/>
                    </w:rPr>
                  </w:pPr>
                  <w:r>
                    <w:rPr>
                      <w:b/>
                      <w:color w:val="auto"/>
                    </w:rPr>
                    <w:t>具备履行合同所必需设备和专业技术能力的声明函(若有)</w:t>
                  </w:r>
                </w:p>
              </w:tc>
              <w:tc>
                <w:tcPr>
                  <w:tcW w:w="4367" w:type="dxa"/>
                </w:tcPr>
                <w:p w14:paraId="38335CA6">
                  <w:pPr>
                    <w:pStyle w:val="14"/>
                    <w:jc w:val="center"/>
                    <w:rPr>
                      <w:color w:val="auto"/>
                    </w:rPr>
                  </w:pPr>
                  <w:r>
                    <w:rPr>
                      <w:b/>
                      <w:color w:val="auto"/>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14:paraId="402501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32" w:hRule="atLeast"/>
              </w:trPr>
              <w:tc>
                <w:tcPr>
                  <w:tcW w:w="643" w:type="dxa"/>
                </w:tcPr>
                <w:p w14:paraId="66DA69E7">
                  <w:pPr>
                    <w:pStyle w:val="14"/>
                    <w:jc w:val="center"/>
                    <w:rPr>
                      <w:color w:val="auto"/>
                    </w:rPr>
                  </w:pPr>
                  <w:r>
                    <w:rPr>
                      <w:b/>
                      <w:color w:val="auto"/>
                    </w:rPr>
                    <w:t>8</w:t>
                  </w:r>
                </w:p>
              </w:tc>
              <w:tc>
                <w:tcPr>
                  <w:tcW w:w="1568" w:type="dxa"/>
                </w:tcPr>
                <w:p w14:paraId="08742A8E">
                  <w:pPr>
                    <w:pStyle w:val="14"/>
                    <w:jc w:val="center"/>
                    <w:rPr>
                      <w:color w:val="auto"/>
                    </w:rPr>
                  </w:pPr>
                  <w:r>
                    <w:rPr>
                      <w:b/>
                      <w:color w:val="auto"/>
                    </w:rPr>
                    <w:t>参加采购活动前三年内在经营活动中没有重大违法记录的声明</w:t>
                  </w:r>
                </w:p>
              </w:tc>
              <w:tc>
                <w:tcPr>
                  <w:tcW w:w="4367" w:type="dxa"/>
                </w:tcPr>
                <w:p w14:paraId="0558FC2B">
                  <w:pPr>
                    <w:pStyle w:val="14"/>
                    <w:jc w:val="center"/>
                    <w:rPr>
                      <w:color w:val="auto"/>
                    </w:rPr>
                  </w:pPr>
                  <w:r>
                    <w:rPr>
                      <w:b/>
                      <w:color w:val="auto"/>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41427A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900" w:hRule="atLeast"/>
              </w:trPr>
              <w:tc>
                <w:tcPr>
                  <w:tcW w:w="643" w:type="dxa"/>
                </w:tcPr>
                <w:p w14:paraId="24A4B34E">
                  <w:pPr>
                    <w:pStyle w:val="14"/>
                    <w:jc w:val="center"/>
                    <w:rPr>
                      <w:color w:val="auto"/>
                    </w:rPr>
                  </w:pPr>
                  <w:r>
                    <w:rPr>
                      <w:b/>
                      <w:color w:val="auto"/>
                    </w:rPr>
                    <w:t>9</w:t>
                  </w:r>
                </w:p>
              </w:tc>
              <w:tc>
                <w:tcPr>
                  <w:tcW w:w="1568" w:type="dxa"/>
                </w:tcPr>
                <w:p w14:paraId="7F47BDEF">
                  <w:pPr>
                    <w:pStyle w:val="14"/>
                    <w:jc w:val="center"/>
                    <w:rPr>
                      <w:color w:val="auto"/>
                    </w:rPr>
                  </w:pPr>
                  <w:r>
                    <w:rPr>
                      <w:b/>
                      <w:color w:val="auto"/>
                    </w:rPr>
                    <w:t>中小企业声明函（以资格条件落实中小企业扶持政策时适用 ）</w:t>
                  </w:r>
                </w:p>
              </w:tc>
              <w:tc>
                <w:tcPr>
                  <w:tcW w:w="4367" w:type="dxa"/>
                </w:tcPr>
                <w:p w14:paraId="0B4BEA98">
                  <w:pPr>
                    <w:pStyle w:val="14"/>
                    <w:jc w:val="center"/>
                    <w:rPr>
                      <w:color w:val="auto"/>
                    </w:rPr>
                  </w:pPr>
                  <w:r>
                    <w:rPr>
                      <w:b/>
                      <w:color w:val="auto"/>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14:paraId="62800C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59" w:hRule="atLeast"/>
              </w:trPr>
              <w:tc>
                <w:tcPr>
                  <w:tcW w:w="643" w:type="dxa"/>
                </w:tcPr>
                <w:p w14:paraId="30A47E47">
                  <w:pPr>
                    <w:pStyle w:val="14"/>
                    <w:jc w:val="center"/>
                    <w:rPr>
                      <w:color w:val="auto"/>
                    </w:rPr>
                  </w:pPr>
                  <w:r>
                    <w:rPr>
                      <w:b/>
                      <w:color w:val="auto"/>
                    </w:rPr>
                    <w:t>10</w:t>
                  </w:r>
                </w:p>
              </w:tc>
              <w:tc>
                <w:tcPr>
                  <w:tcW w:w="1568" w:type="dxa"/>
                </w:tcPr>
                <w:p w14:paraId="34FFF47B">
                  <w:pPr>
                    <w:pStyle w:val="14"/>
                    <w:jc w:val="center"/>
                    <w:rPr>
                      <w:color w:val="auto"/>
                    </w:rPr>
                  </w:pPr>
                  <w:r>
                    <w:rPr>
                      <w:b/>
                      <w:color w:val="auto"/>
                    </w:rPr>
                    <w:t>信用记录查询结果</w:t>
                  </w:r>
                </w:p>
              </w:tc>
              <w:tc>
                <w:tcPr>
                  <w:tcW w:w="4367" w:type="dxa"/>
                </w:tcPr>
                <w:p w14:paraId="2E821997">
                  <w:pPr>
                    <w:pStyle w:val="14"/>
                    <w:jc w:val="center"/>
                    <w:rPr>
                      <w:color w:val="auto"/>
                    </w:rPr>
                  </w:pPr>
                  <w:r>
                    <w:rPr>
                      <w:b/>
                      <w:color w:val="auto"/>
                    </w:rPr>
                    <w:t>①信用记录查询的截止时点：信用记录查询的截止时点为本项目提交响应文件截止当日。②信用记录查询渠道：信用中国（www.creditchina.gov.cn）、中国政府采购网（www.ccgp.gov.cn）。③信用记录的查询：由磋商小组通过上述网站查询并打印供应商的信用记录。④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2922D5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157" w:hRule="atLeast"/>
              </w:trPr>
              <w:tc>
                <w:tcPr>
                  <w:tcW w:w="643" w:type="dxa"/>
                </w:tcPr>
                <w:p w14:paraId="396F502E">
                  <w:pPr>
                    <w:pStyle w:val="14"/>
                    <w:jc w:val="center"/>
                    <w:rPr>
                      <w:color w:val="auto"/>
                    </w:rPr>
                  </w:pPr>
                  <w:r>
                    <w:rPr>
                      <w:b/>
                      <w:color w:val="auto"/>
                    </w:rPr>
                    <w:t>11</w:t>
                  </w:r>
                </w:p>
              </w:tc>
              <w:tc>
                <w:tcPr>
                  <w:tcW w:w="1568" w:type="dxa"/>
                </w:tcPr>
                <w:p w14:paraId="6E161A64">
                  <w:pPr>
                    <w:pStyle w:val="14"/>
                    <w:jc w:val="center"/>
                    <w:rPr>
                      <w:color w:val="auto"/>
                    </w:rPr>
                  </w:pPr>
                  <w:r>
                    <w:rPr>
                      <w:b/>
                      <w:color w:val="auto"/>
                    </w:rPr>
                    <w:t>联合体协议（若有）</w:t>
                  </w:r>
                </w:p>
              </w:tc>
              <w:tc>
                <w:tcPr>
                  <w:tcW w:w="4367" w:type="dxa"/>
                </w:tcPr>
                <w:p w14:paraId="3F4EBE89">
                  <w:pPr>
                    <w:pStyle w:val="14"/>
                    <w:jc w:val="center"/>
                    <w:rPr>
                      <w:color w:val="auto"/>
                    </w:rPr>
                  </w:pPr>
                  <w:r>
                    <w:rPr>
                      <w:b/>
                      <w:color w:val="auto"/>
                    </w:rPr>
                    <w:t>①采购文件接受联合体报价且供应商为联合体的，供应商应提供本协议；否则无须提供。②本协议由委托代理人签字或盖章的，应按照采购文件第五章载明的格式提供“单位负责人授权书”。</w:t>
                  </w:r>
                </w:p>
              </w:tc>
            </w:tr>
          </w:tbl>
          <w:p w14:paraId="076E3BB6">
            <w:pPr>
              <w:pStyle w:val="14"/>
              <w:jc w:val="center"/>
              <w:rPr>
                <w:color w:val="auto"/>
              </w:rPr>
            </w:pPr>
            <w:r>
              <w:rPr>
                <w:b/>
                <w:color w:val="auto"/>
              </w:rPr>
              <w:t>（2）特定资格条件：</w:t>
            </w:r>
          </w:p>
          <w:p w14:paraId="6B9DCD61">
            <w:pPr>
              <w:pStyle w:val="14"/>
              <w:jc w:val="center"/>
              <w:rPr>
                <w:color w:val="auto"/>
              </w:rPr>
            </w:pPr>
          </w:p>
          <w:p w14:paraId="3F0C877F">
            <w:pPr>
              <w:pStyle w:val="14"/>
              <w:jc w:val="center"/>
              <w:rPr>
                <w:color w:val="auto"/>
              </w:rPr>
            </w:pPr>
          </w:p>
          <w:p w14:paraId="2D43BF93">
            <w:pPr>
              <w:pStyle w:val="14"/>
              <w:jc w:val="center"/>
              <w:rPr>
                <w:color w:val="auto"/>
              </w:rPr>
            </w:pPr>
          </w:p>
          <w:p w14:paraId="6E9C7F24">
            <w:pPr>
              <w:pStyle w:val="14"/>
              <w:jc w:val="center"/>
              <w:rPr>
                <w:color w:val="auto"/>
              </w:rPr>
            </w:pPr>
            <w:r>
              <w:rPr>
                <w:b/>
                <w:color w:val="auto"/>
              </w:rP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827"/>
              <w:gridCol w:w="3532"/>
            </w:tblGrid>
            <w:tr w14:paraId="7352F0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2" w:hRule="atLeast"/>
              </w:trPr>
              <w:tc>
                <w:tcPr>
                  <w:tcW w:w="2827" w:type="dxa"/>
                </w:tcPr>
                <w:p w14:paraId="770B2F5B">
                  <w:pPr>
                    <w:pStyle w:val="14"/>
                    <w:jc w:val="center"/>
                    <w:rPr>
                      <w:color w:val="auto"/>
                    </w:rPr>
                  </w:pPr>
                  <w:r>
                    <w:rPr>
                      <w:b/>
                      <w:color w:val="auto"/>
                    </w:rPr>
                    <w:t>资格审查要求概况</w:t>
                  </w:r>
                </w:p>
              </w:tc>
              <w:tc>
                <w:tcPr>
                  <w:tcW w:w="3532" w:type="dxa"/>
                </w:tcPr>
                <w:p w14:paraId="4B78B86A">
                  <w:pPr>
                    <w:pStyle w:val="14"/>
                    <w:jc w:val="center"/>
                    <w:rPr>
                      <w:color w:val="auto"/>
                    </w:rPr>
                  </w:pPr>
                  <w:r>
                    <w:rPr>
                      <w:b/>
                      <w:color w:val="auto"/>
                    </w:rPr>
                    <w:t>评审点具体描述</w:t>
                  </w:r>
                </w:p>
              </w:tc>
            </w:tr>
            <w:tr w14:paraId="1BBADF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195" w:hRule="atLeast"/>
              </w:trPr>
              <w:tc>
                <w:tcPr>
                  <w:tcW w:w="2827" w:type="dxa"/>
                  <w:vAlign w:val="top"/>
                </w:tcPr>
                <w:p w14:paraId="5B6F381A">
                  <w:pPr>
                    <w:pStyle w:val="14"/>
                    <w:jc w:val="left"/>
                    <w:rPr>
                      <w:color w:val="auto"/>
                    </w:rPr>
                  </w:pPr>
                  <w:r>
                    <w:rPr>
                      <w:color w:val="auto"/>
                    </w:rPr>
                    <w:t>磋商文件规定的其他资格证明文件-1</w:t>
                  </w:r>
                </w:p>
              </w:tc>
              <w:tc>
                <w:tcPr>
                  <w:tcW w:w="3532" w:type="dxa"/>
                  <w:vAlign w:val="top"/>
                </w:tcPr>
                <w:p w14:paraId="3DA82DDF">
                  <w:pPr>
                    <w:pStyle w:val="14"/>
                    <w:jc w:val="left"/>
                    <w:rPr>
                      <w:color w:val="auto"/>
                    </w:rPr>
                  </w:pPr>
                  <w:r>
                    <w:rPr>
                      <w:color w:val="auto"/>
                    </w:rPr>
                    <w:t>供应商应具备建设行政主管部门核发的合格有效</w:t>
                  </w:r>
                  <w:r>
                    <w:rPr>
                      <w:rFonts w:hint="eastAsia"/>
                      <w:color w:val="auto"/>
                      <w:lang w:eastAsia="zh-CN"/>
                    </w:rPr>
                    <w:t>不低于三级建筑工程</w:t>
                  </w:r>
                  <w:r>
                    <w:rPr>
                      <w:rFonts w:hint="eastAsia"/>
                      <w:color w:val="auto"/>
                      <w:lang w:val="en-US" w:eastAsia="zh-CN"/>
                    </w:rPr>
                    <w:t>或</w:t>
                  </w:r>
                  <w:r>
                    <w:rPr>
                      <w:rFonts w:hint="eastAsia"/>
                      <w:color w:val="auto"/>
                      <w:lang w:eastAsia="zh-CN"/>
                    </w:rPr>
                    <w:t>不低于三级</w:t>
                  </w:r>
                  <w:r>
                    <w:rPr>
                      <w:rFonts w:hint="eastAsia"/>
                      <w:color w:val="auto"/>
                      <w:lang w:val="en-US" w:eastAsia="zh-CN"/>
                    </w:rPr>
                    <w:t>市政公用工程</w:t>
                  </w:r>
                  <w:r>
                    <w:rPr>
                      <w:rFonts w:hint="eastAsia"/>
                      <w:color w:val="auto"/>
                      <w:lang w:eastAsia="zh-CN"/>
                    </w:rPr>
                    <w:t>施工总承包</w:t>
                  </w:r>
                  <w:r>
                    <w:rPr>
                      <w:color w:val="auto"/>
                    </w:rPr>
                    <w:t>资质，以及具备有建设行政主管部门颁发的有效的安全生产许可证。供应商应在响应文件中提供相关证书复印件并加盖公章。</w:t>
                  </w:r>
                </w:p>
              </w:tc>
            </w:tr>
            <w:tr w14:paraId="012811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55" w:hRule="atLeast"/>
              </w:trPr>
              <w:tc>
                <w:tcPr>
                  <w:tcW w:w="2827" w:type="dxa"/>
                  <w:vAlign w:val="top"/>
                </w:tcPr>
                <w:p w14:paraId="49C887B4">
                  <w:pPr>
                    <w:pStyle w:val="14"/>
                    <w:jc w:val="left"/>
                    <w:rPr>
                      <w:color w:val="auto"/>
                    </w:rPr>
                  </w:pPr>
                  <w:r>
                    <w:rPr>
                      <w:color w:val="auto"/>
                    </w:rPr>
                    <w:t>磋商文件规定的其他资格证明文件-2</w:t>
                  </w:r>
                </w:p>
              </w:tc>
              <w:tc>
                <w:tcPr>
                  <w:tcW w:w="3532" w:type="dxa"/>
                  <w:vAlign w:val="top"/>
                </w:tcPr>
                <w:p w14:paraId="4E9D7DB4">
                  <w:pPr>
                    <w:pStyle w:val="14"/>
                    <w:jc w:val="left"/>
                    <w:rPr>
                      <w:color w:val="auto"/>
                    </w:rPr>
                  </w:pPr>
                  <w:r>
                    <w:rPr>
                      <w:b/>
                      <w:color w:val="auto"/>
                    </w:rPr>
                    <w:t>拟派项目负责人（即项目经理）须具有</w:t>
                  </w:r>
                  <w:r>
                    <w:rPr>
                      <w:rFonts w:hint="eastAsia"/>
                      <w:b/>
                      <w:color w:val="auto"/>
                      <w:lang w:val="en-US" w:eastAsia="zh-CN"/>
                    </w:rPr>
                    <w:t>不低于二级建筑工程或不低于二级市政公用工程注册建造师执业资格</w:t>
                  </w:r>
                  <w:r>
                    <w:rPr>
                      <w:b/>
                      <w:color w:val="auto"/>
                    </w:rPr>
                    <w:t>并持有效的安全生产考核合格证书B证</w:t>
                  </w:r>
                  <w:r>
                    <w:rPr>
                      <w:color w:val="auto"/>
                    </w:rPr>
                    <w:t>。</w:t>
                  </w:r>
                  <w:r>
                    <w:rPr>
                      <w:rFonts w:ascii="宋体" w:hAnsi="宋体" w:eastAsia="宋体" w:cs="宋体"/>
                      <w:color w:val="auto"/>
                      <w:kern w:val="0"/>
                      <w:sz w:val="24"/>
                      <w:szCs w:val="24"/>
                      <w:lang w:val="en-US" w:eastAsia="zh-CN" w:bidi="ar"/>
                    </w:rPr>
                    <w:t>拟派出项目负责人必须为供应商的本企业在岗人员，</w:t>
                  </w:r>
                  <w:r>
                    <w:rPr>
                      <w:rFonts w:hint="eastAsia" w:ascii="宋体" w:hAnsi="宋体" w:eastAsia="宋体" w:cs="宋体"/>
                      <w:color w:val="auto"/>
                      <w:kern w:val="0"/>
                      <w:sz w:val="24"/>
                      <w:szCs w:val="24"/>
                      <w:lang w:val="en-US" w:eastAsia="zh-CN" w:bidi="ar"/>
                    </w:rPr>
                    <w:t>同时需</w:t>
                  </w:r>
                  <w:r>
                    <w:rPr>
                      <w:rFonts w:ascii="宋体" w:hAnsi="宋体" w:eastAsia="宋体" w:cs="宋体"/>
                      <w:color w:val="auto"/>
                      <w:kern w:val="0"/>
                      <w:sz w:val="24"/>
                      <w:szCs w:val="24"/>
                      <w:lang w:val="en-US" w:eastAsia="zh-CN" w:bidi="ar"/>
                    </w:rPr>
                    <w:t>提供投标人为其缴纳的投标截止时间前6个月（不含投标截止当月）任意1个月社保缴费证明材料。</w:t>
                  </w:r>
                </w:p>
              </w:tc>
            </w:tr>
            <w:tr w14:paraId="4D5E22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8" w:hRule="atLeast"/>
              </w:trPr>
              <w:tc>
                <w:tcPr>
                  <w:tcW w:w="2827" w:type="dxa"/>
                  <w:vAlign w:val="top"/>
                </w:tcPr>
                <w:p w14:paraId="024AAE7D">
                  <w:pPr>
                    <w:pStyle w:val="14"/>
                    <w:jc w:val="left"/>
                    <w:rPr>
                      <w:color w:val="auto"/>
                    </w:rPr>
                  </w:pPr>
                  <w:r>
                    <w:rPr>
                      <w:color w:val="auto"/>
                    </w:rPr>
                    <w:t>本采购包属于专门面向中小企业采购。</w:t>
                  </w:r>
                </w:p>
              </w:tc>
              <w:tc>
                <w:tcPr>
                  <w:tcW w:w="3532" w:type="dxa"/>
                  <w:vAlign w:val="top"/>
                </w:tcPr>
                <w:p w14:paraId="6294A08E">
                  <w:pPr>
                    <w:pStyle w:val="14"/>
                    <w:jc w:val="left"/>
                    <w:rPr>
                      <w:color w:val="auto"/>
                    </w:rPr>
                  </w:pPr>
                  <w:r>
                    <w:rPr>
                      <w:color w:val="auto"/>
                    </w:rPr>
                    <w:t>本采购包为专门面向中小企业采购，投标人须提供中小企业声明函。监狱企业、残疾人福利性单位视同小型、微型企业。</w:t>
                  </w:r>
                </w:p>
              </w:tc>
            </w:tr>
            <w:tr w14:paraId="2091D5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8" w:hRule="atLeast"/>
              </w:trPr>
              <w:tc>
                <w:tcPr>
                  <w:tcW w:w="2827" w:type="dxa"/>
                  <w:vAlign w:val="top"/>
                </w:tcPr>
                <w:p w14:paraId="7B6A8DCD">
                  <w:pPr>
                    <w:pStyle w:val="14"/>
                    <w:jc w:val="left"/>
                    <w:rPr>
                      <w:b/>
                      <w:color w:val="auto"/>
                    </w:rPr>
                  </w:pPr>
                  <w:r>
                    <w:rPr>
                      <w:color w:val="auto"/>
                    </w:rPr>
                    <w:t>资格承诺函</w:t>
                  </w:r>
                </w:p>
              </w:tc>
              <w:tc>
                <w:tcPr>
                  <w:tcW w:w="3532" w:type="dxa"/>
                  <w:vAlign w:val="top"/>
                </w:tcPr>
                <w:p w14:paraId="3DAC417E">
                  <w:pPr>
                    <w:pStyle w:val="14"/>
                    <w:jc w:val="left"/>
                    <w:rPr>
                      <w:b/>
                      <w:color w:val="auto"/>
                    </w:rPr>
                  </w:pPr>
                  <w:r>
                    <w:rPr>
                      <w:color w:val="auto"/>
                    </w:rPr>
                    <w:t>采用资格承诺制的供应商，须根据投标(响应)格式文件要求提供资格承诺函，否则，视为未按照招标文件规定提交投标人的资格及资信文件，按资格审查不合格处理。</w:t>
                  </w:r>
                </w:p>
              </w:tc>
            </w:tr>
          </w:tbl>
          <w:p w14:paraId="56620218">
            <w:pPr>
              <w:pStyle w:val="14"/>
              <w:jc w:val="center"/>
              <w:rPr>
                <w:color w:val="auto"/>
              </w:rPr>
            </w:pPr>
            <w:r>
              <w:rPr>
                <w:b/>
                <w:color w:val="auto"/>
              </w:rPr>
              <w:t>（3）磋商保证金</w:t>
            </w:r>
          </w:p>
          <w:p w14:paraId="4B189D4D">
            <w:pPr>
              <w:pStyle w:val="14"/>
              <w:jc w:val="center"/>
              <w:rPr>
                <w:color w:val="auto"/>
              </w:rPr>
            </w:pPr>
            <w:r>
              <w:rPr>
                <w:b/>
                <w:color w:val="auto"/>
              </w:rPr>
              <w:t>※备注说明</w:t>
            </w:r>
          </w:p>
          <w:p w14:paraId="12EE7666">
            <w:pPr>
              <w:pStyle w:val="14"/>
              <w:jc w:val="center"/>
              <w:rPr>
                <w:color w:val="auto"/>
              </w:rPr>
            </w:pPr>
            <w:r>
              <w:rPr>
                <w:b/>
                <w:color w:val="auto"/>
              </w:rPr>
              <w:t>①供应商应根据自身实际情况提供上述资格要求的证明材料，格式可参考磋商文件第五章提供。</w:t>
            </w:r>
          </w:p>
          <w:p w14:paraId="4966ED6F">
            <w:pPr>
              <w:pStyle w:val="14"/>
              <w:jc w:val="center"/>
              <w:rPr>
                <w:b/>
                <w:color w:val="auto"/>
              </w:rPr>
            </w:pPr>
            <w:r>
              <w:rPr>
                <w:b/>
                <w:color w:val="auto"/>
              </w:rPr>
              <w:t>②供应商提供的相应证明材料复印件均应符合：内容完整、清晰、整洁，并由供应商加盖其单位公章。</w:t>
            </w:r>
          </w:p>
          <w:p w14:paraId="3C497A7C">
            <w:pPr>
              <w:pStyle w:val="14"/>
              <w:jc w:val="center"/>
              <w:rPr>
                <w:b/>
                <w:color w:val="auto"/>
              </w:rPr>
            </w:pPr>
            <w:r>
              <w:rPr>
                <w:color w:val="auto"/>
              </w:rPr>
              <w:t>根据采购文件须知前附表1第1项号的“（2）特定资格条件”要求，允许供应商采用资格承诺制的并提供符合要求的资格承诺函，视为满足采购文件的资格要求。</w:t>
            </w:r>
          </w:p>
        </w:tc>
      </w:tr>
      <w:tr w14:paraId="69EBBE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4" w:type="dxa"/>
          </w:tcPr>
          <w:p w14:paraId="4B91A98D">
            <w:pPr>
              <w:pStyle w:val="14"/>
              <w:jc w:val="center"/>
              <w:rPr>
                <w:color w:val="auto"/>
              </w:rPr>
            </w:pPr>
            <w:r>
              <w:rPr>
                <w:b/>
                <w:color w:val="auto"/>
              </w:rPr>
              <w:t>2</w:t>
            </w:r>
          </w:p>
        </w:tc>
        <w:tc>
          <w:tcPr>
            <w:tcW w:w="810" w:type="dxa"/>
          </w:tcPr>
          <w:p w14:paraId="04951CD9">
            <w:pPr>
              <w:pStyle w:val="14"/>
              <w:jc w:val="center"/>
              <w:rPr>
                <w:color w:val="auto"/>
              </w:rPr>
            </w:pPr>
            <w:r>
              <w:rPr>
                <w:b/>
                <w:color w:val="auto"/>
              </w:rPr>
              <w:t>3.2.2</w:t>
            </w:r>
          </w:p>
        </w:tc>
        <w:tc>
          <w:tcPr>
            <w:tcW w:w="6818" w:type="dxa"/>
          </w:tcPr>
          <w:p w14:paraId="597F4360">
            <w:pPr>
              <w:pStyle w:val="14"/>
              <w:jc w:val="center"/>
              <w:rPr>
                <w:color w:val="auto"/>
              </w:rPr>
            </w:pPr>
            <w:r>
              <w:rPr>
                <w:b/>
                <w:color w:val="auto"/>
              </w:rPr>
              <w:t>是否接受联合体形式的响应磋商：</w:t>
            </w:r>
          </w:p>
          <w:p w14:paraId="4A5FFCB0">
            <w:pPr>
              <w:pStyle w:val="14"/>
              <w:jc w:val="center"/>
              <w:rPr>
                <w:color w:val="auto"/>
              </w:rPr>
            </w:pPr>
          </w:p>
          <w:p w14:paraId="7A10452A">
            <w:pPr>
              <w:pStyle w:val="14"/>
              <w:jc w:val="center"/>
              <w:rPr>
                <w:color w:val="auto"/>
              </w:rPr>
            </w:pPr>
            <w:r>
              <w:rPr>
                <w:b/>
                <w:color w:val="auto"/>
              </w:rPr>
              <w:t>采购包1：不接受</w:t>
            </w:r>
          </w:p>
        </w:tc>
      </w:tr>
      <w:tr w14:paraId="2098F9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4" w:type="dxa"/>
          </w:tcPr>
          <w:p w14:paraId="40A9100E">
            <w:pPr>
              <w:pStyle w:val="14"/>
              <w:jc w:val="center"/>
              <w:rPr>
                <w:color w:val="auto"/>
              </w:rPr>
            </w:pPr>
            <w:r>
              <w:rPr>
                <w:b/>
                <w:color w:val="auto"/>
              </w:rPr>
              <w:t>3</w:t>
            </w:r>
          </w:p>
        </w:tc>
        <w:tc>
          <w:tcPr>
            <w:tcW w:w="810" w:type="dxa"/>
          </w:tcPr>
          <w:p w14:paraId="395C7634">
            <w:pPr>
              <w:pStyle w:val="14"/>
              <w:jc w:val="center"/>
              <w:rPr>
                <w:color w:val="auto"/>
              </w:rPr>
            </w:pPr>
            <w:r>
              <w:rPr>
                <w:b/>
                <w:color w:val="auto"/>
              </w:rPr>
              <w:t>6.3</w:t>
            </w:r>
          </w:p>
        </w:tc>
        <w:tc>
          <w:tcPr>
            <w:tcW w:w="6818" w:type="dxa"/>
          </w:tcPr>
          <w:p w14:paraId="4F324051">
            <w:pPr>
              <w:pStyle w:val="14"/>
              <w:jc w:val="center"/>
              <w:rPr>
                <w:color w:val="auto"/>
              </w:rPr>
            </w:pPr>
            <w:r>
              <w:rPr>
                <w:b/>
                <w:color w:val="auto"/>
              </w:rPr>
              <w:t>是否组织现场考察或召开磋商前答疑会：</w:t>
            </w:r>
          </w:p>
          <w:p w14:paraId="561FB615">
            <w:pPr>
              <w:pStyle w:val="14"/>
              <w:jc w:val="center"/>
              <w:rPr>
                <w:color w:val="auto"/>
              </w:rPr>
            </w:pPr>
          </w:p>
          <w:p w14:paraId="4C1A109F">
            <w:pPr>
              <w:pStyle w:val="14"/>
              <w:jc w:val="center"/>
              <w:rPr>
                <w:color w:val="auto"/>
              </w:rPr>
            </w:pPr>
          </w:p>
          <w:p w14:paraId="18F97BB3">
            <w:pPr>
              <w:pStyle w:val="14"/>
              <w:jc w:val="center"/>
              <w:rPr>
                <w:color w:val="auto"/>
              </w:rPr>
            </w:pPr>
            <w:r>
              <w:rPr>
                <w:b/>
                <w:color w:val="auto"/>
              </w:rPr>
              <w:t>采购包1：不组织</w:t>
            </w:r>
          </w:p>
        </w:tc>
      </w:tr>
      <w:tr w14:paraId="383089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4" w:type="dxa"/>
          </w:tcPr>
          <w:p w14:paraId="0E618200">
            <w:pPr>
              <w:pStyle w:val="14"/>
              <w:jc w:val="center"/>
              <w:rPr>
                <w:color w:val="auto"/>
              </w:rPr>
            </w:pPr>
            <w:r>
              <w:rPr>
                <w:b/>
                <w:color w:val="auto"/>
              </w:rPr>
              <w:t>4</w:t>
            </w:r>
          </w:p>
        </w:tc>
        <w:tc>
          <w:tcPr>
            <w:tcW w:w="810" w:type="dxa"/>
          </w:tcPr>
          <w:p w14:paraId="6C90F350">
            <w:pPr>
              <w:pStyle w:val="14"/>
              <w:jc w:val="center"/>
              <w:rPr>
                <w:color w:val="auto"/>
              </w:rPr>
            </w:pPr>
            <w:r>
              <w:rPr>
                <w:b/>
                <w:color w:val="auto"/>
              </w:rPr>
              <w:t>9.1</w:t>
            </w:r>
          </w:p>
        </w:tc>
        <w:tc>
          <w:tcPr>
            <w:tcW w:w="6818" w:type="dxa"/>
          </w:tcPr>
          <w:p w14:paraId="628C7274">
            <w:pPr>
              <w:pStyle w:val="14"/>
              <w:jc w:val="center"/>
              <w:rPr>
                <w:color w:val="auto"/>
              </w:rPr>
            </w:pPr>
            <w:r>
              <w:rPr>
                <w:b/>
                <w:color w:val="auto"/>
              </w:rPr>
              <w:t>响应文件有效期：首次响应文件提交截止时间起90个日历日。</w:t>
            </w:r>
          </w:p>
        </w:tc>
      </w:tr>
      <w:tr w14:paraId="59EEE6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4" w:type="dxa"/>
          </w:tcPr>
          <w:p w14:paraId="06CF2BA6">
            <w:pPr>
              <w:pStyle w:val="14"/>
              <w:jc w:val="center"/>
              <w:rPr>
                <w:color w:val="auto"/>
              </w:rPr>
            </w:pPr>
            <w:r>
              <w:rPr>
                <w:b/>
                <w:color w:val="auto"/>
              </w:rPr>
              <w:t>5</w:t>
            </w:r>
          </w:p>
        </w:tc>
        <w:tc>
          <w:tcPr>
            <w:tcW w:w="810" w:type="dxa"/>
          </w:tcPr>
          <w:p w14:paraId="64CAF9C2">
            <w:pPr>
              <w:pStyle w:val="14"/>
              <w:jc w:val="center"/>
              <w:rPr>
                <w:color w:val="auto"/>
              </w:rPr>
            </w:pPr>
            <w:r>
              <w:rPr>
                <w:b/>
                <w:color w:val="auto"/>
              </w:rPr>
              <w:t>10.1</w:t>
            </w:r>
          </w:p>
        </w:tc>
        <w:tc>
          <w:tcPr>
            <w:tcW w:w="6818" w:type="dxa"/>
          </w:tcPr>
          <w:p w14:paraId="6982B23F">
            <w:pPr>
              <w:pStyle w:val="14"/>
              <w:jc w:val="center"/>
              <w:rPr>
                <w:color w:val="auto"/>
              </w:rPr>
            </w:pPr>
            <w:r>
              <w:rPr>
                <w:b/>
                <w:color w:val="auto"/>
              </w:rPr>
              <w:t>提交磋商保证金：本项目的磋商保证金详见《采购标的一览表》，数额不得超过采购项目预算金额的2%，提交方式为公对公转账方式向磋商文件载明的磋商保证金账户提交磋商保证金，须于提交响应文件截止时间前到达指定账户为准，是否到达以福建省政府采购网上公开信息系统记载为准。</w:t>
            </w:r>
          </w:p>
          <w:p w14:paraId="145A0835">
            <w:pPr>
              <w:pStyle w:val="14"/>
              <w:jc w:val="center"/>
              <w:rPr>
                <w:color w:val="auto"/>
              </w:rPr>
            </w:pPr>
            <w:r>
              <w:rPr>
                <w:b/>
                <w:color w:val="auto"/>
              </w:rPr>
              <w:t>其他：</w:t>
            </w:r>
          </w:p>
          <w:p w14:paraId="5BED5310">
            <w:pPr>
              <w:pStyle w:val="14"/>
              <w:jc w:val="center"/>
              <w:rPr>
                <w:color w:val="auto"/>
              </w:rPr>
            </w:pPr>
            <w:r>
              <w:rPr>
                <w:b/>
                <w:color w:val="auto"/>
              </w:rPr>
              <w:t>无</w:t>
            </w:r>
          </w:p>
        </w:tc>
      </w:tr>
      <w:tr w14:paraId="4DFAD4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4" w:type="dxa"/>
          </w:tcPr>
          <w:p w14:paraId="7C172EF4">
            <w:pPr>
              <w:pStyle w:val="14"/>
              <w:jc w:val="center"/>
              <w:rPr>
                <w:color w:val="auto"/>
              </w:rPr>
            </w:pPr>
            <w:r>
              <w:rPr>
                <w:b/>
                <w:color w:val="auto"/>
              </w:rPr>
              <w:t>6</w:t>
            </w:r>
          </w:p>
        </w:tc>
        <w:tc>
          <w:tcPr>
            <w:tcW w:w="810" w:type="dxa"/>
          </w:tcPr>
          <w:p w14:paraId="3E3A394E">
            <w:pPr>
              <w:pStyle w:val="14"/>
              <w:jc w:val="center"/>
              <w:rPr>
                <w:color w:val="auto"/>
              </w:rPr>
            </w:pPr>
            <w:r>
              <w:rPr>
                <w:b/>
                <w:color w:val="auto"/>
              </w:rPr>
              <w:t>10.3.1</w:t>
            </w:r>
          </w:p>
        </w:tc>
        <w:tc>
          <w:tcPr>
            <w:tcW w:w="6818" w:type="dxa"/>
          </w:tcPr>
          <w:p w14:paraId="1213D312">
            <w:pPr>
              <w:pStyle w:val="14"/>
              <w:jc w:val="center"/>
              <w:rPr>
                <w:color w:val="auto"/>
              </w:rPr>
            </w:pPr>
            <w:r>
              <w:rPr>
                <w:b/>
                <w:color w:val="auto"/>
              </w:rPr>
              <w:t>磋商保证金退还的其它要求：</w:t>
            </w:r>
          </w:p>
          <w:p w14:paraId="1DB4A8C0">
            <w:pPr>
              <w:pStyle w:val="14"/>
              <w:jc w:val="center"/>
              <w:rPr>
                <w:color w:val="auto"/>
              </w:rPr>
            </w:pPr>
          </w:p>
          <w:p w14:paraId="7E7B7D1C">
            <w:pPr>
              <w:pStyle w:val="14"/>
              <w:jc w:val="center"/>
              <w:rPr>
                <w:color w:val="auto"/>
              </w:rPr>
            </w:pPr>
            <w:r>
              <w:rPr>
                <w:b/>
                <w:color w:val="auto"/>
              </w:rPr>
              <w:t>无</w:t>
            </w:r>
          </w:p>
        </w:tc>
      </w:tr>
      <w:tr w14:paraId="3E28FA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4" w:type="dxa"/>
          </w:tcPr>
          <w:p w14:paraId="1403E314">
            <w:pPr>
              <w:pStyle w:val="14"/>
              <w:jc w:val="center"/>
              <w:rPr>
                <w:color w:val="auto"/>
              </w:rPr>
            </w:pPr>
            <w:r>
              <w:rPr>
                <w:b/>
                <w:color w:val="auto"/>
              </w:rPr>
              <w:t>7</w:t>
            </w:r>
          </w:p>
        </w:tc>
        <w:tc>
          <w:tcPr>
            <w:tcW w:w="810" w:type="dxa"/>
          </w:tcPr>
          <w:p w14:paraId="5D161B36">
            <w:pPr>
              <w:pStyle w:val="14"/>
              <w:jc w:val="center"/>
              <w:rPr>
                <w:color w:val="auto"/>
              </w:rPr>
            </w:pPr>
            <w:r>
              <w:rPr>
                <w:b/>
                <w:color w:val="auto"/>
              </w:rPr>
              <w:t>11.1</w:t>
            </w:r>
          </w:p>
        </w:tc>
        <w:tc>
          <w:tcPr>
            <w:tcW w:w="6818" w:type="dxa"/>
          </w:tcPr>
          <w:p w14:paraId="718261F2">
            <w:pPr>
              <w:pStyle w:val="14"/>
              <w:jc w:val="center"/>
              <w:rPr>
                <w:color w:val="auto"/>
              </w:rPr>
            </w:pPr>
            <w:r>
              <w:rPr>
                <w:b/>
                <w:color w:val="auto"/>
              </w:rPr>
              <w:t>响应文件的份数</w:t>
            </w:r>
          </w:p>
          <w:p w14:paraId="0C442489">
            <w:pPr>
              <w:pStyle w:val="14"/>
              <w:jc w:val="center"/>
              <w:rPr>
                <w:color w:val="auto"/>
              </w:rPr>
            </w:pPr>
            <w:r>
              <w:rPr>
                <w:b/>
                <w:color w:val="auto"/>
              </w:rPr>
              <w:t>（1）纸质响应文件</w:t>
            </w:r>
          </w:p>
          <w:p w14:paraId="092EEEE3">
            <w:pPr>
              <w:pStyle w:val="14"/>
              <w:jc w:val="center"/>
              <w:rPr>
                <w:color w:val="auto"/>
              </w:rPr>
            </w:pPr>
            <w:r>
              <w:rPr>
                <w:b/>
                <w:color w:val="auto"/>
              </w:rPr>
              <w:t>①响应文件正本</w:t>
            </w:r>
            <w:r>
              <w:rPr>
                <w:rFonts w:hint="eastAsia"/>
                <w:b/>
                <w:color w:val="auto"/>
                <w:lang w:val="en-US" w:eastAsia="zh-CN"/>
              </w:rPr>
              <w:t>0</w:t>
            </w:r>
            <w:r>
              <w:rPr>
                <w:b/>
                <w:color w:val="auto"/>
              </w:rPr>
              <w:t>份、副本0份。</w:t>
            </w:r>
          </w:p>
          <w:p w14:paraId="33D9C210">
            <w:pPr>
              <w:pStyle w:val="14"/>
              <w:jc w:val="center"/>
              <w:rPr>
                <w:color w:val="auto"/>
              </w:rPr>
            </w:pPr>
            <w:r>
              <w:rPr>
                <w:b/>
                <w:color w:val="auto"/>
              </w:rPr>
              <w:t>②可读介质（光盘或U盘）</w:t>
            </w:r>
            <w:r>
              <w:rPr>
                <w:rFonts w:hint="eastAsia"/>
                <w:b/>
                <w:color w:val="auto"/>
                <w:lang w:val="en-US" w:eastAsia="zh-CN"/>
              </w:rPr>
              <w:t>0</w:t>
            </w:r>
            <w:r>
              <w:rPr>
                <w:b/>
                <w:color w:val="auto"/>
              </w:rPr>
              <w:t>份：将上传至福建省政府采购网上公开信息系统的电子响应文件在可读介质中另存</w:t>
            </w:r>
            <w:r>
              <w:rPr>
                <w:rFonts w:hint="eastAsia"/>
                <w:b/>
                <w:color w:val="auto"/>
                <w:lang w:val="en-US" w:eastAsia="zh-CN"/>
              </w:rPr>
              <w:t>0</w:t>
            </w:r>
            <w:r>
              <w:rPr>
                <w:b/>
                <w:color w:val="auto"/>
              </w:rPr>
              <w:t>份。</w:t>
            </w:r>
          </w:p>
          <w:p w14:paraId="5E597D9A">
            <w:pPr>
              <w:pStyle w:val="14"/>
              <w:jc w:val="center"/>
              <w:rPr>
                <w:color w:val="auto"/>
              </w:rPr>
            </w:pPr>
            <w:r>
              <w:rPr>
                <w:b/>
                <w:color w:val="auto"/>
              </w:rPr>
              <w:t>（2）电子响应文件：详见表2《关于电子竞争性磋商活动的专门规定》</w:t>
            </w:r>
          </w:p>
        </w:tc>
      </w:tr>
      <w:tr w14:paraId="508798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4" w:type="dxa"/>
          </w:tcPr>
          <w:p w14:paraId="4E550602">
            <w:pPr>
              <w:pStyle w:val="14"/>
              <w:jc w:val="center"/>
              <w:rPr>
                <w:color w:val="auto"/>
              </w:rPr>
            </w:pPr>
            <w:r>
              <w:rPr>
                <w:b/>
                <w:color w:val="auto"/>
              </w:rPr>
              <w:t>8</w:t>
            </w:r>
          </w:p>
        </w:tc>
        <w:tc>
          <w:tcPr>
            <w:tcW w:w="810" w:type="dxa"/>
          </w:tcPr>
          <w:p w14:paraId="419F16A4">
            <w:pPr>
              <w:pStyle w:val="14"/>
              <w:jc w:val="center"/>
              <w:rPr>
                <w:color w:val="auto"/>
              </w:rPr>
            </w:pPr>
            <w:r>
              <w:rPr>
                <w:b/>
                <w:color w:val="auto"/>
              </w:rPr>
              <w:t>14.4</w:t>
            </w:r>
          </w:p>
        </w:tc>
        <w:tc>
          <w:tcPr>
            <w:tcW w:w="6818" w:type="dxa"/>
          </w:tcPr>
          <w:p w14:paraId="771300F9">
            <w:pPr>
              <w:pStyle w:val="14"/>
              <w:jc w:val="center"/>
              <w:rPr>
                <w:color w:val="auto"/>
              </w:rPr>
            </w:pPr>
            <w:r>
              <w:rPr>
                <w:b/>
                <w:color w:val="auto"/>
              </w:rPr>
              <w:t>磋商过程中可能发生实质性变动的内容：</w:t>
            </w:r>
          </w:p>
          <w:p w14:paraId="02D64ADF">
            <w:pPr>
              <w:pStyle w:val="14"/>
              <w:jc w:val="center"/>
              <w:rPr>
                <w:color w:val="auto"/>
              </w:rPr>
            </w:pPr>
          </w:p>
          <w:p w14:paraId="07C72979">
            <w:pPr>
              <w:pStyle w:val="14"/>
              <w:jc w:val="center"/>
              <w:rPr>
                <w:color w:val="auto"/>
              </w:rPr>
            </w:pPr>
            <w:r>
              <w:rPr>
                <w:b/>
                <w:color w:val="auto"/>
              </w:rPr>
              <w:t>无</w:t>
            </w:r>
          </w:p>
        </w:tc>
      </w:tr>
      <w:tr w14:paraId="387ED3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4" w:type="dxa"/>
          </w:tcPr>
          <w:p w14:paraId="281F6388">
            <w:pPr>
              <w:pStyle w:val="14"/>
              <w:jc w:val="center"/>
              <w:rPr>
                <w:color w:val="auto"/>
              </w:rPr>
            </w:pPr>
            <w:r>
              <w:rPr>
                <w:b/>
                <w:color w:val="auto"/>
              </w:rPr>
              <w:t>9</w:t>
            </w:r>
          </w:p>
        </w:tc>
        <w:tc>
          <w:tcPr>
            <w:tcW w:w="810" w:type="dxa"/>
          </w:tcPr>
          <w:p w14:paraId="00474341">
            <w:pPr>
              <w:pStyle w:val="14"/>
              <w:jc w:val="center"/>
              <w:rPr>
                <w:color w:val="auto"/>
              </w:rPr>
            </w:pPr>
            <w:r>
              <w:rPr>
                <w:b/>
                <w:color w:val="auto"/>
              </w:rPr>
              <w:t>14.9</w:t>
            </w:r>
          </w:p>
        </w:tc>
        <w:tc>
          <w:tcPr>
            <w:tcW w:w="6818" w:type="dxa"/>
          </w:tcPr>
          <w:p w14:paraId="560D7A16">
            <w:pPr>
              <w:pStyle w:val="14"/>
              <w:jc w:val="center"/>
              <w:rPr>
                <w:color w:val="auto"/>
              </w:rPr>
            </w:pPr>
            <w:r>
              <w:rPr>
                <w:b/>
                <w:color w:val="auto"/>
              </w:rPr>
              <w:t>评审的标准和方法：具体内容详见竞争性磋商须知前附表专项附件“评审的标准和方法”。</w:t>
            </w:r>
          </w:p>
        </w:tc>
      </w:tr>
      <w:tr w14:paraId="5D4B95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4" w:type="dxa"/>
          </w:tcPr>
          <w:p w14:paraId="69E59137">
            <w:pPr>
              <w:pStyle w:val="14"/>
              <w:jc w:val="center"/>
              <w:rPr>
                <w:color w:val="auto"/>
              </w:rPr>
            </w:pPr>
            <w:r>
              <w:rPr>
                <w:b/>
                <w:color w:val="auto"/>
              </w:rPr>
              <w:t>10</w:t>
            </w:r>
          </w:p>
        </w:tc>
        <w:tc>
          <w:tcPr>
            <w:tcW w:w="810" w:type="dxa"/>
          </w:tcPr>
          <w:p w14:paraId="1974F966">
            <w:pPr>
              <w:rPr>
                <w:color w:val="auto"/>
              </w:rPr>
            </w:pPr>
          </w:p>
        </w:tc>
        <w:tc>
          <w:tcPr>
            <w:tcW w:w="6818" w:type="dxa"/>
          </w:tcPr>
          <w:p w14:paraId="434D5B8F">
            <w:pPr>
              <w:pStyle w:val="14"/>
              <w:jc w:val="center"/>
              <w:rPr>
                <w:color w:val="auto"/>
              </w:rPr>
            </w:pPr>
            <w:r>
              <w:rPr>
                <w:b/>
                <w:color w:val="auto"/>
              </w:rPr>
              <w:t>根据采购项目的特点和需要，需要加以详细说明的其他磋商程序规定、要求等内容：</w:t>
            </w:r>
          </w:p>
          <w:p w14:paraId="59B869FB">
            <w:pPr>
              <w:pStyle w:val="14"/>
              <w:jc w:val="center"/>
              <w:rPr>
                <w:color w:val="auto"/>
              </w:rPr>
            </w:pPr>
          </w:p>
          <w:p w14:paraId="63A71988">
            <w:pPr>
              <w:pStyle w:val="14"/>
              <w:jc w:val="center"/>
              <w:rPr>
                <w:color w:val="auto"/>
              </w:rPr>
            </w:pPr>
            <w:r>
              <w:rPr>
                <w:b/>
                <w:color w:val="auto"/>
              </w:rPr>
              <w:t>无</w:t>
            </w:r>
          </w:p>
        </w:tc>
      </w:tr>
      <w:tr w14:paraId="20B359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4" w:type="dxa"/>
          </w:tcPr>
          <w:p w14:paraId="5684542A">
            <w:pPr>
              <w:pStyle w:val="14"/>
              <w:jc w:val="center"/>
              <w:rPr>
                <w:color w:val="auto"/>
              </w:rPr>
            </w:pPr>
            <w:r>
              <w:rPr>
                <w:b/>
                <w:color w:val="auto"/>
              </w:rPr>
              <w:t>11</w:t>
            </w:r>
          </w:p>
        </w:tc>
        <w:tc>
          <w:tcPr>
            <w:tcW w:w="810" w:type="dxa"/>
          </w:tcPr>
          <w:p w14:paraId="5639A640">
            <w:pPr>
              <w:pStyle w:val="14"/>
              <w:jc w:val="center"/>
              <w:rPr>
                <w:color w:val="auto"/>
              </w:rPr>
            </w:pPr>
            <w:r>
              <w:rPr>
                <w:b/>
                <w:color w:val="auto"/>
              </w:rPr>
              <w:t>22.2</w:t>
            </w:r>
          </w:p>
        </w:tc>
        <w:tc>
          <w:tcPr>
            <w:tcW w:w="6818" w:type="dxa"/>
          </w:tcPr>
          <w:p w14:paraId="62B64CFF">
            <w:pPr>
              <w:pStyle w:val="14"/>
              <w:jc w:val="center"/>
              <w:rPr>
                <w:color w:val="auto"/>
              </w:rPr>
            </w:pPr>
            <w:r>
              <w:rPr>
                <w:b/>
                <w:color w:val="auto"/>
              </w:rPr>
              <w:t>信息公告指定媒体（以下简称：“指定媒体”）：</w:t>
            </w:r>
          </w:p>
          <w:p w14:paraId="49BAF976">
            <w:pPr>
              <w:pStyle w:val="14"/>
              <w:jc w:val="center"/>
              <w:rPr>
                <w:color w:val="auto"/>
              </w:rPr>
            </w:pPr>
            <w:r>
              <w:rPr>
                <w:b/>
                <w:color w:val="auto"/>
              </w:rPr>
              <w:t>(1)中国政府采购网，网址www.ccgp.gov.cn。</w:t>
            </w:r>
          </w:p>
          <w:p w14:paraId="30C2564A">
            <w:pPr>
              <w:pStyle w:val="14"/>
              <w:jc w:val="center"/>
              <w:rPr>
                <w:color w:val="auto"/>
              </w:rPr>
            </w:pPr>
            <w:r>
              <w:rPr>
                <w:b/>
                <w:color w:val="auto"/>
              </w:rPr>
              <w:t>(2)中国政府采购网福建分网（福建省政府采购网），网址zfcg.czt.fujian.gov.cn。</w:t>
            </w:r>
          </w:p>
          <w:p w14:paraId="55655BAB">
            <w:pPr>
              <w:pStyle w:val="14"/>
              <w:jc w:val="center"/>
              <w:rPr>
                <w:color w:val="auto"/>
              </w:rPr>
            </w:pPr>
            <w:r>
              <w:rPr>
                <w:b/>
                <w:color w:val="auto"/>
              </w:rPr>
              <w:t>※上述指定媒体的有关信息若不一致，应以中国政府采购网福建分网（福建省政府采购网）发布的为准。</w:t>
            </w:r>
          </w:p>
        </w:tc>
      </w:tr>
      <w:tr w14:paraId="4414C5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4" w:type="dxa"/>
          </w:tcPr>
          <w:p w14:paraId="0819CF73">
            <w:pPr>
              <w:pStyle w:val="14"/>
              <w:jc w:val="center"/>
              <w:rPr>
                <w:color w:val="auto"/>
              </w:rPr>
            </w:pPr>
            <w:r>
              <w:rPr>
                <w:b/>
                <w:color w:val="auto"/>
              </w:rPr>
              <w:t>12</w:t>
            </w:r>
          </w:p>
        </w:tc>
        <w:tc>
          <w:tcPr>
            <w:tcW w:w="810" w:type="dxa"/>
          </w:tcPr>
          <w:p w14:paraId="094F7833">
            <w:pPr>
              <w:pStyle w:val="14"/>
              <w:jc w:val="center"/>
              <w:rPr>
                <w:color w:val="auto"/>
              </w:rPr>
            </w:pPr>
            <w:r>
              <w:rPr>
                <w:b/>
                <w:color w:val="auto"/>
              </w:rPr>
              <w:t>23.1</w:t>
            </w:r>
          </w:p>
        </w:tc>
        <w:tc>
          <w:tcPr>
            <w:tcW w:w="6818" w:type="dxa"/>
          </w:tcPr>
          <w:p w14:paraId="62FB67D4">
            <w:pPr>
              <w:pStyle w:val="14"/>
              <w:jc w:val="center"/>
              <w:rPr>
                <w:color w:val="auto"/>
              </w:rPr>
            </w:pPr>
            <w:r>
              <w:rPr>
                <w:b/>
                <w:color w:val="auto"/>
              </w:rPr>
              <w:t>本项目监督管理部门：大田县财政局采购监督管理办公室</w:t>
            </w:r>
          </w:p>
        </w:tc>
      </w:tr>
      <w:tr w14:paraId="4C203A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4" w:type="dxa"/>
          </w:tcPr>
          <w:p w14:paraId="6A54BECC">
            <w:pPr>
              <w:pStyle w:val="14"/>
              <w:jc w:val="center"/>
              <w:rPr>
                <w:color w:val="auto"/>
              </w:rPr>
            </w:pPr>
            <w:r>
              <w:rPr>
                <w:b/>
                <w:color w:val="auto"/>
              </w:rPr>
              <w:t>13</w:t>
            </w:r>
          </w:p>
        </w:tc>
        <w:tc>
          <w:tcPr>
            <w:tcW w:w="810" w:type="dxa"/>
          </w:tcPr>
          <w:p w14:paraId="4687DF5F">
            <w:pPr>
              <w:pStyle w:val="14"/>
              <w:jc w:val="center"/>
              <w:rPr>
                <w:color w:val="auto"/>
              </w:rPr>
            </w:pPr>
            <w:r>
              <w:rPr>
                <w:b/>
                <w:color w:val="auto"/>
              </w:rPr>
              <w:t>25.1</w:t>
            </w:r>
          </w:p>
        </w:tc>
        <w:tc>
          <w:tcPr>
            <w:tcW w:w="6818" w:type="dxa"/>
          </w:tcPr>
          <w:p w14:paraId="6E5B10D0">
            <w:pPr>
              <w:pStyle w:val="14"/>
              <w:jc w:val="center"/>
              <w:rPr>
                <w:color w:val="auto"/>
              </w:rPr>
            </w:pPr>
            <w:r>
              <w:rPr>
                <w:b/>
                <w:color w:val="auto"/>
              </w:rPr>
              <w:t>履约保证金：</w:t>
            </w:r>
          </w:p>
          <w:p w14:paraId="3A3D8DE0">
            <w:pPr>
              <w:pStyle w:val="14"/>
              <w:jc w:val="center"/>
              <w:rPr>
                <w:color w:val="auto"/>
              </w:rPr>
            </w:pPr>
            <w:r>
              <w:rPr>
                <w:b/>
                <w:color w:val="auto"/>
              </w:rPr>
              <w:t>采购包1：缴纳</w:t>
            </w:r>
          </w:p>
          <w:p w14:paraId="3723599B">
            <w:pPr>
              <w:pStyle w:val="14"/>
              <w:jc w:val="center"/>
              <w:rPr>
                <w:color w:val="auto"/>
              </w:rPr>
            </w:pPr>
            <w:r>
              <w:rPr>
                <w:b/>
                <w:color w:val="auto"/>
              </w:rPr>
              <w:t>本采购包履约保证金为合同金额的10.0%</w:t>
            </w:r>
          </w:p>
          <w:p w14:paraId="3E724E1C">
            <w:pPr>
              <w:pStyle w:val="14"/>
              <w:jc w:val="center"/>
              <w:rPr>
                <w:color w:val="auto"/>
              </w:rPr>
            </w:pPr>
            <w:r>
              <w:rPr>
                <w:b/>
                <w:color w:val="auto"/>
              </w:rPr>
              <w:t>说明：合同签订之前，成交供应商须向采购人缴纳成交金额的10%作为工程履约保证金，履约保证金以银行保函、保险保函或对公转账方式提交，待</w:t>
            </w:r>
            <w:r>
              <w:rPr>
                <w:rFonts w:hint="eastAsia"/>
                <w:b/>
                <w:color w:val="auto"/>
                <w:lang w:val="en-US" w:eastAsia="zh-CN"/>
              </w:rPr>
              <w:t>一</w:t>
            </w:r>
            <w:r>
              <w:rPr>
                <w:b/>
                <w:color w:val="auto"/>
              </w:rPr>
              <w:t>年</w:t>
            </w:r>
            <w:r>
              <w:rPr>
                <w:rFonts w:hint="eastAsia"/>
                <w:b/>
                <w:color w:val="auto"/>
                <w:lang w:val="en-US" w:eastAsia="zh-CN"/>
              </w:rPr>
              <w:t>缺陷责任</w:t>
            </w:r>
            <w:r>
              <w:rPr>
                <w:b/>
                <w:color w:val="auto"/>
              </w:rPr>
              <w:t>期满后，采购人无息退还。如成交供应商合同期内有违约行为，按合同约定扣除相应罚金。</w:t>
            </w:r>
          </w:p>
        </w:tc>
      </w:tr>
      <w:tr w14:paraId="5223A6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4" w:type="dxa"/>
          </w:tcPr>
          <w:p w14:paraId="38FA152F">
            <w:pPr>
              <w:pStyle w:val="14"/>
              <w:jc w:val="center"/>
              <w:rPr>
                <w:color w:val="auto"/>
              </w:rPr>
            </w:pPr>
            <w:r>
              <w:rPr>
                <w:b/>
                <w:color w:val="auto"/>
              </w:rPr>
              <w:t>14</w:t>
            </w:r>
          </w:p>
        </w:tc>
        <w:tc>
          <w:tcPr>
            <w:tcW w:w="810" w:type="dxa"/>
          </w:tcPr>
          <w:p w14:paraId="1CE3990D">
            <w:pPr>
              <w:pStyle w:val="14"/>
              <w:jc w:val="center"/>
              <w:rPr>
                <w:color w:val="auto"/>
              </w:rPr>
            </w:pPr>
            <w:r>
              <w:rPr>
                <w:b/>
                <w:color w:val="auto"/>
              </w:rPr>
              <w:t>26</w:t>
            </w:r>
          </w:p>
        </w:tc>
        <w:tc>
          <w:tcPr>
            <w:tcW w:w="6818" w:type="dxa"/>
          </w:tcPr>
          <w:p w14:paraId="3717B610">
            <w:pPr>
              <w:pStyle w:val="14"/>
              <w:jc w:val="center"/>
              <w:rPr>
                <w:color w:val="auto"/>
              </w:rPr>
            </w:pPr>
            <w:r>
              <w:rPr>
                <w:b/>
                <w:color w:val="auto"/>
              </w:rPr>
              <w:t>根据采购项目特点或政策需要补充的其他新增内容：</w:t>
            </w:r>
          </w:p>
          <w:p w14:paraId="082DAB79">
            <w:pPr>
              <w:pStyle w:val="14"/>
              <w:jc w:val="center"/>
              <w:rPr>
                <w:color w:val="auto"/>
              </w:rPr>
            </w:pPr>
            <w:r>
              <w:rPr>
                <w:b/>
                <w:color w:val="auto"/>
              </w:rPr>
              <w:t>(1)本项目代理服务费：</w:t>
            </w:r>
          </w:p>
          <w:p w14:paraId="720FD671">
            <w:pPr>
              <w:pStyle w:val="14"/>
              <w:jc w:val="center"/>
              <w:rPr>
                <w:color w:val="auto"/>
              </w:rPr>
            </w:pPr>
          </w:p>
          <w:p w14:paraId="462F342C">
            <w:pPr>
              <w:pStyle w:val="14"/>
              <w:jc w:val="center"/>
              <w:rPr>
                <w:color w:val="auto"/>
              </w:rPr>
            </w:pPr>
            <w:r>
              <w:rPr>
                <w:b/>
                <w:color w:val="auto"/>
              </w:rPr>
              <w:t>本项目收取代理服务费</w:t>
            </w:r>
          </w:p>
          <w:p w14:paraId="48299F51">
            <w:pPr>
              <w:pStyle w:val="14"/>
              <w:jc w:val="center"/>
              <w:rPr>
                <w:color w:val="auto"/>
              </w:rPr>
            </w:pPr>
            <w:r>
              <w:rPr>
                <w:b/>
                <w:color w:val="auto"/>
              </w:rPr>
              <w:t>代理服务费用收取对象：中标/成交供应商</w:t>
            </w:r>
          </w:p>
          <w:p w14:paraId="2F887936">
            <w:pPr>
              <w:pStyle w:val="14"/>
              <w:jc w:val="center"/>
              <w:rPr>
                <w:color w:val="auto"/>
              </w:rPr>
            </w:pPr>
            <w:r>
              <w:rPr>
                <w:b/>
                <w:color w:val="auto"/>
              </w:rPr>
              <w:t>代理服务费收费标准：1.收费标准以单个采购包的中标总金额为准，按差额定率累进法计取，具体按以下标准计取：（0-100)万元按 1.00% ；（100-500）万元按 0.</w:t>
            </w:r>
            <w:r>
              <w:rPr>
                <w:rFonts w:hint="eastAsia"/>
                <w:b/>
                <w:color w:val="auto"/>
                <w:lang w:val="en-US" w:eastAsia="zh-CN"/>
              </w:rPr>
              <w:t>8</w:t>
            </w:r>
            <w:r>
              <w:rPr>
                <w:b/>
                <w:color w:val="auto"/>
              </w:rPr>
              <w:t>%；2.代理服务费由中标人在领取中标通知书</w:t>
            </w:r>
            <w:r>
              <w:rPr>
                <w:rFonts w:hint="eastAsia"/>
                <w:b/>
                <w:color w:val="auto"/>
                <w:lang w:val="en-US" w:eastAsia="zh-CN"/>
              </w:rPr>
              <w:t>期间</w:t>
            </w:r>
            <w:r>
              <w:rPr>
                <w:b/>
                <w:color w:val="auto"/>
              </w:rPr>
              <w:t>，以转账、电汇、现金等付款方式一次性缴清。</w:t>
            </w:r>
          </w:p>
          <w:p w14:paraId="72D5EB55">
            <w:pPr>
              <w:pStyle w:val="14"/>
              <w:jc w:val="center"/>
              <w:rPr>
                <w:color w:val="auto"/>
              </w:rPr>
            </w:pPr>
            <w:r>
              <w:rPr>
                <w:b/>
                <w:color w:val="auto"/>
              </w:rPr>
              <w:t>(2)其他：</w:t>
            </w:r>
          </w:p>
          <w:p w14:paraId="30169E2B">
            <w:pPr>
              <w:pStyle w:val="14"/>
              <w:jc w:val="center"/>
              <w:rPr>
                <w:color w:val="auto"/>
              </w:rPr>
            </w:pPr>
            <w:r>
              <w:rPr>
                <w:color w:val="auto"/>
              </w:rPr>
              <w:t>投标人需在法定质疑期内一次性提出针对同一采购程序环节质疑，否则重复提交的质疑函将不予接收。</w:t>
            </w:r>
          </w:p>
          <w:p w14:paraId="3CB814C2">
            <w:pPr>
              <w:pStyle w:val="14"/>
              <w:jc w:val="center"/>
              <w:rPr>
                <w:color w:val="auto"/>
              </w:rPr>
            </w:pPr>
            <w:r>
              <w:rPr>
                <w:b/>
                <w:color w:val="auto"/>
              </w:rPr>
              <w:t>※若有与电子竞争性磋商活动有关的规定及内容应在表2中填写，不在此处填写）。</w:t>
            </w:r>
          </w:p>
        </w:tc>
      </w:tr>
      <w:tr w14:paraId="212EB6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4" w:type="dxa"/>
          </w:tcPr>
          <w:p w14:paraId="2E3D1755">
            <w:pPr>
              <w:pStyle w:val="14"/>
              <w:jc w:val="center"/>
              <w:rPr>
                <w:color w:val="auto"/>
              </w:rPr>
            </w:pPr>
            <w:r>
              <w:rPr>
                <w:b/>
                <w:color w:val="auto"/>
              </w:rPr>
              <w:t>15</w:t>
            </w:r>
          </w:p>
        </w:tc>
        <w:tc>
          <w:tcPr>
            <w:tcW w:w="810" w:type="dxa"/>
          </w:tcPr>
          <w:p w14:paraId="58E816AB">
            <w:pPr>
              <w:pStyle w:val="14"/>
              <w:jc w:val="center"/>
              <w:rPr>
                <w:color w:val="auto"/>
              </w:rPr>
            </w:pPr>
            <w:r>
              <w:rPr>
                <w:b/>
                <w:color w:val="auto"/>
              </w:rPr>
              <w:t>18.1</w:t>
            </w:r>
          </w:p>
        </w:tc>
        <w:tc>
          <w:tcPr>
            <w:tcW w:w="6818" w:type="dxa"/>
          </w:tcPr>
          <w:p w14:paraId="037E5A3D">
            <w:pPr>
              <w:pStyle w:val="14"/>
              <w:jc w:val="center"/>
              <w:rPr>
                <w:color w:val="auto"/>
              </w:rPr>
            </w:pPr>
            <w:r>
              <w:rPr>
                <w:b/>
                <w:color w:val="auto"/>
              </w:rPr>
              <w:t>合同签订时限：自中标通知书发出之日起30个日历日内。</w:t>
            </w:r>
          </w:p>
        </w:tc>
      </w:tr>
    </w:tbl>
    <w:p w14:paraId="1D5CD0A7">
      <w:pPr>
        <w:pStyle w:val="14"/>
        <w:jc w:val="left"/>
        <w:rPr>
          <w:color w:val="auto"/>
        </w:rPr>
      </w:pPr>
      <w:r>
        <w:rPr>
          <w:b/>
          <w:color w:val="auto"/>
        </w:rPr>
        <w:t>表2</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8A7EF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gridSpan w:val="2"/>
          </w:tcPr>
          <w:p w14:paraId="48E14ABF">
            <w:pPr>
              <w:pStyle w:val="14"/>
              <w:jc w:val="left"/>
              <w:rPr>
                <w:color w:val="auto"/>
              </w:rPr>
            </w:pPr>
            <w:r>
              <w:rPr>
                <w:b/>
                <w:color w:val="auto"/>
              </w:rPr>
              <w:t>关于电子竞争性磋商活动的专门规定</w:t>
            </w:r>
          </w:p>
        </w:tc>
      </w:tr>
      <w:tr w14:paraId="579BDD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2DE761D">
            <w:pPr>
              <w:pStyle w:val="14"/>
              <w:jc w:val="left"/>
              <w:rPr>
                <w:color w:val="auto"/>
              </w:rPr>
            </w:pPr>
            <w:r>
              <w:rPr>
                <w:b/>
                <w:color w:val="auto"/>
              </w:rPr>
              <w:t>序号</w:t>
            </w:r>
          </w:p>
        </w:tc>
        <w:tc>
          <w:tcPr>
            <w:tcW w:w="4153" w:type="dxa"/>
          </w:tcPr>
          <w:p w14:paraId="6372BFD7">
            <w:pPr>
              <w:pStyle w:val="14"/>
              <w:jc w:val="left"/>
              <w:rPr>
                <w:color w:val="auto"/>
              </w:rPr>
            </w:pPr>
            <w:r>
              <w:rPr>
                <w:b/>
                <w:color w:val="auto"/>
              </w:rPr>
              <w:t>编列内容</w:t>
            </w:r>
          </w:p>
        </w:tc>
      </w:tr>
      <w:tr w14:paraId="27BD0F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5CC518A">
            <w:pPr>
              <w:pStyle w:val="14"/>
              <w:jc w:val="left"/>
              <w:rPr>
                <w:color w:val="auto"/>
              </w:rPr>
            </w:pPr>
            <w:r>
              <w:rPr>
                <w:b/>
                <w:color w:val="auto"/>
              </w:rPr>
              <w:t>1</w:t>
            </w:r>
          </w:p>
        </w:tc>
        <w:tc>
          <w:tcPr>
            <w:tcW w:w="4153" w:type="dxa"/>
          </w:tcPr>
          <w:p w14:paraId="111FA278">
            <w:pPr>
              <w:pStyle w:val="14"/>
              <w:jc w:val="left"/>
              <w:rPr>
                <w:color w:val="auto"/>
              </w:rPr>
            </w:pPr>
            <w:r>
              <w:rPr>
                <w:b/>
                <w:color w:val="auto"/>
              </w:rPr>
              <w:t>电子竞争性磋商活动的专门规定适用于本项目。</w:t>
            </w:r>
          </w:p>
          <w:p w14:paraId="0618B4E6">
            <w:pPr>
              <w:pStyle w:val="14"/>
              <w:jc w:val="left"/>
              <w:rPr>
                <w:color w:val="auto"/>
              </w:rPr>
            </w:pPr>
            <w:r>
              <w:rPr>
                <w:b/>
                <w:color w:val="auto"/>
              </w:rPr>
              <w:t>（2）将磋商文件</w:t>
            </w:r>
          </w:p>
          <w:p w14:paraId="64A012AE">
            <w:pPr>
              <w:pStyle w:val="14"/>
              <w:jc w:val="left"/>
              <w:rPr>
                <w:color w:val="auto"/>
              </w:rPr>
            </w:pPr>
            <w:r>
              <w:rPr>
                <w:b/>
                <w:color w:val="auto"/>
              </w:rPr>
              <w:t>无的内容修正为下列内容：</w:t>
            </w:r>
          </w:p>
          <w:p w14:paraId="03FDCC6C">
            <w:pPr>
              <w:pStyle w:val="14"/>
              <w:jc w:val="left"/>
              <w:rPr>
                <w:color w:val="auto"/>
              </w:rPr>
            </w:pPr>
            <w:r>
              <w:rPr>
                <w:b/>
                <w:color w:val="auto"/>
              </w:rPr>
              <w:t>无后适用本项目的电子竞争性磋商活动。</w:t>
            </w:r>
          </w:p>
          <w:p w14:paraId="06A9395F">
            <w:pPr>
              <w:pStyle w:val="14"/>
              <w:jc w:val="left"/>
              <w:rPr>
                <w:color w:val="auto"/>
              </w:rPr>
            </w:pPr>
            <w:r>
              <w:rPr>
                <w:b/>
                <w:color w:val="auto"/>
              </w:rPr>
              <w:t>（3）将下列内容增列为磋商文件的组成部分（以下简称：“增列内容”）适用本项目的电子竞争性磋商活动，若增列内容与磋商文件其他章节内容不一致，应以增列内容为准：</w:t>
            </w:r>
          </w:p>
          <w:p w14:paraId="7335BC57">
            <w:pPr>
              <w:pStyle w:val="14"/>
              <w:jc w:val="left"/>
              <w:rPr>
                <w:color w:val="auto"/>
              </w:rPr>
            </w:pPr>
            <w:r>
              <w:rPr>
                <w:b/>
                <w:color w:val="auto"/>
              </w:rPr>
              <w:t>①电子竞争性磋商活动的具体操作流程以福建省政府采购网上公开信息系统设定的为准。</w:t>
            </w:r>
          </w:p>
          <w:p w14:paraId="70389058">
            <w:pPr>
              <w:pStyle w:val="14"/>
              <w:jc w:val="left"/>
              <w:rPr>
                <w:color w:val="auto"/>
              </w:rPr>
            </w:pPr>
            <w:r>
              <w:rPr>
                <w:b/>
                <w:color w:val="auto"/>
              </w:rPr>
              <w:t>②供应商应在首次响应文件递交截止时间前按照福建省政府采购网上公开信息系统设定的操作流程将电子响应文件1份上传至福建省政府采购网上公开信息系统，电子响应文件应与纸质响应文件保持一致，并以电子响应文件为准。电子响应文件的分项报价一览表、纸质响应文件的分项报价一览表、投标客户端的分项报价一览表应保持一致，并以投标客户端的分项报价一览表为准。</w:t>
            </w:r>
          </w:p>
          <w:p w14:paraId="05F2A075">
            <w:pPr>
              <w:pStyle w:val="14"/>
              <w:jc w:val="left"/>
              <w:rPr>
                <w:color w:val="auto"/>
              </w:rPr>
            </w:pPr>
            <w:r>
              <w:rPr>
                <w:b/>
                <w:color w:val="auto"/>
              </w:rPr>
              <w:t>③若出现福建省政府采购网上公开信息系统设定的意外情形（如：系统故障等），经本项目监督管理部门同意使用纸质响应文件的，应以纸质响应文件为准。</w:t>
            </w:r>
          </w:p>
          <w:p w14:paraId="4BA88FF6">
            <w:pPr>
              <w:pStyle w:val="14"/>
              <w:jc w:val="left"/>
              <w:rPr>
                <w:color w:val="auto"/>
              </w:rPr>
            </w:pPr>
            <w:r>
              <w:rPr>
                <w:b/>
                <w:color w:val="auto"/>
              </w:rPr>
              <w:t>④供应商根据磋商小组的要求，在磋商过程中以纸质方式签署确认并提交的澄清或说明、解决方案、图纸图表以及最后报价等资料均为补充响应文件，磋商小组将此部分内容通过扫描或拍照或数据录入或附件上传等形式提交到电子平台系统，应保持两者内容一致，并作为补充电子响应文件进行评审。相关纸质响应文件应当存档保留，做为监督或核验时判定内容是否一致的标准。</w:t>
            </w:r>
          </w:p>
          <w:p w14:paraId="3BCB4311">
            <w:pPr>
              <w:pStyle w:val="14"/>
              <w:jc w:val="left"/>
              <w:rPr>
                <w:color w:val="auto"/>
              </w:rPr>
            </w:pPr>
            <w:r>
              <w:rPr>
                <w:b/>
                <w:color w:val="auto"/>
              </w:rPr>
              <w:t>⑤供应商应按照福建省政府采购网上公开信息系统要求的评审节点编制电子响应文件，否则磋商小组将按照不利于供应商的内容进行认定。</w:t>
            </w:r>
          </w:p>
          <w:p w14:paraId="79C7EF6C">
            <w:pPr>
              <w:pStyle w:val="14"/>
              <w:jc w:val="left"/>
              <w:rPr>
                <w:color w:val="auto"/>
              </w:rPr>
            </w:pPr>
            <w:r>
              <w:rPr>
                <w:b/>
                <w:color w:val="auto"/>
              </w:rPr>
              <w:t>⑥关于证明材料或资料：</w:t>
            </w:r>
          </w:p>
          <w:p w14:paraId="7265BBBD">
            <w:pPr>
              <w:pStyle w:val="14"/>
              <w:jc w:val="left"/>
              <w:rPr>
                <w:color w:val="auto"/>
              </w:rPr>
            </w:pPr>
            <w:r>
              <w:rPr>
                <w:b/>
                <w:color w:val="auto"/>
              </w:rPr>
              <w:t>a.磋商文件要求原件的，供应商在响应文件中可提供复印件（含扫描件），但同时应准备好原件备查（未能在规定时间内提供原件核查的，将按不利于供应商进行评审）；竞争性磋商文件要求复印件的，供应商在响应文件中提供原件、复印件（含扫描件）皆可；竞争性磋商文件对原件、复印件未作要求的，供应商在响应文件中提供原件、复印件（含扫描件）皆可。</w:t>
            </w:r>
          </w:p>
          <w:p w14:paraId="605B7438">
            <w:pPr>
              <w:pStyle w:val="14"/>
              <w:jc w:val="left"/>
              <w:rPr>
                <w:color w:val="auto"/>
              </w:rPr>
            </w:pPr>
            <w:r>
              <w:rPr>
                <w:b/>
                <w:color w:val="auto"/>
              </w:rPr>
              <w:t>b.若供应商提供注明“复印件无效”或“复印无效”的证明材料或资料，应结合上文a条款进行判定，若竞争性磋商文件未要求供应商提供原件，供应商提供原件、复印件（含扫描件）均视为满足竞争性磋商文件要求。</w:t>
            </w:r>
          </w:p>
          <w:p w14:paraId="733A3D06">
            <w:pPr>
              <w:pStyle w:val="14"/>
              <w:jc w:val="left"/>
              <w:rPr>
                <w:color w:val="auto"/>
              </w:rPr>
            </w:pPr>
            <w:r>
              <w:rPr>
                <w:b/>
                <w:color w:val="auto"/>
              </w:rPr>
              <w:t>⑦关于“全称”、“供应商代表签字”及“加盖单位公章”：</w:t>
            </w:r>
          </w:p>
          <w:p w14:paraId="67415B75">
            <w:pPr>
              <w:pStyle w:val="14"/>
              <w:jc w:val="left"/>
              <w:rPr>
                <w:color w:val="auto"/>
              </w:rPr>
            </w:pPr>
            <w:r>
              <w:rPr>
                <w:b/>
                <w:color w:val="auto"/>
              </w:rPr>
              <w:t>a.在电子响应文件中，涉及“全称”和“供应商代表签字”的内容可使用打字录入方式完成。</w:t>
            </w:r>
          </w:p>
          <w:p w14:paraId="485F64C5">
            <w:pPr>
              <w:pStyle w:val="14"/>
              <w:jc w:val="left"/>
              <w:rPr>
                <w:color w:val="auto"/>
              </w:rPr>
            </w:pPr>
            <w:r>
              <w:rPr>
                <w:b/>
                <w:color w:val="auto"/>
              </w:rPr>
              <w:t>b.在电子响应文件中，涉及“加盖单位公章”的内容应使用供应商的CA证书完成加盖电子印章，否则该响应文件无效，相应供应商的谈判将被否决。</w:t>
            </w:r>
          </w:p>
          <w:p w14:paraId="62DA724C">
            <w:pPr>
              <w:pStyle w:val="14"/>
              <w:jc w:val="left"/>
              <w:rPr>
                <w:color w:val="auto"/>
              </w:rPr>
            </w:pPr>
            <w:r>
              <w:rPr>
                <w:b/>
                <w:color w:val="auto"/>
              </w:rPr>
              <w:t>c.在电子响应文件中，若供应商按照本增列内容第⑦点第b项规定加盖其单位电子印章，则出现无全称、供应商代表未签字等情形，不视为该响应文件无效。</w:t>
            </w:r>
          </w:p>
          <w:p w14:paraId="3FF49C3A">
            <w:pPr>
              <w:pStyle w:val="14"/>
              <w:jc w:val="left"/>
              <w:rPr>
                <w:color w:val="auto"/>
              </w:rPr>
            </w:pPr>
            <w:r>
              <w:rPr>
                <w:b/>
                <w:color w:val="auto"/>
              </w:rPr>
              <w:t>⑧磋商文件接受联合体方式且供应商为联合体的，供应商应以“联合体牵头方”完成电子响应的有关操作（包括但不限于：竞争性磋商文件的获取、提交磋商保证金、编制电子响应文件等）。</w:t>
            </w:r>
          </w:p>
          <w:p w14:paraId="0E8F1FD6">
            <w:pPr>
              <w:pStyle w:val="14"/>
              <w:jc w:val="left"/>
              <w:rPr>
                <w:color w:val="auto"/>
              </w:rPr>
            </w:pPr>
            <w:r>
              <w:rPr>
                <w:b/>
                <w:color w:val="auto"/>
              </w:rPr>
              <w:t>⑨参加磋商活动的供应商代表务必携带供应商的CA证书。供应商的CA证书应能正常、有效使用，否则产生不利后果由供应商承担责任。</w:t>
            </w:r>
          </w:p>
          <w:p w14:paraId="0F85EFB8">
            <w:pPr>
              <w:pStyle w:val="14"/>
              <w:jc w:val="left"/>
              <w:rPr>
                <w:color w:val="auto"/>
              </w:rPr>
            </w:pPr>
            <w:r>
              <w:rPr>
                <w:b/>
                <w:color w:val="auto"/>
              </w:rPr>
              <w:t>⑩参加磋商活动的供应商代表应当在规定的磋商地点等待，并根据磋商小组的要求和安排配合相应磋商工作直至结束。提交最后报价程序结束前，如果在场的合格供应商委派的“供应商代表”不是其响应文件中约定的供应商（为法人或其他组织的）的单位负责人或由其授权的委托代理人或者供应商代表无故中途退场或者自身通讯中断无法联系或者其他原因离场等造成不能按照磋商小组要求参加磋商的，均视同为该供应商自动放弃相应权利并完全认可磋商小组在磋商活动中公布的各项数据、意见和结论，且该供应商将被退出本项目磋商，其提交的响应文件和报价将被否决。供应商的上述行为后果由供应商自行承担且不影响磋商小组依法开展后续相应电子竞争性磋商活动</w:t>
            </w:r>
          </w:p>
          <w:p w14:paraId="58B27FEF">
            <w:pPr>
              <w:pStyle w:val="14"/>
              <w:jc w:val="left"/>
              <w:rPr>
                <w:color w:val="auto"/>
              </w:rPr>
            </w:pPr>
            <w:r>
              <w:rPr>
                <w:b/>
                <w:color w:val="auto"/>
              </w:rPr>
              <w:t>⑾关于首次响应文件递交截止时间过后</w:t>
            </w:r>
          </w:p>
          <w:p w14:paraId="15D1F286">
            <w:pPr>
              <w:pStyle w:val="14"/>
              <w:jc w:val="left"/>
              <w:rPr>
                <w:color w:val="auto"/>
              </w:rPr>
            </w:pPr>
            <w:r>
              <w:rPr>
                <w:b/>
                <w:color w:val="auto"/>
              </w:rPr>
              <w:t>a.有下列情形之一的，供应商的响应无效，其保证金不予退还或通过保函进行索赔：</w:t>
            </w:r>
          </w:p>
          <w:p w14:paraId="63E85EB9">
            <w:pPr>
              <w:pStyle w:val="14"/>
              <w:jc w:val="left"/>
              <w:rPr>
                <w:color w:val="auto"/>
              </w:rPr>
            </w:pPr>
            <w:r>
              <w:rPr>
                <w:b/>
                <w:color w:val="auto"/>
              </w:rPr>
              <w:t>a1不同供应商的电子响应文件具有相同内部识别码；</w:t>
            </w:r>
          </w:p>
          <w:p w14:paraId="10058163">
            <w:pPr>
              <w:pStyle w:val="14"/>
              <w:jc w:val="left"/>
              <w:rPr>
                <w:color w:val="auto"/>
              </w:rPr>
            </w:pPr>
            <w:r>
              <w:rPr>
                <w:b/>
                <w:color w:val="auto"/>
              </w:rPr>
              <w:t>a2不同供应商的磋商保证金从同一单位或个人的账户转出；</w:t>
            </w:r>
          </w:p>
          <w:p w14:paraId="7ED8B352">
            <w:pPr>
              <w:pStyle w:val="14"/>
              <w:jc w:val="left"/>
              <w:rPr>
                <w:color w:val="auto"/>
              </w:rPr>
            </w:pPr>
            <w:r>
              <w:rPr>
                <w:b/>
                <w:color w:val="auto"/>
              </w:rPr>
              <w:t>a3供应商的磋商保证金同一合同项下有其他供应商提交的磋商保证金。</w:t>
            </w:r>
          </w:p>
          <w:p w14:paraId="702B9BA4">
            <w:pPr>
              <w:pStyle w:val="14"/>
              <w:jc w:val="left"/>
              <w:rPr>
                <w:color w:val="auto"/>
              </w:rPr>
            </w:pPr>
            <w:r>
              <w:rPr>
                <w:b/>
                <w:color w:val="auto"/>
              </w:rPr>
              <w:t>(12)其他：</w:t>
            </w:r>
          </w:p>
          <w:p w14:paraId="0B80954E">
            <w:pPr>
              <w:pStyle w:val="14"/>
              <w:jc w:val="left"/>
              <w:rPr>
                <w:color w:val="auto"/>
              </w:rPr>
            </w:pPr>
            <w:r>
              <w:rPr>
                <w:color w:val="auto"/>
              </w:rPr>
              <w:t>本项目使用远程开标，投标人可远程线上解密（相关操作手册可查看福建省政府采购网首页操作指南），也可以携带CA证书到开标现场进行解密，选择携带CA证书并由代理机构进行解密的应在投标截止时间前到达开标现场，否则不予接收。投标人选择远程线上解密的，无须将CA证书送至开标地点。招标文件中关于递交CA证书的表述有不一致的，以本条为准。远程解密及远程签章的开放起始时间均在开标过程中临时开启，各环节的解密时限规定为30分钟，请投标人务必密切关注实时开标流程，并根据流程在系统内按时操作，否则产生的后果由投标人自行承担。</w:t>
            </w:r>
            <w:r>
              <w:rPr>
                <w:b/>
                <w:color w:val="auto"/>
              </w:rPr>
              <w:t>（与电子竞争性磋商活动有关的其他规定或补充内容可在此处填写）。</w:t>
            </w:r>
          </w:p>
        </w:tc>
      </w:tr>
    </w:tbl>
    <w:p w14:paraId="3D90E3A1">
      <w:pPr>
        <w:pStyle w:val="14"/>
        <w:jc w:val="center"/>
        <w:outlineLvl w:val="2"/>
        <w:rPr>
          <w:color w:val="auto"/>
        </w:rPr>
      </w:pPr>
      <w:r>
        <w:rPr>
          <w:b/>
          <w:color w:val="auto"/>
          <w:sz w:val="28"/>
        </w:rPr>
        <w:t>专项附件：             评审的标准和方法</w:t>
      </w:r>
    </w:p>
    <w:p w14:paraId="1F3CEE2F">
      <w:pPr>
        <w:pStyle w:val="14"/>
        <w:jc w:val="center"/>
        <w:outlineLvl w:val="2"/>
        <w:rPr>
          <w:color w:val="auto"/>
        </w:rPr>
      </w:pPr>
      <w:r>
        <w:rPr>
          <w:b/>
          <w:color w:val="auto"/>
          <w:sz w:val="28"/>
        </w:rPr>
        <w:t>一、磋商小组</w:t>
      </w:r>
    </w:p>
    <w:p w14:paraId="1B77025D">
      <w:pPr>
        <w:pStyle w:val="14"/>
        <w:ind w:firstLine="480"/>
        <w:jc w:val="left"/>
        <w:rPr>
          <w:color w:val="auto"/>
        </w:rPr>
      </w:pPr>
      <w:r>
        <w:rPr>
          <w:b/>
          <w:color w:val="auto"/>
        </w:rPr>
        <w:t>1.1采购人根据项目的特点依法组建磋商小组。</w:t>
      </w:r>
    </w:p>
    <w:p w14:paraId="654EE82E">
      <w:pPr>
        <w:pStyle w:val="14"/>
        <w:ind w:firstLine="480"/>
        <w:jc w:val="left"/>
        <w:rPr>
          <w:color w:val="auto"/>
        </w:rPr>
      </w:pPr>
      <w:r>
        <w:rPr>
          <w:b/>
          <w:color w:val="auto"/>
        </w:rPr>
        <w:t>1.2磋商小组</w:t>
      </w:r>
    </w:p>
    <w:p w14:paraId="362A415B">
      <w:pPr>
        <w:pStyle w:val="14"/>
        <w:jc w:val="left"/>
        <w:rPr>
          <w:color w:val="auto"/>
        </w:rPr>
      </w:pPr>
    </w:p>
    <w:p w14:paraId="1FC4B285">
      <w:pPr>
        <w:pStyle w:val="14"/>
        <w:jc w:val="left"/>
        <w:rPr>
          <w:color w:val="auto"/>
        </w:rPr>
      </w:pPr>
    </w:p>
    <w:p w14:paraId="0B1C9C90">
      <w:pPr>
        <w:pStyle w:val="14"/>
        <w:jc w:val="left"/>
        <w:rPr>
          <w:color w:val="auto"/>
        </w:rPr>
      </w:pPr>
      <w:r>
        <w:rPr>
          <w:b/>
          <w:color w:val="auto"/>
        </w:rPr>
        <w:t>由采购人代表和评审专家两部分共</w:t>
      </w:r>
      <w:r>
        <w:rPr>
          <w:rFonts w:hint="eastAsia"/>
          <w:b/>
          <w:color w:val="auto"/>
          <w:lang w:val="en-US" w:eastAsia="zh-CN"/>
        </w:rPr>
        <w:t>3</w:t>
      </w:r>
      <w:r>
        <w:rPr>
          <w:b/>
          <w:color w:val="auto"/>
        </w:rPr>
        <w:t>人组成，其中由福建省政府采购评审专家库产生的评审专家</w:t>
      </w:r>
      <w:r>
        <w:rPr>
          <w:rFonts w:hint="eastAsia"/>
          <w:b/>
          <w:color w:val="auto"/>
          <w:lang w:val="en-US" w:eastAsia="zh-CN"/>
        </w:rPr>
        <w:t>2</w:t>
      </w:r>
      <w:r>
        <w:rPr>
          <w:b/>
          <w:color w:val="auto"/>
        </w:rPr>
        <w:t>人，由采购人派出的采购人代表1人。技术复杂、专业性强的采购项目，评审专家中应当包含1名法律专家。</w:t>
      </w:r>
    </w:p>
    <w:p w14:paraId="3A764E79">
      <w:pPr>
        <w:pStyle w:val="14"/>
        <w:ind w:firstLine="480"/>
        <w:jc w:val="left"/>
        <w:rPr>
          <w:color w:val="auto"/>
        </w:rPr>
      </w:pPr>
      <w:r>
        <w:rPr>
          <w:b/>
          <w:color w:val="auto"/>
        </w:rPr>
        <w:t>1.3磋商小组负责具体磋商和评审事务，并按照下列原则依法独立履行有关职责：</w:t>
      </w:r>
    </w:p>
    <w:p w14:paraId="62EE7EE6">
      <w:pPr>
        <w:pStyle w:val="14"/>
        <w:ind w:firstLine="960"/>
        <w:jc w:val="left"/>
        <w:rPr>
          <w:color w:val="auto"/>
        </w:rPr>
      </w:pPr>
      <w:r>
        <w:rPr>
          <w:b/>
          <w:color w:val="auto"/>
        </w:rPr>
        <w:t>1.3.1评审应保护国家利益、社会公共利益和各方当事人合法权益，提高采购效益，保证项目质量。</w:t>
      </w:r>
    </w:p>
    <w:p w14:paraId="555739F8">
      <w:pPr>
        <w:pStyle w:val="14"/>
        <w:ind w:firstLine="960"/>
        <w:jc w:val="left"/>
        <w:rPr>
          <w:color w:val="auto"/>
        </w:rPr>
      </w:pPr>
      <w:r>
        <w:rPr>
          <w:b/>
          <w:color w:val="auto"/>
        </w:rPr>
        <w:t>1.3.2评审应遵循公平、公正、科学、严谨和择优原则。</w:t>
      </w:r>
    </w:p>
    <w:p w14:paraId="7CA2102A">
      <w:pPr>
        <w:pStyle w:val="14"/>
        <w:ind w:firstLine="960"/>
        <w:jc w:val="left"/>
        <w:rPr>
          <w:color w:val="auto"/>
        </w:rPr>
      </w:pPr>
      <w:r>
        <w:rPr>
          <w:b/>
          <w:color w:val="auto"/>
        </w:rPr>
        <w:t>1.3.3评审的依据是磋商文件和响应文件，磋商文件中没有规定的评审标准不得作为评审依据。</w:t>
      </w:r>
    </w:p>
    <w:p w14:paraId="03453899">
      <w:pPr>
        <w:pStyle w:val="14"/>
        <w:ind w:firstLine="960"/>
        <w:jc w:val="left"/>
        <w:rPr>
          <w:color w:val="auto"/>
        </w:rPr>
      </w:pPr>
      <w:r>
        <w:rPr>
          <w:b/>
          <w:color w:val="auto"/>
        </w:rPr>
        <w:t>1.3.4磋商小组应按照磋商文件规定推荐成交候选供应商或根据采购人的授权确定成交人。</w:t>
      </w:r>
    </w:p>
    <w:p w14:paraId="0084656D">
      <w:pPr>
        <w:pStyle w:val="14"/>
        <w:ind w:firstLine="960"/>
        <w:jc w:val="left"/>
        <w:rPr>
          <w:color w:val="auto"/>
        </w:rPr>
      </w:pPr>
      <w:r>
        <w:rPr>
          <w:b/>
          <w:color w:val="auto"/>
        </w:rPr>
        <w:t>1.3.5评审应遵守下列评审纪律：</w:t>
      </w:r>
    </w:p>
    <w:p w14:paraId="50EDF00F">
      <w:pPr>
        <w:pStyle w:val="14"/>
        <w:ind w:firstLine="960"/>
        <w:jc w:val="left"/>
        <w:rPr>
          <w:color w:val="auto"/>
        </w:rPr>
      </w:pPr>
      <w:r>
        <w:rPr>
          <w:b/>
          <w:color w:val="auto"/>
        </w:rPr>
        <w:t>①评审情况不得私自外泄，有关信息由采购人或其委托的代理机构统一对外发布。</w:t>
      </w:r>
    </w:p>
    <w:p w14:paraId="3F36FFF5">
      <w:pPr>
        <w:pStyle w:val="14"/>
        <w:ind w:firstLine="960"/>
        <w:jc w:val="left"/>
        <w:rPr>
          <w:color w:val="auto"/>
        </w:rPr>
      </w:pPr>
      <w:r>
        <w:rPr>
          <w:b/>
          <w:color w:val="auto"/>
        </w:rPr>
        <w:t>②对采购人或供应商提供的要求保密的资料，不得摘记翻印和外传。</w:t>
      </w:r>
    </w:p>
    <w:p w14:paraId="792FC201">
      <w:pPr>
        <w:pStyle w:val="14"/>
        <w:ind w:firstLine="960"/>
        <w:jc w:val="left"/>
        <w:rPr>
          <w:color w:val="auto"/>
        </w:rPr>
      </w:pPr>
      <w:r>
        <w:rPr>
          <w:b/>
          <w:color w:val="auto"/>
        </w:rPr>
        <w:t>③不得收受供应商或有关人员的任何礼物，不得串联鼓动其他人袒护某供应商。若与供应商存在利害关系，则应主动声明并回避。</w:t>
      </w:r>
    </w:p>
    <w:p w14:paraId="3C838111">
      <w:pPr>
        <w:pStyle w:val="14"/>
        <w:ind w:firstLine="960"/>
        <w:jc w:val="left"/>
        <w:rPr>
          <w:color w:val="auto"/>
        </w:rPr>
      </w:pPr>
      <w:r>
        <w:rPr>
          <w:color w:val="auto"/>
        </w:rPr>
        <w:t>④全体磋商小组成员应按照磋商文件规定进行评审，一切认定事项应查有实据且不得弄虚作假。</w:t>
      </w:r>
    </w:p>
    <w:p w14:paraId="0ADC9E35">
      <w:pPr>
        <w:pStyle w:val="14"/>
        <w:ind w:firstLine="960"/>
        <w:jc w:val="left"/>
        <w:rPr>
          <w:color w:val="auto"/>
        </w:rPr>
      </w:pPr>
      <w:r>
        <w:rPr>
          <w:b/>
          <w:color w:val="auto"/>
        </w:rPr>
        <w:t>⑤评审中应充分发扬民主，推荐成交人候选人或根据采购人授权确定成交人后要服从评审报告。</w:t>
      </w:r>
    </w:p>
    <w:p w14:paraId="51EA498A">
      <w:pPr>
        <w:pStyle w:val="14"/>
        <w:ind w:firstLine="480"/>
        <w:jc w:val="left"/>
        <w:rPr>
          <w:color w:val="auto"/>
        </w:rPr>
      </w:pPr>
      <w:r>
        <w:rPr>
          <w:b/>
          <w:color w:val="auto"/>
        </w:rPr>
        <w:t>※对违反评审纪律的评委，将取消其评委资格，对评审工作造成严重损失者将予以通报批评乃至追究法律责任。</w:t>
      </w:r>
    </w:p>
    <w:p w14:paraId="23C3705E">
      <w:pPr>
        <w:pStyle w:val="14"/>
        <w:jc w:val="center"/>
        <w:outlineLvl w:val="2"/>
        <w:rPr>
          <w:color w:val="auto"/>
        </w:rPr>
      </w:pPr>
      <w:r>
        <w:rPr>
          <w:b/>
          <w:color w:val="auto"/>
          <w:sz w:val="28"/>
        </w:rPr>
        <w:t>二、磋商程序</w:t>
      </w:r>
    </w:p>
    <w:p w14:paraId="6812315B">
      <w:pPr>
        <w:pStyle w:val="14"/>
        <w:ind w:firstLine="480"/>
        <w:jc w:val="left"/>
        <w:rPr>
          <w:color w:val="auto"/>
        </w:rPr>
      </w:pPr>
      <w:r>
        <w:rPr>
          <w:b/>
          <w:color w:val="auto"/>
        </w:rPr>
        <w:t>2.1磋商程序按照磋商文件第二章第2节“竞争性磋商须知”第14 条“磋商程序以及评审标准和方法”的相关条款规定执行。</w:t>
      </w:r>
    </w:p>
    <w:p w14:paraId="16446110">
      <w:pPr>
        <w:pStyle w:val="14"/>
        <w:ind w:firstLine="480"/>
        <w:jc w:val="left"/>
        <w:rPr>
          <w:color w:val="auto"/>
        </w:rPr>
      </w:pPr>
      <w:r>
        <w:rPr>
          <w:b/>
          <w:color w:val="auto"/>
        </w:rP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14:paraId="082FA2EB">
      <w:pPr>
        <w:pStyle w:val="14"/>
        <w:jc w:val="left"/>
        <w:rPr>
          <w:color w:val="auto"/>
        </w:rPr>
      </w:pPr>
    </w:p>
    <w:p w14:paraId="68C93551">
      <w:pPr>
        <w:pStyle w:val="14"/>
        <w:jc w:val="left"/>
        <w:rPr>
          <w:color w:val="auto"/>
        </w:rPr>
      </w:pPr>
      <w:r>
        <w:rPr>
          <w:b/>
          <w:color w:val="auto"/>
        </w:rPr>
        <w:t>无</w:t>
      </w:r>
    </w:p>
    <w:p w14:paraId="427AD7D1">
      <w:pPr>
        <w:pStyle w:val="14"/>
        <w:ind w:firstLine="480"/>
        <w:jc w:val="left"/>
        <w:rPr>
          <w:color w:val="auto"/>
        </w:rPr>
      </w:pPr>
      <w:r>
        <w:rPr>
          <w:b/>
          <w:color w:val="auto"/>
        </w:rPr>
        <w:t>2.3只有资格审查和实质性响应审查均合格且按规定提交最后报价的合格供应商才能参加综合评分。</w:t>
      </w:r>
    </w:p>
    <w:p w14:paraId="06071E15">
      <w:pPr>
        <w:rPr>
          <w:b/>
          <w:color w:val="auto"/>
          <w:sz w:val="28"/>
        </w:rPr>
      </w:pPr>
      <w:r>
        <w:rPr>
          <w:b/>
          <w:color w:val="auto"/>
          <w:sz w:val="28"/>
        </w:rPr>
        <w:br w:type="page"/>
      </w:r>
    </w:p>
    <w:p w14:paraId="707A390F">
      <w:pPr>
        <w:pStyle w:val="14"/>
        <w:jc w:val="center"/>
        <w:outlineLvl w:val="2"/>
        <w:rPr>
          <w:color w:val="auto"/>
        </w:rPr>
      </w:pPr>
      <w:r>
        <w:rPr>
          <w:b/>
          <w:color w:val="auto"/>
          <w:sz w:val="28"/>
        </w:rPr>
        <w:t>三、综合评分的标准和方法</w:t>
      </w:r>
    </w:p>
    <w:p w14:paraId="286645A7">
      <w:pPr>
        <w:pStyle w:val="14"/>
        <w:ind w:firstLine="480"/>
        <w:jc w:val="left"/>
        <w:rPr>
          <w:color w:val="auto"/>
        </w:rPr>
      </w:pPr>
      <w:r>
        <w:rPr>
          <w:b/>
          <w:color w:val="auto"/>
        </w:rPr>
        <w:t>3.1磋商小组将采用综合评分法对提交最后报价的合格供应商的响应文件和最后报价进行综合评分。如果磋商项目有多个采购包，则按相应采购包分别进行，具体综合评分的标准和方法如下：</w:t>
      </w:r>
    </w:p>
    <w:p w14:paraId="2D2616B0">
      <w:pPr>
        <w:pStyle w:val="14"/>
        <w:ind w:firstLine="960"/>
        <w:jc w:val="left"/>
        <w:rPr>
          <w:color w:val="auto"/>
        </w:rPr>
      </w:pPr>
      <w:r>
        <w:rPr>
          <w:b/>
          <w:color w:val="auto"/>
        </w:rPr>
        <w:t>3.3.1磋商小组将对相应采购包提交最后报价的合格供应商从技术、商务及报价部分分别进行评议并评分，并汇总出技术、商务及报价部分的综合得分。各采购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14:paraId="44E7C4EB">
      <w:pPr>
        <w:pStyle w:val="14"/>
        <w:ind w:firstLine="960"/>
        <w:jc w:val="left"/>
        <w:rPr>
          <w:color w:val="auto"/>
        </w:rPr>
      </w:pPr>
      <w:r>
        <w:rPr>
          <w:b/>
          <w:color w:val="auto"/>
        </w:rPr>
        <w:t>3.3.2具体评审标准和方法：</w:t>
      </w:r>
    </w:p>
    <w:p w14:paraId="38EA90A5">
      <w:pPr>
        <w:pStyle w:val="14"/>
        <w:ind w:firstLine="960"/>
        <w:jc w:val="left"/>
        <w:rPr>
          <w:color w:val="auto"/>
        </w:rPr>
      </w:pPr>
      <w:r>
        <w:rPr>
          <w:color w:val="auto"/>
        </w:rPr>
        <w:t>（1）响应文件满足磋商文件全部实质性要求，且按照评审因素的量化指标综合评审总得分从高到低顺序推荐3名以上成交候选人供应商，其中评审总得分最高的供应商为第一成交候选供应商。</w:t>
      </w:r>
    </w:p>
    <w:p w14:paraId="7FAD0EAC">
      <w:pPr>
        <w:pStyle w:val="14"/>
        <w:ind w:firstLine="960"/>
        <w:jc w:val="left"/>
        <w:rPr>
          <w:color w:val="auto"/>
        </w:rPr>
      </w:pPr>
      <w:r>
        <w:rPr>
          <w:b/>
          <w:color w:val="auto"/>
        </w:rPr>
        <w:t>（2）每个供应商的评审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14:paraId="0D4A795D">
      <w:pPr>
        <w:pStyle w:val="14"/>
        <w:ind w:firstLine="960"/>
        <w:jc w:val="left"/>
        <w:rPr>
          <w:color w:val="auto"/>
        </w:rPr>
      </w:pPr>
      <w:r>
        <w:rPr>
          <w:b/>
          <w:color w:val="auto"/>
        </w:rPr>
        <w:t>（3）各项评审因素的设置如下：</w:t>
      </w:r>
    </w:p>
    <w:p w14:paraId="0DD8969D">
      <w:pPr>
        <w:pStyle w:val="14"/>
        <w:jc w:val="left"/>
        <w:rPr>
          <w:color w:val="auto"/>
        </w:rPr>
      </w:pPr>
    </w:p>
    <w:p w14:paraId="0CAE5FF2">
      <w:pPr>
        <w:pStyle w:val="14"/>
        <w:jc w:val="left"/>
        <w:rPr>
          <w:color w:val="auto"/>
        </w:rPr>
      </w:pPr>
    </w:p>
    <w:p w14:paraId="42DB1BA7">
      <w:pPr>
        <w:pStyle w:val="14"/>
        <w:jc w:val="left"/>
        <w:rPr>
          <w:color w:val="auto"/>
        </w:rPr>
      </w:pPr>
    </w:p>
    <w:p w14:paraId="1258B5ED">
      <w:pPr>
        <w:pStyle w:val="14"/>
        <w:jc w:val="left"/>
        <w:rPr>
          <w:color w:val="auto"/>
        </w:rPr>
      </w:pPr>
      <w:r>
        <w:rPr>
          <w:b/>
          <w:color w:val="auto"/>
        </w:rPr>
        <w:t>采购包1：综合评分法</w:t>
      </w:r>
    </w:p>
    <w:p w14:paraId="71456FBC">
      <w:pPr>
        <w:pStyle w:val="14"/>
        <w:jc w:val="left"/>
        <w:rPr>
          <w:color w:val="auto"/>
        </w:rPr>
      </w:pPr>
      <w:r>
        <w:rPr>
          <w:b/>
          <w:color w:val="auto"/>
        </w:rPr>
        <w:t>各项评审因素的设置如下：</w:t>
      </w:r>
    </w:p>
    <w:p w14:paraId="7C37A684">
      <w:pPr>
        <w:pStyle w:val="14"/>
        <w:jc w:val="left"/>
        <w:rPr>
          <w:color w:val="auto"/>
        </w:rPr>
      </w:pPr>
      <w:r>
        <w:rPr>
          <w:b/>
          <w:color w:val="auto"/>
        </w:rPr>
        <w:t>报价部分评分PF 满分为</w:t>
      </w:r>
      <w:r>
        <w:rPr>
          <w:rFonts w:hint="eastAsia"/>
          <w:b/>
          <w:color w:val="auto"/>
          <w:lang w:val="en-US" w:eastAsia="zh-CN"/>
        </w:rPr>
        <w:t>10</w:t>
      </w:r>
      <w:r>
        <w:rPr>
          <w:b/>
          <w:color w:val="auto"/>
        </w:rPr>
        <w:t>.00分</w:t>
      </w:r>
    </w:p>
    <w:p w14:paraId="782B5403">
      <w:pPr>
        <w:pStyle w:val="14"/>
        <w:jc w:val="left"/>
        <w:rPr>
          <w:color w:val="auto"/>
        </w:rPr>
      </w:pPr>
      <w:r>
        <w:rPr>
          <w:b/>
          <w:color w:val="auto"/>
        </w:rPr>
        <w:t>价格分采用低价优先法计算，即满足磋商文件要求且最后报价最低的供应商的价格为磋商基准价，其价格分为满分。其他供应商的价格分统一按照下列公式计算：磋商报价得分=（磋商基准价／最后磋商报价）×价格权值×100。因落实政府采购优惠政策需进行价格扣除的，以扣除后的价格计算磋商基准价和最后磋商报价。</w:t>
      </w:r>
    </w:p>
    <w:p w14:paraId="79116C64">
      <w:pPr>
        <w:pStyle w:val="14"/>
        <w:jc w:val="left"/>
        <w:rPr>
          <w:color w:val="auto"/>
        </w:rPr>
      </w:pPr>
      <w:r>
        <w:rPr>
          <w:b/>
          <w:color w:val="auto"/>
        </w:rPr>
        <w:t>技术部分评分PT 满分为</w:t>
      </w:r>
      <w:r>
        <w:rPr>
          <w:rFonts w:hint="eastAsia"/>
          <w:b/>
          <w:color w:val="auto"/>
          <w:lang w:val="en-US" w:eastAsia="zh-CN"/>
        </w:rPr>
        <w:t>75</w:t>
      </w:r>
      <w:r>
        <w:rPr>
          <w:b/>
          <w:color w:val="auto"/>
        </w:rPr>
        <w:t>.00分</w:t>
      </w:r>
    </w:p>
    <w:tbl>
      <w:tblPr>
        <w:tblStyle w:val="9"/>
        <w:tblW w:w="8571"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016"/>
        <w:gridCol w:w="615"/>
        <w:gridCol w:w="6940"/>
      </w:tblGrid>
      <w:tr w14:paraId="6DBBE0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016" w:type="dxa"/>
            <w:tcBorders>
              <w:top w:val="outset" w:color="auto" w:sz="6" w:space="0"/>
              <w:left w:val="outset" w:color="auto" w:sz="6" w:space="0"/>
              <w:bottom w:val="outset" w:color="auto" w:sz="6" w:space="0"/>
              <w:right w:val="outset" w:color="auto" w:sz="6" w:space="0"/>
            </w:tcBorders>
            <w:noWrap w:val="0"/>
            <w:vAlign w:val="center"/>
          </w:tcPr>
          <w:p w14:paraId="58D21745">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评标项目</w:t>
            </w:r>
          </w:p>
        </w:tc>
        <w:tc>
          <w:tcPr>
            <w:tcW w:w="615" w:type="dxa"/>
            <w:tcBorders>
              <w:top w:val="outset" w:color="auto" w:sz="6" w:space="0"/>
              <w:left w:val="outset" w:color="auto" w:sz="6" w:space="0"/>
              <w:bottom w:val="outset" w:color="auto" w:sz="6" w:space="0"/>
              <w:right w:val="outset" w:color="auto" w:sz="6" w:space="0"/>
            </w:tcBorders>
            <w:noWrap w:val="0"/>
            <w:vAlign w:val="center"/>
          </w:tcPr>
          <w:p w14:paraId="4384F3D6">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评标分值</w:t>
            </w:r>
          </w:p>
        </w:tc>
        <w:tc>
          <w:tcPr>
            <w:tcW w:w="6940" w:type="dxa"/>
            <w:tcBorders>
              <w:top w:val="outset" w:color="auto" w:sz="6" w:space="0"/>
              <w:left w:val="outset" w:color="auto" w:sz="6" w:space="0"/>
              <w:bottom w:val="outset" w:color="auto" w:sz="6" w:space="0"/>
              <w:right w:val="outset" w:color="auto" w:sz="6" w:space="0"/>
            </w:tcBorders>
            <w:noWrap w:val="0"/>
            <w:vAlign w:val="center"/>
          </w:tcPr>
          <w:p w14:paraId="60D4C0A5">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评标方法描述</w:t>
            </w:r>
          </w:p>
        </w:tc>
      </w:tr>
      <w:tr w14:paraId="015E2B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016" w:type="dxa"/>
            <w:tcBorders>
              <w:top w:val="outset" w:color="auto" w:sz="6" w:space="0"/>
              <w:left w:val="outset" w:color="auto" w:sz="6" w:space="0"/>
              <w:bottom w:val="outset" w:color="auto" w:sz="6" w:space="0"/>
              <w:right w:val="outset" w:color="auto" w:sz="6" w:space="0"/>
            </w:tcBorders>
            <w:noWrap w:val="0"/>
            <w:vAlign w:val="center"/>
          </w:tcPr>
          <w:p w14:paraId="3D49A0EF">
            <w:pPr>
              <w:keepNext w:val="0"/>
              <w:keepLines w:val="0"/>
              <w:widowControl/>
              <w:suppressLineNumbers w:val="0"/>
              <w:jc w:val="left"/>
              <w:rPr>
                <w:rFonts w:hint="default" w:eastAsia="宋体"/>
                <w:color w:val="auto"/>
                <w:lang w:val="en-US" w:eastAsia="zh-CN"/>
              </w:rPr>
            </w:pPr>
            <w:r>
              <w:rPr>
                <w:rFonts w:hint="eastAsia"/>
                <w:color w:val="auto"/>
                <w:lang w:val="en-US" w:eastAsia="zh-CN"/>
              </w:rPr>
              <w:t>塑胶跑道、草坪、质量要求</w:t>
            </w:r>
          </w:p>
        </w:tc>
        <w:tc>
          <w:tcPr>
            <w:tcW w:w="615" w:type="dxa"/>
            <w:tcBorders>
              <w:top w:val="outset" w:color="auto" w:sz="6" w:space="0"/>
              <w:left w:val="outset" w:color="auto" w:sz="6" w:space="0"/>
              <w:bottom w:val="outset" w:color="auto" w:sz="6" w:space="0"/>
              <w:right w:val="outset" w:color="auto" w:sz="6" w:space="0"/>
            </w:tcBorders>
            <w:noWrap w:val="0"/>
            <w:vAlign w:val="center"/>
          </w:tcPr>
          <w:p w14:paraId="00F7D2D7">
            <w:pPr>
              <w:keepNext w:val="0"/>
              <w:keepLines w:val="0"/>
              <w:widowControl/>
              <w:suppressLineNumbers w:val="0"/>
              <w:jc w:val="center"/>
              <w:rPr>
                <w:rFonts w:hint="default"/>
                <w:color w:val="auto"/>
                <w:lang w:val="en-US"/>
              </w:rPr>
            </w:pPr>
            <w:r>
              <w:rPr>
                <w:rFonts w:hint="eastAsia" w:ascii="宋体" w:hAnsi="宋体" w:cs="宋体"/>
                <w:color w:val="auto"/>
                <w:kern w:val="0"/>
                <w:sz w:val="24"/>
                <w:szCs w:val="24"/>
                <w:lang w:val="en-US" w:eastAsia="zh-CN" w:bidi="ar"/>
              </w:rPr>
              <w:t>51</w:t>
            </w:r>
          </w:p>
        </w:tc>
        <w:tc>
          <w:tcPr>
            <w:tcW w:w="6940" w:type="dxa"/>
            <w:tcBorders>
              <w:top w:val="outset" w:color="auto" w:sz="6" w:space="0"/>
              <w:left w:val="outset" w:color="auto" w:sz="6" w:space="0"/>
              <w:bottom w:val="outset" w:color="auto" w:sz="6" w:space="0"/>
              <w:right w:val="outset" w:color="auto" w:sz="6" w:space="0"/>
            </w:tcBorders>
            <w:noWrap w:val="0"/>
            <w:vAlign w:val="center"/>
          </w:tcPr>
          <w:p w14:paraId="106FEDA0">
            <w:pPr>
              <w:pStyle w:val="8"/>
              <w:keepNext w:val="0"/>
              <w:keepLines w:val="0"/>
              <w:widowControl/>
              <w:numPr>
                <w:ilvl w:val="0"/>
                <w:numId w:val="0"/>
              </w:numPr>
              <w:suppressLineNumbers w:val="0"/>
              <w:spacing w:line="360" w:lineRule="atLeast"/>
              <w:ind w:right="0" w:rightChars="0"/>
              <w:textAlignment w:val="baseline"/>
              <w:rPr>
                <w:color w:val="auto"/>
              </w:rPr>
            </w:pPr>
            <w:r>
              <w:rPr>
                <w:rFonts w:ascii="宋体" w:hAnsi="宋体" w:eastAsia="宋体" w:cs="宋体"/>
                <w:color w:val="auto"/>
                <w:kern w:val="0"/>
                <w:sz w:val="24"/>
                <w:szCs w:val="24"/>
                <w:lang w:val="en-US" w:eastAsia="zh-CN" w:bidi="ar"/>
              </w:rPr>
              <w:t>根据投标人对竞争性磋商文件第三章“采购内容及要求”中“</w:t>
            </w:r>
            <w:r>
              <w:rPr>
                <w:rFonts w:hint="eastAsia" w:ascii="宋体" w:hAnsi="宋体" w:cs="宋体"/>
                <w:color w:val="auto"/>
                <w:kern w:val="0"/>
                <w:sz w:val="24"/>
                <w:szCs w:val="24"/>
                <w:lang w:val="en-US" w:eastAsia="zh-CN" w:bidi="ar"/>
              </w:rPr>
              <w:t>技术要求</w:t>
            </w:r>
            <w:r>
              <w:rPr>
                <w:rFonts w:ascii="宋体" w:hAnsi="宋体" w:eastAsia="宋体" w:cs="宋体"/>
                <w:color w:val="auto"/>
                <w:kern w:val="0"/>
                <w:sz w:val="24"/>
                <w:szCs w:val="24"/>
                <w:lang w:val="en-US" w:eastAsia="zh-CN" w:bidi="ar"/>
              </w:rPr>
              <w:t>”中的各项</w:t>
            </w:r>
            <w:r>
              <w:rPr>
                <w:rFonts w:hint="eastAsia" w:ascii="宋体" w:hAnsi="宋体" w:eastAsia="宋体" w:cs="宋体"/>
                <w:color w:val="auto"/>
                <w:kern w:val="0"/>
                <w:sz w:val="24"/>
                <w:szCs w:val="24"/>
                <w:lang w:val="en-US" w:eastAsia="zh-CN" w:bidi="ar"/>
              </w:rPr>
              <w:t>要求</w:t>
            </w:r>
            <w:r>
              <w:rPr>
                <w:rFonts w:ascii="宋体" w:hAnsi="宋体" w:eastAsia="宋体" w:cs="宋体"/>
                <w:color w:val="auto"/>
                <w:kern w:val="0"/>
                <w:sz w:val="24"/>
                <w:szCs w:val="24"/>
                <w:lang w:val="en-US" w:eastAsia="zh-CN" w:bidi="ar"/>
              </w:rPr>
              <w:t>进行评议，</w:t>
            </w:r>
            <w:r>
              <w:rPr>
                <w:rFonts w:hint="eastAsia" w:ascii="宋体" w:hAnsi="宋体" w:eastAsia="宋体" w:cs="Times New Roman"/>
                <w:color w:val="auto"/>
                <w:sz w:val="24"/>
              </w:rPr>
              <w:t>全部满足</w:t>
            </w:r>
            <w:r>
              <w:rPr>
                <w:rFonts w:ascii="宋体" w:hAnsi="宋体" w:eastAsia="宋体" w:cs="宋体"/>
                <w:color w:val="auto"/>
                <w:kern w:val="0"/>
                <w:sz w:val="24"/>
                <w:szCs w:val="24"/>
                <w:lang w:val="en-US" w:eastAsia="zh-CN" w:bidi="ar"/>
              </w:rPr>
              <w:t>竞争性磋商</w:t>
            </w:r>
            <w:r>
              <w:rPr>
                <w:rFonts w:hint="eastAsia" w:ascii="宋体" w:hAnsi="宋体" w:eastAsia="宋体" w:cs="Times New Roman"/>
                <w:color w:val="auto"/>
                <w:sz w:val="24"/>
              </w:rPr>
              <w:t>文件技术参数要求的得</w:t>
            </w:r>
            <w:r>
              <w:rPr>
                <w:rFonts w:hint="eastAsia" w:ascii="宋体" w:hAnsi="宋体" w:cs="Times New Roman"/>
                <w:color w:val="auto"/>
                <w:sz w:val="24"/>
                <w:lang w:val="en-US" w:eastAsia="zh-CN"/>
              </w:rPr>
              <w:t>51</w:t>
            </w:r>
            <w:r>
              <w:rPr>
                <w:rFonts w:hint="eastAsia" w:ascii="宋体" w:hAnsi="宋体" w:eastAsia="宋体" w:cs="Times New Roman"/>
                <w:color w:val="auto"/>
                <w:sz w:val="24"/>
              </w:rPr>
              <w:t>分</w:t>
            </w:r>
            <w:r>
              <w:rPr>
                <w:color w:val="auto"/>
              </w:rPr>
              <w:t>，正偏离不加分</w:t>
            </w:r>
            <w:r>
              <w:rPr>
                <w:rFonts w:hint="eastAsia" w:ascii="宋体" w:hAnsi="宋体" w:cs="Times New Roman"/>
                <w:color w:val="auto"/>
                <w:sz w:val="24"/>
                <w:lang w:eastAsia="zh-CN"/>
              </w:rPr>
              <w:t>；</w:t>
            </w:r>
            <w:r>
              <w:rPr>
                <w:rFonts w:ascii="宋体" w:hAnsi="宋体" w:eastAsia="宋体" w:cs="宋体"/>
                <w:color w:val="auto"/>
                <w:sz w:val="24"/>
              </w:rPr>
              <w:t>技术</w:t>
            </w:r>
            <w:r>
              <w:rPr>
                <w:rFonts w:hint="eastAsia" w:ascii="宋体" w:hAnsi="宋体" w:eastAsia="宋体" w:cs="Times New Roman"/>
                <w:color w:val="auto"/>
                <w:sz w:val="24"/>
              </w:rPr>
              <w:t>要求</w:t>
            </w:r>
            <w:r>
              <w:rPr>
                <w:rFonts w:ascii="宋体" w:hAnsi="宋体" w:eastAsia="宋体" w:cs="宋体"/>
                <w:color w:val="auto"/>
                <w:sz w:val="24"/>
              </w:rPr>
              <w:t>中标注“★”为关键性评分</w:t>
            </w:r>
            <w:r>
              <w:rPr>
                <w:rFonts w:ascii="宋体" w:hAnsi="宋体" w:eastAsia="宋体" w:cs="宋体"/>
                <w:color w:val="auto"/>
                <w:kern w:val="0"/>
                <w:sz w:val="24"/>
                <w:szCs w:val="24"/>
                <w:lang w:val="en-US" w:eastAsia="zh-CN" w:bidi="ar"/>
              </w:rPr>
              <w:t>指标项（共</w:t>
            </w:r>
            <w:r>
              <w:rPr>
                <w:rFonts w:hint="eastAsia" w:ascii="宋体" w:hAnsi="宋体" w:cs="宋体"/>
                <w:color w:val="auto"/>
                <w:kern w:val="0"/>
                <w:sz w:val="24"/>
                <w:szCs w:val="24"/>
                <w:lang w:val="en-US" w:eastAsia="zh-CN" w:bidi="ar"/>
              </w:rPr>
              <w:t>2</w:t>
            </w:r>
            <w:r>
              <w:rPr>
                <w:rFonts w:ascii="宋体" w:hAnsi="宋体" w:eastAsia="宋体" w:cs="宋体"/>
                <w:color w:val="auto"/>
                <w:kern w:val="0"/>
                <w:sz w:val="24"/>
                <w:szCs w:val="24"/>
                <w:lang w:val="en-US" w:eastAsia="zh-CN" w:bidi="ar"/>
              </w:rPr>
              <w:t>项）</w:t>
            </w:r>
            <w:r>
              <w:rPr>
                <w:rFonts w:ascii="宋体" w:hAnsi="宋体" w:eastAsia="宋体" w:cs="宋体"/>
                <w:color w:val="auto"/>
                <w:sz w:val="24"/>
              </w:rPr>
              <w:t>，存在任一项负偏离即视为未实质性响应招标文件，按无效投标处理；</w:t>
            </w:r>
            <w:r>
              <w:rPr>
                <w:rFonts w:ascii="宋体" w:hAnsi="宋体" w:eastAsia="宋体" w:cs="宋体"/>
                <w:color w:val="auto"/>
                <w:kern w:val="0"/>
                <w:sz w:val="24"/>
                <w:szCs w:val="24"/>
                <w:lang w:val="en-US" w:eastAsia="zh-CN" w:bidi="ar"/>
              </w:rPr>
              <w:t>标注“▲”（</w:t>
            </w:r>
            <w:r>
              <w:rPr>
                <w:rFonts w:hint="eastAsia" w:ascii="宋体" w:hAnsi="宋体" w:eastAsia="宋体" w:cs="宋体"/>
                <w:color w:val="auto"/>
                <w:kern w:val="0"/>
                <w:sz w:val="24"/>
                <w:szCs w:val="24"/>
                <w:lang w:val="en-US" w:eastAsia="zh-CN" w:bidi="ar"/>
              </w:rPr>
              <w:t xml:space="preserve"> </w:t>
            </w:r>
            <w:r>
              <w:rPr>
                <w:rFonts w:hint="eastAsia" w:ascii="宋体" w:hAnsi="宋体" w:cs="宋体"/>
                <w:color w:val="auto"/>
                <w:kern w:val="0"/>
                <w:sz w:val="24"/>
                <w:szCs w:val="24"/>
                <w:lang w:val="en-US" w:eastAsia="zh-CN" w:bidi="ar"/>
              </w:rPr>
              <w:t>13</w:t>
            </w:r>
            <w:r>
              <w:rPr>
                <w:rFonts w:ascii="宋体" w:hAnsi="宋体" w:eastAsia="宋体" w:cs="宋体"/>
                <w:color w:val="auto"/>
                <w:kern w:val="0"/>
                <w:sz w:val="24"/>
                <w:szCs w:val="24"/>
                <w:lang w:val="en-US" w:eastAsia="zh-CN" w:bidi="ar"/>
              </w:rPr>
              <w:t>项）有一项</w:t>
            </w:r>
            <w:r>
              <w:rPr>
                <w:color w:val="auto"/>
              </w:rPr>
              <w:t>不满足扣</w:t>
            </w:r>
            <w:r>
              <w:rPr>
                <w:rFonts w:hint="eastAsia"/>
                <w:color w:val="auto"/>
                <w:lang w:val="en-US" w:eastAsia="zh-CN"/>
              </w:rPr>
              <w:t>3</w:t>
            </w:r>
            <w:r>
              <w:rPr>
                <w:color w:val="auto"/>
              </w:rPr>
              <w:t>分；未标注特殊符号有一项不满足扣0.5分，偏离超过</w:t>
            </w:r>
            <w:r>
              <w:rPr>
                <w:rFonts w:hint="eastAsia"/>
                <w:color w:val="auto"/>
                <w:lang w:val="en-US" w:eastAsia="zh-CN"/>
              </w:rPr>
              <w:t>30</w:t>
            </w:r>
            <w:r>
              <w:rPr>
                <w:color w:val="auto"/>
              </w:rPr>
              <w:t>项的响应无效；注：凡标有最低一级序号的指标项即为一项技术条款，无论是否隶属于上一级编号。</w:t>
            </w:r>
            <w:r>
              <w:rPr>
                <w:rFonts w:hint="eastAsia" w:ascii="宋体" w:hAnsi="宋体" w:eastAsia="宋体" w:cs="Times New Roman"/>
                <w:color w:val="auto"/>
                <w:sz w:val="24"/>
              </w:rPr>
              <w:t>招标文件中技术指标若有要求投标人提供相应佐证材料进行响应或承诺的，投标人未提供相应佐证材料进行响应或者投标人的响应承诺与其佐证材料不一致的，评委会将以不利于投标人的内容为准进行评审（负偏离）。</w:t>
            </w:r>
          </w:p>
        </w:tc>
      </w:tr>
      <w:tr w14:paraId="28971E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016" w:type="dxa"/>
            <w:tcBorders>
              <w:top w:val="outset" w:color="auto" w:sz="6" w:space="0"/>
              <w:left w:val="outset" w:color="auto" w:sz="6" w:space="0"/>
              <w:bottom w:val="outset" w:color="auto" w:sz="6" w:space="0"/>
              <w:right w:val="outset" w:color="auto" w:sz="6" w:space="0"/>
            </w:tcBorders>
            <w:noWrap w:val="0"/>
            <w:vAlign w:val="center"/>
          </w:tcPr>
          <w:p w14:paraId="0D06626C">
            <w:pPr>
              <w:keepNext w:val="0"/>
              <w:keepLines w:val="0"/>
              <w:widowControl/>
              <w:suppressLineNumbers w:val="0"/>
              <w:jc w:val="left"/>
              <w:rPr>
                <w:rFonts w:hint="eastAsia" w:ascii="宋体" w:hAnsi="宋体" w:eastAsia="宋体" w:cs="Times New Roman"/>
                <w:color w:val="auto"/>
                <w:kern w:val="0"/>
                <w:sz w:val="24"/>
                <w:szCs w:val="24"/>
                <w:lang w:val="en-US" w:eastAsia="zh-CN" w:bidi="ar"/>
              </w:rPr>
            </w:pPr>
            <w:r>
              <w:rPr>
                <w:rFonts w:hint="eastAsia" w:ascii="宋体" w:hAnsi="宋体" w:eastAsia="宋体" w:cs="Times New Roman"/>
                <w:color w:val="auto"/>
                <w:kern w:val="0"/>
                <w:sz w:val="24"/>
                <w:szCs w:val="24"/>
                <w:lang w:val="en-US" w:eastAsia="zh-CN" w:bidi="ar"/>
              </w:rPr>
              <w:t>质量保证方案</w:t>
            </w:r>
          </w:p>
        </w:tc>
        <w:tc>
          <w:tcPr>
            <w:tcW w:w="615" w:type="dxa"/>
            <w:tcBorders>
              <w:top w:val="outset" w:color="auto" w:sz="6" w:space="0"/>
              <w:left w:val="outset" w:color="auto" w:sz="6" w:space="0"/>
              <w:bottom w:val="outset" w:color="auto" w:sz="6" w:space="0"/>
              <w:right w:val="outset" w:color="auto" w:sz="6" w:space="0"/>
            </w:tcBorders>
            <w:noWrap w:val="0"/>
            <w:vAlign w:val="center"/>
          </w:tcPr>
          <w:p w14:paraId="467F606A">
            <w:pPr>
              <w:keepNext w:val="0"/>
              <w:keepLines w:val="0"/>
              <w:widowControl/>
              <w:suppressLineNumbers w:val="0"/>
              <w:jc w:val="center"/>
              <w:rPr>
                <w:rFonts w:hint="eastAsia" w:ascii="宋体" w:hAnsi="宋体" w:eastAsia="宋体" w:cs="Times New Roman"/>
                <w:color w:val="auto"/>
                <w:kern w:val="0"/>
                <w:sz w:val="24"/>
                <w:szCs w:val="24"/>
                <w:lang w:val="en-US" w:eastAsia="zh-CN" w:bidi="ar"/>
              </w:rPr>
            </w:pPr>
            <w:r>
              <w:rPr>
                <w:rFonts w:hint="eastAsia" w:ascii="宋体" w:hAnsi="宋体" w:eastAsia="宋体" w:cs="Times New Roman"/>
                <w:color w:val="auto"/>
                <w:kern w:val="0"/>
                <w:sz w:val="24"/>
                <w:szCs w:val="24"/>
                <w:lang w:val="en-US" w:eastAsia="zh-CN" w:bidi="ar"/>
              </w:rPr>
              <w:t>3</w:t>
            </w:r>
          </w:p>
        </w:tc>
        <w:tc>
          <w:tcPr>
            <w:tcW w:w="6940" w:type="dxa"/>
            <w:tcBorders>
              <w:top w:val="outset" w:color="auto" w:sz="6" w:space="0"/>
              <w:left w:val="outset" w:color="auto" w:sz="6" w:space="0"/>
              <w:bottom w:val="outset" w:color="auto" w:sz="6" w:space="0"/>
              <w:right w:val="outset" w:color="auto" w:sz="6" w:space="0"/>
            </w:tcBorders>
            <w:noWrap w:val="0"/>
            <w:vAlign w:val="center"/>
          </w:tcPr>
          <w:p w14:paraId="766C86F6">
            <w:pPr>
              <w:keepNext w:val="0"/>
              <w:keepLines w:val="0"/>
              <w:widowControl/>
              <w:suppressLineNumbers w:val="0"/>
              <w:jc w:val="left"/>
              <w:rPr>
                <w:rFonts w:hint="eastAsia" w:ascii="宋体" w:hAnsi="宋体" w:eastAsia="宋体" w:cs="Times New Roman"/>
                <w:color w:val="auto"/>
                <w:kern w:val="0"/>
                <w:sz w:val="24"/>
                <w:szCs w:val="24"/>
                <w:lang w:val="en-US" w:eastAsia="zh-CN" w:bidi="ar"/>
              </w:rPr>
            </w:pPr>
            <w:r>
              <w:rPr>
                <w:rFonts w:hint="eastAsia" w:ascii="宋体" w:hAnsi="宋体" w:eastAsia="宋体" w:cs="Times New Roman"/>
                <w:color w:val="auto"/>
                <w:kern w:val="0"/>
                <w:sz w:val="24"/>
                <w:szCs w:val="24"/>
                <w:lang w:val="en-US" w:eastAsia="zh-CN" w:bidi="ar"/>
              </w:rPr>
              <w:t>根据投标人提供针对本项目工程质量保证方案（应包含①质量保证体系；②质量管理制度措施；③主要分项工程的质量控制措施；④深化设计措施；⑤隐蔽工程技术措施；⑥工程保修承诺及交验后服务维护措施等内容）由磋商小组进行评议：完整提供上述措施方案的得3分；上述提供的工程质量保证方案内容存在不合理、不可行、明显错误、内容不结合项目实际的或列举的内容有缺漏的每项扣0.5分，扣完为止。注：应根据项目特点有针对性地简练编制。</w:t>
            </w:r>
          </w:p>
        </w:tc>
      </w:tr>
      <w:tr w14:paraId="190448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016" w:type="dxa"/>
            <w:tcBorders>
              <w:top w:val="outset" w:color="auto" w:sz="6" w:space="0"/>
              <w:left w:val="outset" w:color="auto" w:sz="6" w:space="0"/>
              <w:bottom w:val="outset" w:color="auto" w:sz="6" w:space="0"/>
              <w:right w:val="outset" w:color="auto" w:sz="6" w:space="0"/>
            </w:tcBorders>
            <w:noWrap w:val="0"/>
            <w:vAlign w:val="center"/>
          </w:tcPr>
          <w:p w14:paraId="52D7D09B">
            <w:pPr>
              <w:keepNext w:val="0"/>
              <w:keepLines w:val="0"/>
              <w:widowControl/>
              <w:suppressLineNumbers w:val="0"/>
              <w:jc w:val="left"/>
              <w:rPr>
                <w:rFonts w:hint="eastAsia" w:ascii="宋体" w:hAnsi="宋体" w:eastAsia="宋体" w:cs="Times New Roman"/>
                <w:color w:val="auto"/>
                <w:kern w:val="0"/>
                <w:sz w:val="24"/>
                <w:szCs w:val="24"/>
                <w:lang w:val="en-US" w:eastAsia="zh-CN" w:bidi="ar"/>
              </w:rPr>
            </w:pPr>
            <w:r>
              <w:rPr>
                <w:rFonts w:hint="eastAsia" w:ascii="宋体" w:hAnsi="宋体" w:eastAsia="宋体" w:cs="Times New Roman"/>
                <w:color w:val="auto"/>
                <w:kern w:val="0"/>
                <w:sz w:val="24"/>
                <w:szCs w:val="24"/>
                <w:lang w:val="en-US" w:eastAsia="zh-CN" w:bidi="ar"/>
              </w:rPr>
              <w:t>施工进度计划及保证措施</w:t>
            </w:r>
          </w:p>
        </w:tc>
        <w:tc>
          <w:tcPr>
            <w:tcW w:w="615" w:type="dxa"/>
            <w:tcBorders>
              <w:top w:val="outset" w:color="auto" w:sz="6" w:space="0"/>
              <w:left w:val="outset" w:color="auto" w:sz="6" w:space="0"/>
              <w:bottom w:val="outset" w:color="auto" w:sz="6" w:space="0"/>
              <w:right w:val="outset" w:color="auto" w:sz="6" w:space="0"/>
            </w:tcBorders>
            <w:noWrap w:val="0"/>
            <w:vAlign w:val="center"/>
          </w:tcPr>
          <w:p w14:paraId="32DB041F">
            <w:pPr>
              <w:keepNext w:val="0"/>
              <w:keepLines w:val="0"/>
              <w:widowControl/>
              <w:suppressLineNumbers w:val="0"/>
              <w:jc w:val="center"/>
              <w:rPr>
                <w:rFonts w:hint="eastAsia" w:ascii="宋体" w:hAnsi="宋体" w:eastAsia="宋体" w:cs="Times New Roman"/>
                <w:color w:val="auto"/>
                <w:kern w:val="0"/>
                <w:sz w:val="24"/>
                <w:szCs w:val="24"/>
                <w:lang w:val="en-US" w:eastAsia="zh-CN" w:bidi="ar"/>
              </w:rPr>
            </w:pPr>
            <w:r>
              <w:rPr>
                <w:rFonts w:hint="eastAsia" w:ascii="宋体" w:hAnsi="宋体" w:eastAsia="宋体" w:cs="Times New Roman"/>
                <w:color w:val="auto"/>
                <w:kern w:val="0"/>
                <w:sz w:val="24"/>
                <w:szCs w:val="24"/>
                <w:lang w:val="en-US" w:eastAsia="zh-CN" w:bidi="ar"/>
              </w:rPr>
              <w:t>3</w:t>
            </w:r>
          </w:p>
        </w:tc>
        <w:tc>
          <w:tcPr>
            <w:tcW w:w="6940" w:type="dxa"/>
            <w:tcBorders>
              <w:top w:val="outset" w:color="auto" w:sz="6" w:space="0"/>
              <w:left w:val="outset" w:color="auto" w:sz="6" w:space="0"/>
              <w:bottom w:val="outset" w:color="auto" w:sz="6" w:space="0"/>
              <w:right w:val="outset" w:color="auto" w:sz="6" w:space="0"/>
            </w:tcBorders>
            <w:noWrap w:val="0"/>
            <w:vAlign w:val="center"/>
          </w:tcPr>
          <w:p w14:paraId="065B932F">
            <w:pPr>
              <w:keepNext w:val="0"/>
              <w:keepLines w:val="0"/>
              <w:widowControl/>
              <w:suppressLineNumbers w:val="0"/>
              <w:jc w:val="left"/>
              <w:rPr>
                <w:rFonts w:hint="eastAsia" w:ascii="宋体" w:hAnsi="宋体" w:eastAsia="宋体" w:cs="Times New Roman"/>
                <w:color w:val="auto"/>
                <w:kern w:val="0"/>
                <w:sz w:val="24"/>
                <w:szCs w:val="24"/>
                <w:lang w:val="en-US" w:eastAsia="zh-CN" w:bidi="ar"/>
              </w:rPr>
            </w:pPr>
            <w:r>
              <w:rPr>
                <w:rFonts w:hint="eastAsia" w:ascii="宋体" w:hAnsi="宋体" w:eastAsia="宋体" w:cs="Times New Roman"/>
                <w:color w:val="auto"/>
                <w:kern w:val="0"/>
                <w:sz w:val="24"/>
                <w:szCs w:val="24"/>
                <w:lang w:val="en-US" w:eastAsia="zh-CN" w:bidi="ar"/>
              </w:rPr>
              <w:t>根据投标人提供的针对本项目的施工进度计划方案（可采用横道图或关键线路网络图）（须包含但不限于进度计划及主要施工阶段工作安排、确保工期的技术组织措施等内容）进行评议。施工进度计划部分各分布工程安排合理有序，各工序之间的衔接合理，并制定完整的工期保证措施方案的得3分；施工进度计划各分布工程安排合理有序，但各工序之前的衔接欠缺合理性，制定的工期保障措施针对性不足的得2.7分；仅提供横道图或关键线路网络图的，工期保证措施未结合本项目实际情况制定的得2.4分。未提供或内容有明显错误与项目情况不相符的不得分。</w:t>
            </w:r>
          </w:p>
        </w:tc>
      </w:tr>
      <w:tr w14:paraId="4A25E6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016" w:type="dxa"/>
            <w:tcBorders>
              <w:top w:val="outset" w:color="auto" w:sz="6" w:space="0"/>
              <w:left w:val="outset" w:color="auto" w:sz="6" w:space="0"/>
              <w:bottom w:val="outset" w:color="auto" w:sz="6" w:space="0"/>
              <w:right w:val="outset" w:color="auto" w:sz="6" w:space="0"/>
            </w:tcBorders>
            <w:noWrap w:val="0"/>
            <w:vAlign w:val="center"/>
          </w:tcPr>
          <w:p w14:paraId="4CE73E90">
            <w:pPr>
              <w:keepNext w:val="0"/>
              <w:keepLines w:val="0"/>
              <w:widowControl/>
              <w:suppressLineNumbers w:val="0"/>
              <w:jc w:val="left"/>
              <w:rPr>
                <w:rFonts w:hint="eastAsia" w:ascii="宋体" w:hAnsi="宋体" w:eastAsia="宋体" w:cs="Times New Roman"/>
                <w:color w:val="auto"/>
                <w:kern w:val="0"/>
                <w:sz w:val="24"/>
                <w:szCs w:val="24"/>
                <w:lang w:val="en-US" w:eastAsia="zh-CN" w:bidi="ar"/>
              </w:rPr>
            </w:pPr>
            <w:r>
              <w:rPr>
                <w:rFonts w:hint="eastAsia" w:ascii="宋体" w:hAnsi="宋体" w:eastAsia="宋体" w:cs="Times New Roman"/>
                <w:color w:val="auto"/>
                <w:kern w:val="0"/>
                <w:sz w:val="24"/>
                <w:szCs w:val="24"/>
                <w:lang w:val="en-US" w:eastAsia="zh-CN" w:bidi="ar"/>
              </w:rPr>
              <w:t>施工方案</w:t>
            </w:r>
          </w:p>
        </w:tc>
        <w:tc>
          <w:tcPr>
            <w:tcW w:w="615" w:type="dxa"/>
            <w:tcBorders>
              <w:top w:val="outset" w:color="auto" w:sz="6" w:space="0"/>
              <w:left w:val="outset" w:color="auto" w:sz="6" w:space="0"/>
              <w:bottom w:val="outset" w:color="auto" w:sz="6" w:space="0"/>
              <w:right w:val="outset" w:color="auto" w:sz="6" w:space="0"/>
            </w:tcBorders>
            <w:noWrap w:val="0"/>
            <w:vAlign w:val="center"/>
          </w:tcPr>
          <w:p w14:paraId="03160092">
            <w:pPr>
              <w:keepNext w:val="0"/>
              <w:keepLines w:val="0"/>
              <w:widowControl/>
              <w:suppressLineNumbers w:val="0"/>
              <w:jc w:val="center"/>
              <w:rPr>
                <w:rFonts w:hint="eastAsia" w:ascii="宋体" w:hAnsi="宋体" w:eastAsia="宋体" w:cs="Times New Roman"/>
                <w:color w:val="auto"/>
                <w:kern w:val="0"/>
                <w:sz w:val="24"/>
                <w:szCs w:val="24"/>
                <w:lang w:val="en-US" w:eastAsia="zh-CN" w:bidi="ar"/>
              </w:rPr>
            </w:pPr>
            <w:r>
              <w:rPr>
                <w:rFonts w:hint="eastAsia" w:ascii="宋体" w:hAnsi="宋体" w:eastAsia="宋体" w:cs="Times New Roman"/>
                <w:color w:val="auto"/>
                <w:kern w:val="0"/>
                <w:sz w:val="24"/>
                <w:szCs w:val="24"/>
                <w:lang w:val="en-US" w:eastAsia="zh-CN" w:bidi="ar"/>
              </w:rPr>
              <w:t>3</w:t>
            </w:r>
          </w:p>
        </w:tc>
        <w:tc>
          <w:tcPr>
            <w:tcW w:w="6940" w:type="dxa"/>
            <w:tcBorders>
              <w:top w:val="outset" w:color="auto" w:sz="6" w:space="0"/>
              <w:left w:val="outset" w:color="auto" w:sz="6" w:space="0"/>
              <w:bottom w:val="outset" w:color="auto" w:sz="6" w:space="0"/>
              <w:right w:val="outset" w:color="auto" w:sz="6" w:space="0"/>
            </w:tcBorders>
            <w:noWrap w:val="0"/>
            <w:vAlign w:val="center"/>
          </w:tcPr>
          <w:p w14:paraId="56BAC949">
            <w:pPr>
              <w:keepNext w:val="0"/>
              <w:keepLines w:val="0"/>
              <w:widowControl/>
              <w:suppressLineNumbers w:val="0"/>
              <w:jc w:val="left"/>
              <w:rPr>
                <w:rFonts w:hint="eastAsia" w:ascii="宋体" w:hAnsi="宋体" w:eastAsia="宋体" w:cs="Times New Roman"/>
                <w:color w:val="auto"/>
                <w:kern w:val="0"/>
                <w:sz w:val="24"/>
                <w:szCs w:val="24"/>
                <w:lang w:val="en-US" w:eastAsia="zh-CN" w:bidi="ar"/>
              </w:rPr>
            </w:pPr>
            <w:r>
              <w:rPr>
                <w:rFonts w:hint="eastAsia" w:ascii="宋体" w:hAnsi="宋体" w:eastAsia="宋体" w:cs="Times New Roman"/>
                <w:color w:val="auto"/>
                <w:kern w:val="0"/>
                <w:sz w:val="24"/>
                <w:szCs w:val="24"/>
                <w:lang w:val="en-US" w:eastAsia="zh-CN" w:bidi="ar"/>
              </w:rPr>
              <w:t>根据投标人提供针对本项目施工方案（内容包含①工程概况；②总体布置及工期安排；③工期保证措施；④施工技术方案⑤质量目标、保证体系及保证措施；⑥安全生产目标及保证措施；⑦应急救援预案⑧文明施工要求；⑨环境保护措施：⑩与甲方、监理、设计间的协调）由磋商小组进行评议：施工方案包含上述内容且明确完整、合理可行的得3分；以上列举的施工方案内容每缺少一项扣0.3分，扣完为止。未提供该项内容或没有针对项目实际的不得分。注：应根据项目特点有针对性地简练编制。</w:t>
            </w:r>
          </w:p>
        </w:tc>
      </w:tr>
      <w:tr w14:paraId="25589E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016" w:type="dxa"/>
            <w:tcBorders>
              <w:top w:val="outset" w:color="auto" w:sz="6" w:space="0"/>
              <w:left w:val="outset" w:color="auto" w:sz="6" w:space="0"/>
              <w:bottom w:val="outset" w:color="auto" w:sz="6" w:space="0"/>
              <w:right w:val="outset" w:color="auto" w:sz="6" w:space="0"/>
            </w:tcBorders>
            <w:noWrap w:val="0"/>
            <w:vAlign w:val="center"/>
          </w:tcPr>
          <w:p w14:paraId="143D9095">
            <w:pPr>
              <w:keepNext w:val="0"/>
              <w:keepLines w:val="0"/>
              <w:widowControl/>
              <w:suppressLineNumbers w:val="0"/>
              <w:jc w:val="left"/>
              <w:rPr>
                <w:rFonts w:hint="eastAsia" w:ascii="宋体" w:hAnsi="宋体" w:eastAsia="宋体" w:cs="Times New Roman"/>
                <w:color w:val="auto"/>
                <w:kern w:val="0"/>
                <w:sz w:val="24"/>
                <w:szCs w:val="24"/>
                <w:lang w:val="en-US" w:eastAsia="zh-CN" w:bidi="ar"/>
              </w:rPr>
            </w:pPr>
            <w:r>
              <w:rPr>
                <w:rFonts w:hint="eastAsia" w:ascii="宋体" w:hAnsi="宋体" w:eastAsia="宋体" w:cs="Times New Roman"/>
                <w:color w:val="auto"/>
                <w:kern w:val="0"/>
                <w:sz w:val="24"/>
                <w:szCs w:val="24"/>
                <w:lang w:val="en-US" w:eastAsia="zh-CN" w:bidi="ar"/>
              </w:rPr>
              <w:t>施工现场布置</w:t>
            </w:r>
          </w:p>
        </w:tc>
        <w:tc>
          <w:tcPr>
            <w:tcW w:w="615" w:type="dxa"/>
            <w:tcBorders>
              <w:top w:val="outset" w:color="auto" w:sz="6" w:space="0"/>
              <w:left w:val="outset" w:color="auto" w:sz="6" w:space="0"/>
              <w:bottom w:val="outset" w:color="auto" w:sz="6" w:space="0"/>
              <w:right w:val="outset" w:color="auto" w:sz="6" w:space="0"/>
            </w:tcBorders>
            <w:noWrap w:val="0"/>
            <w:vAlign w:val="center"/>
          </w:tcPr>
          <w:p w14:paraId="36DC888C">
            <w:pPr>
              <w:keepNext w:val="0"/>
              <w:keepLines w:val="0"/>
              <w:widowControl/>
              <w:suppressLineNumbers w:val="0"/>
              <w:jc w:val="center"/>
              <w:rPr>
                <w:rFonts w:hint="eastAsia" w:ascii="宋体" w:hAnsi="宋体" w:eastAsia="宋体" w:cs="Times New Roman"/>
                <w:color w:val="auto"/>
                <w:kern w:val="0"/>
                <w:sz w:val="24"/>
                <w:szCs w:val="24"/>
                <w:lang w:val="en-US" w:eastAsia="zh-CN" w:bidi="ar"/>
              </w:rPr>
            </w:pPr>
            <w:r>
              <w:rPr>
                <w:rFonts w:hint="eastAsia" w:ascii="宋体" w:hAnsi="宋体" w:eastAsia="宋体" w:cs="Times New Roman"/>
                <w:color w:val="auto"/>
                <w:kern w:val="0"/>
                <w:sz w:val="24"/>
                <w:szCs w:val="24"/>
                <w:lang w:val="en-US" w:eastAsia="zh-CN" w:bidi="ar"/>
              </w:rPr>
              <w:t>3</w:t>
            </w:r>
          </w:p>
        </w:tc>
        <w:tc>
          <w:tcPr>
            <w:tcW w:w="6940" w:type="dxa"/>
            <w:tcBorders>
              <w:top w:val="outset" w:color="auto" w:sz="6" w:space="0"/>
              <w:left w:val="outset" w:color="auto" w:sz="6" w:space="0"/>
              <w:bottom w:val="outset" w:color="auto" w:sz="6" w:space="0"/>
              <w:right w:val="outset" w:color="auto" w:sz="6" w:space="0"/>
            </w:tcBorders>
            <w:noWrap w:val="0"/>
            <w:vAlign w:val="center"/>
          </w:tcPr>
          <w:p w14:paraId="2E2E458D">
            <w:pPr>
              <w:keepNext w:val="0"/>
              <w:keepLines w:val="0"/>
              <w:widowControl/>
              <w:suppressLineNumbers w:val="0"/>
              <w:jc w:val="left"/>
              <w:rPr>
                <w:rFonts w:hint="eastAsia" w:ascii="宋体" w:hAnsi="宋体" w:eastAsia="宋体" w:cs="Times New Roman"/>
                <w:color w:val="auto"/>
                <w:kern w:val="0"/>
                <w:sz w:val="24"/>
                <w:szCs w:val="24"/>
                <w:lang w:val="en-US" w:eastAsia="zh-CN" w:bidi="ar"/>
              </w:rPr>
            </w:pPr>
            <w:r>
              <w:rPr>
                <w:rFonts w:hint="eastAsia" w:ascii="宋体" w:hAnsi="宋体" w:eastAsia="宋体" w:cs="Times New Roman"/>
                <w:color w:val="auto"/>
                <w:kern w:val="0"/>
                <w:sz w:val="24"/>
                <w:szCs w:val="24"/>
                <w:lang w:val="en-US" w:eastAsia="zh-CN" w:bidi="ar"/>
              </w:rPr>
              <w:t>根据投标人所提供针对本项目的施工现场布局图进行评议，施工现场布局图应包含施工材料进场安放位置、临时设施、现场加工分区布置等，施工现场布局图的安排布局合理、可行性强的得3分；安排布局较合理、可行性较强的得2.7分；安排布局合理性可行性一般的得2.4分。未提供施工现场布局图或提供的施工现场布局图没有针对项目实际的不得分。</w:t>
            </w:r>
          </w:p>
        </w:tc>
      </w:tr>
      <w:tr w14:paraId="37BF7A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016" w:type="dxa"/>
            <w:tcBorders>
              <w:top w:val="outset" w:color="auto" w:sz="6" w:space="0"/>
              <w:left w:val="outset" w:color="auto" w:sz="6" w:space="0"/>
              <w:bottom w:val="outset" w:color="auto" w:sz="6" w:space="0"/>
              <w:right w:val="outset" w:color="auto" w:sz="6" w:space="0"/>
            </w:tcBorders>
            <w:noWrap w:val="0"/>
            <w:vAlign w:val="center"/>
          </w:tcPr>
          <w:p w14:paraId="7A61E1D7">
            <w:pPr>
              <w:keepNext w:val="0"/>
              <w:keepLines w:val="0"/>
              <w:widowControl/>
              <w:suppressLineNumbers w:val="0"/>
              <w:jc w:val="left"/>
              <w:rPr>
                <w:rFonts w:hint="eastAsia" w:ascii="宋体" w:hAnsi="宋体" w:eastAsia="宋体" w:cs="Times New Roman"/>
                <w:color w:val="auto"/>
                <w:kern w:val="0"/>
                <w:sz w:val="24"/>
                <w:szCs w:val="24"/>
                <w:lang w:val="en-US" w:eastAsia="zh-CN" w:bidi="ar"/>
              </w:rPr>
            </w:pPr>
            <w:r>
              <w:rPr>
                <w:rFonts w:hint="eastAsia" w:ascii="宋体" w:hAnsi="宋体" w:eastAsia="宋体" w:cs="Times New Roman"/>
                <w:color w:val="auto"/>
                <w:kern w:val="0"/>
                <w:sz w:val="24"/>
                <w:szCs w:val="24"/>
                <w:lang w:val="en-US" w:eastAsia="zh-CN" w:bidi="ar"/>
              </w:rPr>
              <w:t>安全管理体系与措施</w:t>
            </w:r>
          </w:p>
        </w:tc>
        <w:tc>
          <w:tcPr>
            <w:tcW w:w="615" w:type="dxa"/>
            <w:tcBorders>
              <w:top w:val="outset" w:color="auto" w:sz="6" w:space="0"/>
              <w:left w:val="outset" w:color="auto" w:sz="6" w:space="0"/>
              <w:bottom w:val="outset" w:color="auto" w:sz="6" w:space="0"/>
              <w:right w:val="outset" w:color="auto" w:sz="6" w:space="0"/>
            </w:tcBorders>
            <w:noWrap w:val="0"/>
            <w:vAlign w:val="center"/>
          </w:tcPr>
          <w:p w14:paraId="255E6948">
            <w:pPr>
              <w:keepNext w:val="0"/>
              <w:keepLines w:val="0"/>
              <w:widowControl/>
              <w:suppressLineNumbers w:val="0"/>
              <w:jc w:val="center"/>
              <w:rPr>
                <w:rFonts w:hint="default" w:ascii="宋体" w:hAnsi="宋体" w:eastAsia="宋体" w:cs="Times New Roman"/>
                <w:color w:val="auto"/>
                <w:kern w:val="0"/>
                <w:sz w:val="24"/>
                <w:szCs w:val="24"/>
                <w:lang w:val="en-US" w:eastAsia="zh-CN" w:bidi="ar"/>
              </w:rPr>
            </w:pPr>
            <w:r>
              <w:rPr>
                <w:rFonts w:hint="eastAsia" w:ascii="宋体" w:hAnsi="宋体" w:eastAsia="宋体" w:cs="Times New Roman"/>
                <w:color w:val="auto"/>
                <w:kern w:val="0"/>
                <w:sz w:val="24"/>
                <w:szCs w:val="24"/>
                <w:lang w:val="en-US" w:eastAsia="zh-CN" w:bidi="ar"/>
              </w:rPr>
              <w:t>3</w:t>
            </w:r>
          </w:p>
        </w:tc>
        <w:tc>
          <w:tcPr>
            <w:tcW w:w="6940" w:type="dxa"/>
            <w:tcBorders>
              <w:top w:val="outset" w:color="auto" w:sz="6" w:space="0"/>
              <w:left w:val="outset" w:color="auto" w:sz="6" w:space="0"/>
              <w:bottom w:val="outset" w:color="auto" w:sz="6" w:space="0"/>
              <w:right w:val="outset" w:color="auto" w:sz="6" w:space="0"/>
            </w:tcBorders>
            <w:noWrap w:val="0"/>
            <w:vAlign w:val="center"/>
          </w:tcPr>
          <w:p w14:paraId="44114AFE">
            <w:pPr>
              <w:keepNext w:val="0"/>
              <w:keepLines w:val="0"/>
              <w:widowControl/>
              <w:suppressLineNumbers w:val="0"/>
              <w:jc w:val="left"/>
              <w:rPr>
                <w:rFonts w:hint="eastAsia" w:ascii="宋体" w:hAnsi="宋体" w:eastAsia="宋体" w:cs="Times New Roman"/>
                <w:color w:val="auto"/>
                <w:kern w:val="0"/>
                <w:sz w:val="24"/>
                <w:szCs w:val="24"/>
                <w:lang w:val="en-US" w:eastAsia="zh-CN" w:bidi="ar"/>
              </w:rPr>
            </w:pPr>
            <w:r>
              <w:rPr>
                <w:rFonts w:hint="eastAsia" w:ascii="宋体" w:hAnsi="宋体" w:eastAsia="宋体" w:cs="Times New Roman"/>
                <w:color w:val="auto"/>
                <w:kern w:val="0"/>
                <w:sz w:val="24"/>
                <w:szCs w:val="24"/>
                <w:lang w:val="en-US" w:eastAsia="zh-CN" w:bidi="ar"/>
              </w:rPr>
              <w:t>根据投标人所提供针对本项目安全管理体系与措施方案进行评议，安全管理体系与措施方案有专门的安全管理人员和制度，且人员配备合理，制度健全，各道工序安全技术措施针对性强，符合实际且满足有关安全技术标准要求的得3分；有专门的安全管理人员和制度，且人员配备合理，制度健全，各道工序安全技术措施针对性一般，符合实际且部分满足有关安全技术标准要求的得2.7分；有专门的安全管理人员和制度，且人员配备合理，制度健全，各道工序安全技术措施针对性一般，部分切合实际且部分满足有关安全技术标准要求的得2.4分；未提供安全管理体系与措施方案或未满足上述三项情形或没有针对项目实际提供资料的不得分。</w:t>
            </w:r>
          </w:p>
          <w:p w14:paraId="2C262C5D">
            <w:pPr>
              <w:tabs>
                <w:tab w:val="left" w:pos="1670"/>
              </w:tabs>
              <w:autoSpaceDE w:val="0"/>
              <w:autoSpaceDN w:val="0"/>
              <w:spacing w:line="360" w:lineRule="auto"/>
              <w:rPr>
                <w:rFonts w:hint="eastAsia" w:ascii="宋体" w:hAnsi="宋体" w:eastAsia="宋体" w:cs="Times New Roman"/>
                <w:color w:val="auto"/>
                <w:kern w:val="0"/>
                <w:sz w:val="24"/>
                <w:szCs w:val="24"/>
                <w:lang w:val="en-US" w:eastAsia="zh-CN" w:bidi="ar"/>
              </w:rPr>
            </w:pPr>
            <w:r>
              <w:rPr>
                <w:rFonts w:hint="eastAsia" w:ascii="宋体" w:hAnsi="宋体" w:eastAsia="宋体" w:cs="Times New Roman"/>
                <w:color w:val="auto"/>
                <w:kern w:val="0"/>
                <w:sz w:val="24"/>
                <w:szCs w:val="24"/>
                <w:lang w:val="en-US" w:eastAsia="zh-CN" w:bidi="ar"/>
              </w:rPr>
              <w:t>注：应根据项目特点有针对性地简练编制。</w:t>
            </w:r>
          </w:p>
        </w:tc>
      </w:tr>
      <w:tr w14:paraId="3FCF87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016" w:type="dxa"/>
            <w:tcBorders>
              <w:top w:val="outset" w:color="auto" w:sz="6" w:space="0"/>
              <w:left w:val="outset" w:color="auto" w:sz="6" w:space="0"/>
              <w:bottom w:val="outset" w:color="auto" w:sz="6" w:space="0"/>
              <w:right w:val="outset" w:color="auto" w:sz="6" w:space="0"/>
            </w:tcBorders>
            <w:noWrap w:val="0"/>
            <w:vAlign w:val="center"/>
          </w:tcPr>
          <w:p w14:paraId="332339AF">
            <w:pPr>
              <w:keepNext w:val="0"/>
              <w:keepLines w:val="0"/>
              <w:widowControl/>
              <w:suppressLineNumbers w:val="0"/>
              <w:jc w:val="left"/>
              <w:rPr>
                <w:rFonts w:hint="eastAsia" w:ascii="宋体" w:hAnsi="宋体" w:eastAsia="宋体" w:cs="Times New Roman"/>
                <w:color w:val="auto"/>
                <w:kern w:val="0"/>
                <w:sz w:val="24"/>
                <w:szCs w:val="24"/>
                <w:lang w:val="en-US" w:eastAsia="zh-CN" w:bidi="ar"/>
              </w:rPr>
            </w:pPr>
            <w:r>
              <w:rPr>
                <w:rFonts w:hint="eastAsia" w:ascii="宋体" w:hAnsi="宋体" w:eastAsia="宋体" w:cs="Times New Roman"/>
                <w:color w:val="auto"/>
                <w:kern w:val="0"/>
                <w:sz w:val="24"/>
                <w:szCs w:val="24"/>
                <w:lang w:val="en-US" w:eastAsia="zh-CN" w:bidi="ar"/>
              </w:rPr>
              <w:t>环境保护管理体系与措施</w:t>
            </w:r>
          </w:p>
        </w:tc>
        <w:tc>
          <w:tcPr>
            <w:tcW w:w="615" w:type="dxa"/>
            <w:tcBorders>
              <w:top w:val="outset" w:color="auto" w:sz="6" w:space="0"/>
              <w:left w:val="outset" w:color="auto" w:sz="6" w:space="0"/>
              <w:bottom w:val="outset" w:color="auto" w:sz="6" w:space="0"/>
              <w:right w:val="outset" w:color="auto" w:sz="6" w:space="0"/>
            </w:tcBorders>
            <w:noWrap w:val="0"/>
            <w:vAlign w:val="center"/>
          </w:tcPr>
          <w:p w14:paraId="095A1080">
            <w:pPr>
              <w:keepNext w:val="0"/>
              <w:keepLines w:val="0"/>
              <w:widowControl/>
              <w:suppressLineNumbers w:val="0"/>
              <w:jc w:val="center"/>
              <w:rPr>
                <w:rFonts w:hint="default" w:ascii="宋体" w:hAnsi="宋体" w:eastAsia="宋体" w:cs="Times New Roman"/>
                <w:color w:val="auto"/>
                <w:kern w:val="0"/>
                <w:sz w:val="24"/>
                <w:szCs w:val="24"/>
                <w:lang w:val="en-US" w:eastAsia="zh-CN" w:bidi="ar"/>
              </w:rPr>
            </w:pPr>
            <w:r>
              <w:rPr>
                <w:rFonts w:hint="eastAsia" w:ascii="宋体" w:hAnsi="宋体" w:eastAsia="宋体" w:cs="Times New Roman"/>
                <w:color w:val="auto"/>
                <w:kern w:val="0"/>
                <w:sz w:val="24"/>
                <w:szCs w:val="24"/>
                <w:lang w:val="en-US" w:eastAsia="zh-CN" w:bidi="ar"/>
              </w:rPr>
              <w:t>3</w:t>
            </w:r>
          </w:p>
        </w:tc>
        <w:tc>
          <w:tcPr>
            <w:tcW w:w="6940" w:type="dxa"/>
            <w:tcBorders>
              <w:top w:val="outset" w:color="auto" w:sz="6" w:space="0"/>
              <w:left w:val="outset" w:color="auto" w:sz="6" w:space="0"/>
              <w:bottom w:val="outset" w:color="auto" w:sz="6" w:space="0"/>
              <w:right w:val="outset" w:color="auto" w:sz="6" w:space="0"/>
            </w:tcBorders>
            <w:noWrap w:val="0"/>
            <w:vAlign w:val="center"/>
          </w:tcPr>
          <w:p w14:paraId="27DD96B7">
            <w:pPr>
              <w:keepNext w:val="0"/>
              <w:keepLines w:val="0"/>
              <w:widowControl/>
              <w:suppressLineNumbers w:val="0"/>
              <w:jc w:val="left"/>
              <w:rPr>
                <w:rFonts w:hint="eastAsia" w:ascii="宋体" w:hAnsi="宋体" w:eastAsia="宋体" w:cs="Times New Roman"/>
                <w:color w:val="auto"/>
                <w:kern w:val="0"/>
                <w:sz w:val="24"/>
                <w:szCs w:val="24"/>
                <w:lang w:val="en-US" w:eastAsia="zh-CN" w:bidi="ar"/>
              </w:rPr>
            </w:pPr>
            <w:r>
              <w:rPr>
                <w:rFonts w:hint="eastAsia" w:ascii="宋体" w:hAnsi="宋体" w:eastAsia="宋体" w:cs="Times New Roman"/>
                <w:color w:val="auto"/>
                <w:kern w:val="0"/>
                <w:sz w:val="24"/>
                <w:szCs w:val="24"/>
                <w:lang w:val="en-US" w:eastAsia="zh-CN" w:bidi="ar"/>
              </w:rPr>
              <w:t>根据投标人所提供针对本项目环境保护管理体系与措施进行评议：有环保管理部门及制度，制定噪音及扰民治理措施，能有效保护现场及周边环境得3分；有环保管理部门及制度，制定噪音及扰民治理措施，保护现场及周边环境针对性一般的2.7分；有环保管理部门及制度，制定噪音及扰民治理措施，保护现场及周边环境无针对性的2.4分；未提供环境保护管理体系与措施或未满足上述三项情形或没有针对项目实际提供资料的不得分。</w:t>
            </w:r>
          </w:p>
        </w:tc>
      </w:tr>
      <w:tr w14:paraId="1B635A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016" w:type="dxa"/>
            <w:tcBorders>
              <w:top w:val="outset" w:color="auto" w:sz="6" w:space="0"/>
              <w:left w:val="outset" w:color="auto" w:sz="6" w:space="0"/>
              <w:bottom w:val="outset" w:color="auto" w:sz="6" w:space="0"/>
              <w:right w:val="outset" w:color="auto" w:sz="6" w:space="0"/>
            </w:tcBorders>
            <w:noWrap w:val="0"/>
            <w:vAlign w:val="center"/>
          </w:tcPr>
          <w:p w14:paraId="16E5B913">
            <w:pPr>
              <w:keepNext w:val="0"/>
              <w:keepLines w:val="0"/>
              <w:widowControl/>
              <w:suppressLineNumbers w:val="0"/>
              <w:jc w:val="left"/>
              <w:rPr>
                <w:rFonts w:hint="eastAsia" w:ascii="宋体" w:hAnsi="宋体" w:eastAsia="宋体" w:cs="Times New Roman"/>
                <w:color w:val="auto"/>
                <w:kern w:val="0"/>
                <w:sz w:val="24"/>
                <w:szCs w:val="24"/>
                <w:lang w:val="en-US" w:eastAsia="zh-CN" w:bidi="ar"/>
              </w:rPr>
            </w:pPr>
            <w:r>
              <w:rPr>
                <w:rFonts w:hint="eastAsia" w:ascii="宋体" w:hAnsi="宋体" w:eastAsia="宋体" w:cs="Times New Roman"/>
                <w:color w:val="auto"/>
                <w:kern w:val="0"/>
                <w:sz w:val="24"/>
                <w:szCs w:val="24"/>
                <w:lang w:val="en-US" w:eastAsia="zh-CN" w:bidi="ar"/>
              </w:rPr>
              <w:t>拟投入的主要施工机械、设备、材料计划</w:t>
            </w:r>
          </w:p>
        </w:tc>
        <w:tc>
          <w:tcPr>
            <w:tcW w:w="615" w:type="dxa"/>
            <w:tcBorders>
              <w:top w:val="outset" w:color="auto" w:sz="6" w:space="0"/>
              <w:left w:val="outset" w:color="auto" w:sz="6" w:space="0"/>
              <w:bottom w:val="outset" w:color="auto" w:sz="6" w:space="0"/>
              <w:right w:val="outset" w:color="auto" w:sz="6" w:space="0"/>
            </w:tcBorders>
            <w:noWrap w:val="0"/>
            <w:vAlign w:val="center"/>
          </w:tcPr>
          <w:p w14:paraId="71500249">
            <w:pPr>
              <w:keepNext w:val="0"/>
              <w:keepLines w:val="0"/>
              <w:widowControl/>
              <w:suppressLineNumbers w:val="0"/>
              <w:jc w:val="center"/>
              <w:rPr>
                <w:rFonts w:hint="default" w:ascii="宋体" w:hAnsi="宋体" w:eastAsia="宋体" w:cs="Times New Roman"/>
                <w:color w:val="auto"/>
                <w:kern w:val="0"/>
                <w:sz w:val="24"/>
                <w:szCs w:val="24"/>
                <w:lang w:val="en-US" w:eastAsia="zh-CN" w:bidi="ar"/>
              </w:rPr>
            </w:pPr>
            <w:r>
              <w:rPr>
                <w:rFonts w:hint="eastAsia" w:ascii="宋体" w:hAnsi="宋体" w:eastAsia="宋体" w:cs="Times New Roman"/>
                <w:color w:val="auto"/>
                <w:kern w:val="0"/>
                <w:sz w:val="24"/>
                <w:szCs w:val="24"/>
                <w:lang w:val="en-US" w:eastAsia="zh-CN" w:bidi="ar"/>
              </w:rPr>
              <w:t>3</w:t>
            </w:r>
          </w:p>
        </w:tc>
        <w:tc>
          <w:tcPr>
            <w:tcW w:w="6940" w:type="dxa"/>
            <w:tcBorders>
              <w:top w:val="outset" w:color="auto" w:sz="6" w:space="0"/>
              <w:left w:val="outset" w:color="auto" w:sz="6" w:space="0"/>
              <w:bottom w:val="outset" w:color="auto" w:sz="6" w:space="0"/>
              <w:right w:val="outset" w:color="auto" w:sz="6" w:space="0"/>
            </w:tcBorders>
            <w:noWrap w:val="0"/>
            <w:vAlign w:val="center"/>
          </w:tcPr>
          <w:p w14:paraId="4350D3A1">
            <w:pPr>
              <w:keepNext w:val="0"/>
              <w:keepLines w:val="0"/>
              <w:widowControl/>
              <w:suppressLineNumbers w:val="0"/>
              <w:jc w:val="left"/>
              <w:rPr>
                <w:rFonts w:hint="default" w:ascii="宋体" w:hAnsi="宋体" w:eastAsia="宋体" w:cs="Times New Roman"/>
                <w:color w:val="auto"/>
                <w:kern w:val="0"/>
                <w:sz w:val="24"/>
                <w:szCs w:val="24"/>
                <w:lang w:val="en-US" w:eastAsia="zh-CN" w:bidi="ar"/>
              </w:rPr>
            </w:pPr>
            <w:r>
              <w:rPr>
                <w:rFonts w:hint="eastAsia" w:ascii="宋体" w:hAnsi="宋体" w:eastAsia="宋体" w:cs="Times New Roman"/>
                <w:color w:val="auto"/>
                <w:kern w:val="0"/>
                <w:sz w:val="24"/>
                <w:szCs w:val="24"/>
                <w:lang w:val="en-US" w:eastAsia="zh-CN" w:bidi="ar"/>
              </w:rPr>
              <w:t>根据投标人所提供拟投入的主要施工机械、设备、材料计划内容进行评议：①投入的施工机械、设备、材料等有详细计划且计划周密的得1.5分；②投入数量、品牌、选型、配置能满足项目要求，时间安排合理，满足施工需要的得1.5分。满分3分。</w:t>
            </w:r>
          </w:p>
          <w:p w14:paraId="2DE15388">
            <w:pPr>
              <w:tabs>
                <w:tab w:val="left" w:pos="1670"/>
              </w:tabs>
              <w:autoSpaceDE w:val="0"/>
              <w:autoSpaceDN w:val="0"/>
              <w:spacing w:line="360" w:lineRule="auto"/>
              <w:ind w:firstLine="480" w:firstLineChars="200"/>
              <w:rPr>
                <w:rFonts w:hint="eastAsia" w:ascii="宋体" w:hAnsi="宋体" w:eastAsia="宋体" w:cs="Times New Roman"/>
                <w:color w:val="auto"/>
                <w:kern w:val="0"/>
                <w:sz w:val="24"/>
                <w:szCs w:val="24"/>
                <w:lang w:val="en-US" w:eastAsia="zh-CN" w:bidi="ar"/>
              </w:rPr>
            </w:pPr>
            <w:r>
              <w:rPr>
                <w:rFonts w:hint="eastAsia" w:ascii="宋体" w:hAnsi="宋体" w:eastAsia="宋体" w:cs="Times New Roman"/>
                <w:color w:val="auto"/>
                <w:kern w:val="0"/>
                <w:sz w:val="24"/>
                <w:szCs w:val="24"/>
                <w:lang w:val="en-US" w:eastAsia="zh-CN" w:bidi="ar"/>
              </w:rPr>
              <w:t>未提供该项内容或没有满足上述要求的不得分。</w:t>
            </w:r>
          </w:p>
        </w:tc>
      </w:tr>
      <w:tr w14:paraId="70A15C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016" w:type="dxa"/>
            <w:tcBorders>
              <w:top w:val="outset" w:color="auto" w:sz="6" w:space="0"/>
              <w:left w:val="outset" w:color="auto" w:sz="6" w:space="0"/>
              <w:bottom w:val="outset" w:color="auto" w:sz="6" w:space="0"/>
              <w:right w:val="outset" w:color="auto" w:sz="6" w:space="0"/>
            </w:tcBorders>
            <w:noWrap w:val="0"/>
            <w:vAlign w:val="center"/>
          </w:tcPr>
          <w:p w14:paraId="00EC2A55">
            <w:pPr>
              <w:keepNext w:val="0"/>
              <w:keepLines w:val="0"/>
              <w:widowControl/>
              <w:suppressLineNumbers w:val="0"/>
              <w:jc w:val="left"/>
              <w:rPr>
                <w:rFonts w:hint="eastAsia" w:ascii="宋体" w:hAnsi="宋体" w:eastAsia="宋体" w:cs="Times New Roman"/>
                <w:color w:val="auto"/>
                <w:kern w:val="0"/>
                <w:sz w:val="24"/>
                <w:szCs w:val="24"/>
                <w:lang w:val="en-US" w:eastAsia="zh-CN" w:bidi="ar"/>
              </w:rPr>
            </w:pPr>
            <w:r>
              <w:rPr>
                <w:rFonts w:hint="eastAsia" w:ascii="宋体" w:hAnsi="宋体" w:eastAsia="宋体" w:cs="Times New Roman"/>
                <w:color w:val="auto"/>
                <w:kern w:val="0"/>
                <w:sz w:val="24"/>
                <w:szCs w:val="24"/>
                <w:lang w:val="en-US" w:eastAsia="zh-CN" w:bidi="ar"/>
              </w:rPr>
              <w:t>劳动力安排计划</w:t>
            </w:r>
          </w:p>
        </w:tc>
        <w:tc>
          <w:tcPr>
            <w:tcW w:w="615" w:type="dxa"/>
            <w:tcBorders>
              <w:top w:val="outset" w:color="auto" w:sz="6" w:space="0"/>
              <w:left w:val="outset" w:color="auto" w:sz="6" w:space="0"/>
              <w:bottom w:val="outset" w:color="auto" w:sz="6" w:space="0"/>
              <w:right w:val="outset" w:color="auto" w:sz="6" w:space="0"/>
            </w:tcBorders>
            <w:noWrap w:val="0"/>
            <w:vAlign w:val="center"/>
          </w:tcPr>
          <w:p w14:paraId="2E2D6679">
            <w:pPr>
              <w:keepNext w:val="0"/>
              <w:keepLines w:val="0"/>
              <w:widowControl/>
              <w:suppressLineNumbers w:val="0"/>
              <w:jc w:val="center"/>
              <w:rPr>
                <w:rFonts w:hint="default" w:ascii="宋体" w:hAnsi="宋体" w:eastAsia="宋体" w:cs="Times New Roman"/>
                <w:color w:val="auto"/>
                <w:kern w:val="0"/>
                <w:sz w:val="24"/>
                <w:szCs w:val="24"/>
                <w:lang w:val="en-US" w:eastAsia="zh-CN" w:bidi="ar"/>
              </w:rPr>
            </w:pPr>
            <w:r>
              <w:rPr>
                <w:rFonts w:hint="eastAsia" w:ascii="宋体" w:hAnsi="宋体" w:eastAsia="宋体" w:cs="Times New Roman"/>
                <w:color w:val="auto"/>
                <w:kern w:val="0"/>
                <w:sz w:val="24"/>
                <w:szCs w:val="24"/>
                <w:lang w:val="en-US" w:eastAsia="zh-CN" w:bidi="ar"/>
              </w:rPr>
              <w:t>3</w:t>
            </w:r>
          </w:p>
        </w:tc>
        <w:tc>
          <w:tcPr>
            <w:tcW w:w="6940" w:type="dxa"/>
            <w:tcBorders>
              <w:top w:val="outset" w:color="auto" w:sz="6" w:space="0"/>
              <w:left w:val="outset" w:color="auto" w:sz="6" w:space="0"/>
              <w:bottom w:val="outset" w:color="auto" w:sz="6" w:space="0"/>
              <w:right w:val="outset" w:color="auto" w:sz="6" w:space="0"/>
            </w:tcBorders>
            <w:noWrap w:val="0"/>
            <w:vAlign w:val="center"/>
          </w:tcPr>
          <w:p w14:paraId="155419FE">
            <w:pPr>
              <w:tabs>
                <w:tab w:val="left" w:pos="1670"/>
              </w:tabs>
              <w:autoSpaceDE w:val="0"/>
              <w:autoSpaceDN w:val="0"/>
              <w:spacing w:line="360" w:lineRule="auto"/>
              <w:ind w:firstLine="480" w:firstLineChars="200"/>
              <w:rPr>
                <w:rFonts w:hint="default" w:ascii="宋体" w:hAnsi="宋体" w:eastAsia="宋体" w:cs="Times New Roman"/>
                <w:color w:val="auto"/>
                <w:kern w:val="0"/>
                <w:sz w:val="24"/>
                <w:szCs w:val="24"/>
                <w:lang w:val="en-US" w:eastAsia="zh-CN" w:bidi="ar"/>
              </w:rPr>
            </w:pPr>
            <w:r>
              <w:rPr>
                <w:rFonts w:hint="eastAsia" w:ascii="宋体" w:hAnsi="宋体" w:eastAsia="宋体" w:cs="Times New Roman"/>
                <w:color w:val="auto"/>
                <w:kern w:val="0"/>
                <w:sz w:val="24"/>
                <w:szCs w:val="24"/>
                <w:lang w:val="en-US" w:eastAsia="zh-CN" w:bidi="ar"/>
              </w:rPr>
              <w:t>根据投标人所提供劳动力安排计划安排内容进行评议：</w:t>
            </w:r>
          </w:p>
          <w:p w14:paraId="69EE0C2B">
            <w:pPr>
              <w:tabs>
                <w:tab w:val="left" w:pos="1670"/>
              </w:tabs>
              <w:autoSpaceDE w:val="0"/>
              <w:autoSpaceDN w:val="0"/>
              <w:spacing w:line="360" w:lineRule="auto"/>
              <w:ind w:firstLine="480" w:firstLineChars="200"/>
              <w:rPr>
                <w:rFonts w:hint="eastAsia" w:ascii="宋体" w:hAnsi="宋体" w:eastAsia="宋体" w:cs="Times New Roman"/>
                <w:color w:val="auto"/>
                <w:kern w:val="0"/>
                <w:sz w:val="24"/>
                <w:szCs w:val="24"/>
                <w:lang w:val="en-US" w:eastAsia="zh-CN" w:bidi="ar"/>
              </w:rPr>
            </w:pPr>
            <w:r>
              <w:rPr>
                <w:rFonts w:hint="eastAsia" w:ascii="宋体" w:hAnsi="宋体" w:eastAsia="宋体" w:cs="Times New Roman"/>
                <w:color w:val="auto"/>
                <w:kern w:val="0"/>
                <w:sz w:val="24"/>
                <w:szCs w:val="24"/>
                <w:lang w:val="en-US" w:eastAsia="zh-CN" w:bidi="ar"/>
              </w:rPr>
              <w:t>各主要施工工序有详细周密的劳动力安排计划明细，有各工种劳动力安排计划，满足施工需要的得3分；各主要施工工序有详细周密的劳动力安排计划明细，各工种劳动力安排计划有缺失的，劳动力投入经济合理，满足施工需要的得2.7分；各主要施工工序的劳动力安排计划未明细，各工种劳动力安排计划有缺失的，满足施工需要的得2.4分；未提供劳动力安排计划安排内容或未满足上述三项情形提供的不得分。</w:t>
            </w:r>
          </w:p>
        </w:tc>
      </w:tr>
    </w:tbl>
    <w:p w14:paraId="6C853089">
      <w:pPr>
        <w:pStyle w:val="14"/>
        <w:jc w:val="left"/>
        <w:rPr>
          <w:b/>
          <w:color w:val="auto"/>
        </w:rPr>
      </w:pPr>
      <w:r>
        <w:rPr>
          <w:b/>
          <w:color w:val="auto"/>
        </w:rPr>
        <w:t>商务部分评分PB 满分为</w:t>
      </w:r>
      <w:r>
        <w:rPr>
          <w:rFonts w:hint="eastAsia"/>
          <w:b/>
          <w:color w:val="auto"/>
          <w:lang w:val="en-US" w:eastAsia="zh-CN"/>
        </w:rPr>
        <w:t>15</w:t>
      </w:r>
      <w:r>
        <w:rPr>
          <w:b/>
          <w:color w:val="auto"/>
        </w:rPr>
        <w:t>.00分</w:t>
      </w:r>
    </w:p>
    <w:tbl>
      <w:tblPr>
        <w:tblStyle w:val="9"/>
        <w:tblW w:w="8561"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244"/>
        <w:gridCol w:w="750"/>
        <w:gridCol w:w="6567"/>
      </w:tblGrid>
      <w:tr w14:paraId="207DD7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262" w:type="dxa"/>
            <w:tcBorders>
              <w:top w:val="outset" w:color="auto" w:sz="6" w:space="0"/>
              <w:left w:val="outset" w:color="auto" w:sz="6" w:space="0"/>
              <w:bottom w:val="outset" w:color="auto" w:sz="6" w:space="0"/>
              <w:right w:val="outset" w:color="auto" w:sz="6" w:space="0"/>
            </w:tcBorders>
            <w:noWrap w:val="0"/>
            <w:vAlign w:val="center"/>
          </w:tcPr>
          <w:p w14:paraId="439B6018">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评标项目</w:t>
            </w:r>
          </w:p>
        </w:tc>
        <w:tc>
          <w:tcPr>
            <w:tcW w:w="615" w:type="dxa"/>
            <w:tcBorders>
              <w:top w:val="outset" w:color="auto" w:sz="6" w:space="0"/>
              <w:left w:val="outset" w:color="auto" w:sz="6" w:space="0"/>
              <w:bottom w:val="outset" w:color="auto" w:sz="6" w:space="0"/>
              <w:right w:val="outset" w:color="auto" w:sz="6" w:space="0"/>
            </w:tcBorders>
            <w:noWrap w:val="0"/>
            <w:vAlign w:val="center"/>
          </w:tcPr>
          <w:p w14:paraId="13226B32">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评标分值</w:t>
            </w:r>
          </w:p>
        </w:tc>
        <w:tc>
          <w:tcPr>
            <w:tcW w:w="6684" w:type="dxa"/>
            <w:tcBorders>
              <w:top w:val="outset" w:color="auto" w:sz="6" w:space="0"/>
              <w:left w:val="outset" w:color="auto" w:sz="6" w:space="0"/>
              <w:bottom w:val="outset" w:color="auto" w:sz="6" w:space="0"/>
              <w:right w:val="outset" w:color="auto" w:sz="6" w:space="0"/>
            </w:tcBorders>
            <w:noWrap w:val="0"/>
            <w:vAlign w:val="center"/>
          </w:tcPr>
          <w:p w14:paraId="3DD0CA27">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评标方法描述</w:t>
            </w:r>
          </w:p>
        </w:tc>
      </w:tr>
      <w:tr w14:paraId="1E1F3E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262" w:type="dxa"/>
            <w:tcBorders>
              <w:top w:val="outset" w:color="auto" w:sz="6" w:space="0"/>
              <w:left w:val="outset" w:color="auto" w:sz="6" w:space="0"/>
              <w:bottom w:val="outset" w:color="auto" w:sz="6" w:space="0"/>
              <w:right w:val="outset" w:color="auto" w:sz="6" w:space="0"/>
            </w:tcBorders>
            <w:noWrap w:val="0"/>
            <w:vAlign w:val="center"/>
          </w:tcPr>
          <w:p w14:paraId="3E71116A">
            <w:pPr>
              <w:tabs>
                <w:tab w:val="left" w:pos="1670"/>
              </w:tabs>
              <w:autoSpaceDE w:val="0"/>
              <w:autoSpaceDN w:val="0"/>
              <w:spacing w:line="360" w:lineRule="auto"/>
              <w:ind w:firstLine="480" w:firstLineChars="200"/>
              <w:rPr>
                <w:rFonts w:hint="default" w:ascii="宋体" w:hAnsi="宋体" w:eastAsia="宋体" w:cs="Times New Roman"/>
                <w:color w:val="auto"/>
                <w:kern w:val="0"/>
                <w:sz w:val="24"/>
                <w:szCs w:val="24"/>
                <w:lang w:val="en-US" w:eastAsia="zh-CN" w:bidi="ar"/>
              </w:rPr>
            </w:pPr>
            <w:r>
              <w:rPr>
                <w:rFonts w:hint="eastAsia" w:ascii="宋体" w:hAnsi="宋体" w:eastAsia="宋体" w:cs="Times New Roman"/>
                <w:color w:val="auto"/>
                <w:kern w:val="0"/>
                <w:sz w:val="24"/>
                <w:szCs w:val="24"/>
                <w:lang w:val="en-US" w:eastAsia="zh-CN" w:bidi="ar"/>
              </w:rPr>
              <w:t>体系管理</w:t>
            </w:r>
          </w:p>
        </w:tc>
        <w:tc>
          <w:tcPr>
            <w:tcW w:w="615" w:type="dxa"/>
            <w:tcBorders>
              <w:top w:val="outset" w:color="auto" w:sz="6" w:space="0"/>
              <w:left w:val="outset" w:color="auto" w:sz="6" w:space="0"/>
              <w:bottom w:val="outset" w:color="auto" w:sz="6" w:space="0"/>
              <w:right w:val="outset" w:color="auto" w:sz="6" w:space="0"/>
            </w:tcBorders>
            <w:noWrap w:val="0"/>
            <w:vAlign w:val="center"/>
          </w:tcPr>
          <w:p w14:paraId="5B8EB8A8">
            <w:pPr>
              <w:tabs>
                <w:tab w:val="left" w:pos="1670"/>
              </w:tabs>
              <w:autoSpaceDE w:val="0"/>
              <w:autoSpaceDN w:val="0"/>
              <w:spacing w:line="360" w:lineRule="auto"/>
              <w:ind w:firstLine="480" w:firstLineChars="200"/>
              <w:rPr>
                <w:rFonts w:hint="eastAsia" w:ascii="宋体" w:hAnsi="宋体" w:eastAsia="宋体" w:cs="Times New Roman"/>
                <w:color w:val="auto"/>
                <w:kern w:val="0"/>
                <w:sz w:val="24"/>
                <w:szCs w:val="24"/>
                <w:lang w:val="en-US" w:eastAsia="zh-CN" w:bidi="ar"/>
              </w:rPr>
            </w:pPr>
            <w:r>
              <w:rPr>
                <w:rFonts w:hint="eastAsia" w:ascii="宋体" w:hAnsi="宋体" w:eastAsia="宋体" w:cs="Times New Roman"/>
                <w:color w:val="auto"/>
                <w:kern w:val="0"/>
                <w:sz w:val="24"/>
                <w:szCs w:val="24"/>
                <w:lang w:val="en-US" w:eastAsia="zh-CN" w:bidi="ar"/>
              </w:rPr>
              <w:t>3</w:t>
            </w:r>
          </w:p>
        </w:tc>
        <w:tc>
          <w:tcPr>
            <w:tcW w:w="6684" w:type="dxa"/>
            <w:tcBorders>
              <w:top w:val="outset" w:color="auto" w:sz="6" w:space="0"/>
              <w:left w:val="outset" w:color="auto" w:sz="6" w:space="0"/>
              <w:bottom w:val="outset" w:color="auto" w:sz="6" w:space="0"/>
              <w:right w:val="outset" w:color="auto" w:sz="6" w:space="0"/>
            </w:tcBorders>
            <w:noWrap w:val="0"/>
            <w:vAlign w:val="center"/>
          </w:tcPr>
          <w:p w14:paraId="7EC1ECA0">
            <w:pPr>
              <w:tabs>
                <w:tab w:val="left" w:pos="1670"/>
              </w:tabs>
              <w:autoSpaceDE w:val="0"/>
              <w:autoSpaceDN w:val="0"/>
              <w:spacing w:line="360" w:lineRule="auto"/>
              <w:ind w:firstLine="480" w:firstLineChars="200"/>
              <w:rPr>
                <w:rFonts w:hint="eastAsia" w:ascii="宋体" w:hAnsi="宋体" w:eastAsia="宋体" w:cs="Times New Roman"/>
                <w:color w:val="auto"/>
                <w:kern w:val="0"/>
                <w:sz w:val="24"/>
                <w:szCs w:val="24"/>
                <w:lang w:val="en-US" w:eastAsia="zh-CN" w:bidi="ar"/>
              </w:rPr>
            </w:pPr>
            <w:r>
              <w:rPr>
                <w:rFonts w:hint="eastAsia" w:ascii="宋体" w:hAnsi="宋体" w:eastAsia="宋体" w:cs="Times New Roman"/>
                <w:color w:val="auto"/>
                <w:kern w:val="0"/>
                <w:sz w:val="24"/>
                <w:szCs w:val="24"/>
                <w:lang w:val="en-US" w:eastAsia="zh-CN" w:bidi="ar"/>
              </w:rPr>
              <w:t>投标人通过质量管理体系认证、环境管理体系认证、职业健康安全管理体系认证的，每获得一项认证得1分，满分3分。【须提供证书复印件及认证认可业务信息统一查询平台(http://www.cnca.gov.cn/)上证书状态为“有效”的查询结果（认证范围内容须包含塑胶</w:t>
            </w:r>
            <w:r>
              <w:rPr>
                <w:rFonts w:hint="eastAsia" w:ascii="宋体" w:hAnsi="宋体" w:cs="Times New Roman"/>
                <w:color w:val="auto"/>
                <w:kern w:val="0"/>
                <w:sz w:val="24"/>
                <w:szCs w:val="24"/>
                <w:lang w:val="en-US" w:eastAsia="zh-CN" w:bidi="ar"/>
              </w:rPr>
              <w:t>跑道或</w:t>
            </w:r>
            <w:r>
              <w:rPr>
                <w:rFonts w:hint="eastAsia" w:ascii="宋体" w:hAnsi="宋体" w:eastAsia="宋体" w:cs="Times New Roman"/>
                <w:color w:val="auto"/>
                <w:kern w:val="0"/>
                <w:sz w:val="24"/>
                <w:szCs w:val="24"/>
                <w:lang w:val="en-US" w:eastAsia="zh-CN" w:bidi="ar"/>
              </w:rPr>
              <w:t>塑胶</w:t>
            </w:r>
            <w:r>
              <w:rPr>
                <w:rFonts w:hint="eastAsia" w:ascii="宋体" w:hAnsi="宋体" w:cs="Times New Roman"/>
                <w:color w:val="auto"/>
                <w:kern w:val="0"/>
                <w:sz w:val="24"/>
                <w:szCs w:val="24"/>
                <w:lang w:val="en-US" w:eastAsia="zh-CN" w:bidi="ar"/>
              </w:rPr>
              <w:t>跑道</w:t>
            </w:r>
            <w:r>
              <w:rPr>
                <w:rFonts w:hint="eastAsia" w:ascii="宋体" w:hAnsi="宋体" w:eastAsia="宋体" w:cs="Times New Roman"/>
                <w:color w:val="auto"/>
                <w:kern w:val="0"/>
                <w:sz w:val="24"/>
                <w:szCs w:val="24"/>
                <w:lang w:val="en-US" w:eastAsia="zh-CN" w:bidi="ar"/>
              </w:rPr>
              <w:t>相关</w:t>
            </w:r>
            <w:r>
              <w:rPr>
                <w:rFonts w:hint="eastAsia" w:ascii="宋体" w:hAnsi="宋体" w:cs="Times New Roman"/>
                <w:color w:val="auto"/>
                <w:kern w:val="0"/>
                <w:sz w:val="24"/>
                <w:szCs w:val="24"/>
                <w:lang w:val="en-US" w:eastAsia="zh-CN" w:bidi="ar"/>
              </w:rPr>
              <w:t>的</w:t>
            </w:r>
            <w:r>
              <w:rPr>
                <w:rFonts w:hint="eastAsia" w:ascii="宋体" w:hAnsi="宋体" w:eastAsia="宋体" w:cs="Times New Roman"/>
                <w:color w:val="auto"/>
                <w:kern w:val="0"/>
                <w:sz w:val="24"/>
                <w:szCs w:val="24"/>
                <w:lang w:val="en-US" w:eastAsia="zh-CN" w:bidi="ar"/>
              </w:rPr>
              <w:t>认证）网页截图或打印件加盖投标人公章，未提供不得分。</w:t>
            </w:r>
          </w:p>
        </w:tc>
      </w:tr>
      <w:tr w14:paraId="38BDE3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262" w:type="dxa"/>
            <w:tcBorders>
              <w:top w:val="outset" w:color="auto" w:sz="6" w:space="0"/>
              <w:left w:val="outset" w:color="auto" w:sz="6" w:space="0"/>
              <w:bottom w:val="outset" w:color="auto" w:sz="6" w:space="0"/>
              <w:right w:val="outset" w:color="auto" w:sz="6" w:space="0"/>
            </w:tcBorders>
            <w:noWrap w:val="0"/>
            <w:vAlign w:val="top"/>
          </w:tcPr>
          <w:p w14:paraId="2C446381">
            <w:pPr>
              <w:pStyle w:val="14"/>
              <w:jc w:val="left"/>
              <w:rPr>
                <w:rFonts w:hint="eastAsia" w:ascii="宋体" w:hAnsi="宋体" w:eastAsia="宋体" w:cs="Times New Roman"/>
                <w:color w:val="auto"/>
                <w:kern w:val="0"/>
                <w:sz w:val="24"/>
                <w:szCs w:val="24"/>
                <w:lang w:val="en-US" w:eastAsia="zh-CN" w:bidi="ar"/>
              </w:rPr>
            </w:pPr>
            <w:r>
              <w:rPr>
                <w:rFonts w:hint="eastAsia" w:ascii="宋体" w:hAnsi="宋体" w:eastAsia="宋体" w:cs="Times New Roman"/>
                <w:color w:val="auto"/>
                <w:kern w:val="0"/>
                <w:sz w:val="24"/>
                <w:szCs w:val="24"/>
                <w:lang w:val="en-US" w:eastAsia="zh-CN" w:bidi="ar"/>
              </w:rPr>
              <w:t>后期服务期限</w:t>
            </w:r>
          </w:p>
        </w:tc>
        <w:tc>
          <w:tcPr>
            <w:tcW w:w="615" w:type="dxa"/>
            <w:tcBorders>
              <w:top w:val="outset" w:color="auto" w:sz="6" w:space="0"/>
              <w:left w:val="outset" w:color="auto" w:sz="6" w:space="0"/>
              <w:bottom w:val="outset" w:color="auto" w:sz="6" w:space="0"/>
              <w:right w:val="outset" w:color="auto" w:sz="6" w:space="0"/>
            </w:tcBorders>
            <w:noWrap w:val="0"/>
            <w:vAlign w:val="top"/>
          </w:tcPr>
          <w:p w14:paraId="51D79736">
            <w:pPr>
              <w:pStyle w:val="14"/>
              <w:jc w:val="right"/>
              <w:rPr>
                <w:rFonts w:hint="eastAsia" w:ascii="宋体" w:hAnsi="宋体" w:eastAsia="宋体" w:cs="Times New Roman"/>
                <w:color w:val="auto"/>
                <w:kern w:val="0"/>
                <w:sz w:val="24"/>
                <w:szCs w:val="24"/>
                <w:lang w:val="en-US" w:eastAsia="zh-CN" w:bidi="ar"/>
              </w:rPr>
            </w:pPr>
            <w:r>
              <w:rPr>
                <w:rFonts w:hint="eastAsia" w:ascii="宋体" w:hAnsi="宋体" w:eastAsia="宋体" w:cs="Times New Roman"/>
                <w:color w:val="auto"/>
                <w:kern w:val="0"/>
                <w:sz w:val="24"/>
                <w:szCs w:val="24"/>
                <w:lang w:val="en-US" w:eastAsia="zh-CN" w:bidi="ar"/>
              </w:rPr>
              <w:t>3.0000</w:t>
            </w:r>
          </w:p>
        </w:tc>
        <w:tc>
          <w:tcPr>
            <w:tcW w:w="6684" w:type="dxa"/>
            <w:tcBorders>
              <w:top w:val="outset" w:color="auto" w:sz="6" w:space="0"/>
              <w:left w:val="outset" w:color="auto" w:sz="6" w:space="0"/>
              <w:bottom w:val="outset" w:color="auto" w:sz="6" w:space="0"/>
              <w:right w:val="outset" w:color="auto" w:sz="6" w:space="0"/>
            </w:tcBorders>
            <w:noWrap w:val="0"/>
            <w:vAlign w:val="top"/>
          </w:tcPr>
          <w:p w14:paraId="0BB431E9">
            <w:pPr>
              <w:pStyle w:val="14"/>
              <w:jc w:val="left"/>
              <w:rPr>
                <w:rFonts w:hint="eastAsia" w:ascii="宋体" w:hAnsi="宋体" w:eastAsia="宋体" w:cs="Times New Roman"/>
                <w:color w:val="auto"/>
                <w:kern w:val="0"/>
                <w:sz w:val="24"/>
                <w:szCs w:val="24"/>
                <w:lang w:val="en-US" w:eastAsia="zh-CN" w:bidi="ar"/>
              </w:rPr>
            </w:pPr>
            <w:r>
              <w:rPr>
                <w:rFonts w:hint="eastAsia" w:ascii="宋体" w:hAnsi="宋体" w:eastAsia="宋体" w:cs="Times New Roman"/>
                <w:color w:val="auto"/>
                <w:kern w:val="0"/>
                <w:sz w:val="24"/>
                <w:szCs w:val="24"/>
                <w:lang w:val="en-US" w:eastAsia="zh-CN" w:bidi="ar"/>
              </w:rPr>
              <w:t>供应商承诺在磋商文件要求的后期服务期限基础上，在不增加费用的情况下，每增加6个月的得1分，满分3分。注：供应商须针对本项目要求提供专项承诺函，否则不得分。</w:t>
            </w:r>
          </w:p>
        </w:tc>
      </w:tr>
      <w:tr w14:paraId="30EF94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262" w:type="dxa"/>
            <w:tcBorders>
              <w:top w:val="outset" w:color="auto" w:sz="6" w:space="0"/>
              <w:left w:val="outset" w:color="auto" w:sz="6" w:space="0"/>
              <w:bottom w:val="outset" w:color="auto" w:sz="6" w:space="0"/>
              <w:right w:val="outset" w:color="auto" w:sz="6" w:space="0"/>
            </w:tcBorders>
            <w:noWrap w:val="0"/>
            <w:vAlign w:val="center"/>
          </w:tcPr>
          <w:p w14:paraId="5E34AF7D">
            <w:pPr>
              <w:tabs>
                <w:tab w:val="left" w:pos="1670"/>
              </w:tabs>
              <w:autoSpaceDE w:val="0"/>
              <w:autoSpaceDN w:val="0"/>
              <w:spacing w:line="360" w:lineRule="auto"/>
              <w:ind w:firstLine="480" w:firstLineChars="200"/>
              <w:rPr>
                <w:rFonts w:hint="eastAsia" w:ascii="宋体" w:hAnsi="宋体" w:eastAsia="宋体" w:cs="Times New Roman"/>
                <w:color w:val="auto"/>
                <w:kern w:val="0"/>
                <w:sz w:val="24"/>
                <w:szCs w:val="24"/>
                <w:lang w:val="en-US" w:eastAsia="zh-CN" w:bidi="ar"/>
              </w:rPr>
            </w:pPr>
            <w:r>
              <w:rPr>
                <w:rFonts w:hint="eastAsia" w:ascii="宋体" w:hAnsi="宋体" w:eastAsia="宋体" w:cs="Times New Roman"/>
                <w:color w:val="auto"/>
                <w:kern w:val="0"/>
                <w:sz w:val="24"/>
                <w:szCs w:val="24"/>
                <w:lang w:val="en-US" w:eastAsia="zh-CN" w:bidi="ar"/>
              </w:rPr>
              <w:t>同类项目业绩情况</w:t>
            </w:r>
          </w:p>
        </w:tc>
        <w:tc>
          <w:tcPr>
            <w:tcW w:w="615" w:type="dxa"/>
            <w:tcBorders>
              <w:top w:val="outset" w:color="auto" w:sz="6" w:space="0"/>
              <w:left w:val="outset" w:color="auto" w:sz="6" w:space="0"/>
              <w:bottom w:val="outset" w:color="auto" w:sz="6" w:space="0"/>
              <w:right w:val="outset" w:color="auto" w:sz="6" w:space="0"/>
            </w:tcBorders>
            <w:noWrap w:val="0"/>
            <w:vAlign w:val="center"/>
          </w:tcPr>
          <w:p w14:paraId="20A83251">
            <w:pPr>
              <w:tabs>
                <w:tab w:val="left" w:pos="1670"/>
              </w:tabs>
              <w:autoSpaceDE w:val="0"/>
              <w:autoSpaceDN w:val="0"/>
              <w:spacing w:line="360" w:lineRule="auto"/>
              <w:ind w:firstLine="480" w:firstLineChars="200"/>
              <w:rPr>
                <w:rFonts w:hint="eastAsia" w:ascii="宋体" w:hAnsi="宋体" w:eastAsia="宋体" w:cs="Times New Roman"/>
                <w:color w:val="auto"/>
                <w:kern w:val="0"/>
                <w:sz w:val="24"/>
                <w:szCs w:val="24"/>
                <w:lang w:val="en-US" w:eastAsia="zh-CN" w:bidi="ar"/>
              </w:rPr>
            </w:pPr>
            <w:r>
              <w:rPr>
                <w:rFonts w:hint="eastAsia" w:ascii="宋体" w:hAnsi="宋体" w:eastAsia="宋体" w:cs="Times New Roman"/>
                <w:color w:val="auto"/>
                <w:kern w:val="0"/>
                <w:sz w:val="24"/>
                <w:szCs w:val="24"/>
                <w:lang w:val="en-US" w:eastAsia="zh-CN" w:bidi="ar"/>
              </w:rPr>
              <w:t>3</w:t>
            </w:r>
          </w:p>
        </w:tc>
        <w:tc>
          <w:tcPr>
            <w:tcW w:w="6684" w:type="dxa"/>
            <w:tcBorders>
              <w:top w:val="outset" w:color="auto" w:sz="6" w:space="0"/>
              <w:left w:val="outset" w:color="auto" w:sz="6" w:space="0"/>
              <w:bottom w:val="outset" w:color="auto" w:sz="6" w:space="0"/>
              <w:right w:val="outset" w:color="auto" w:sz="6" w:space="0"/>
            </w:tcBorders>
            <w:noWrap w:val="0"/>
            <w:vAlign w:val="center"/>
          </w:tcPr>
          <w:p w14:paraId="7F4F08F1">
            <w:pPr>
              <w:tabs>
                <w:tab w:val="left" w:pos="1670"/>
              </w:tabs>
              <w:autoSpaceDE w:val="0"/>
              <w:autoSpaceDN w:val="0"/>
              <w:spacing w:line="360" w:lineRule="auto"/>
              <w:ind w:firstLine="480" w:firstLineChars="200"/>
              <w:rPr>
                <w:rFonts w:hint="eastAsia" w:ascii="宋体" w:hAnsi="宋体" w:eastAsia="宋体" w:cs="Times New Roman"/>
                <w:color w:val="auto"/>
                <w:kern w:val="0"/>
                <w:sz w:val="24"/>
                <w:szCs w:val="24"/>
                <w:lang w:val="en-US" w:eastAsia="zh-CN" w:bidi="ar"/>
              </w:rPr>
            </w:pPr>
            <w:r>
              <w:rPr>
                <w:rFonts w:hint="eastAsia" w:ascii="宋体" w:hAnsi="宋体" w:eastAsia="宋体" w:cs="Times New Roman"/>
                <w:color w:val="auto"/>
                <w:kern w:val="0"/>
                <w:sz w:val="24"/>
                <w:szCs w:val="24"/>
                <w:lang w:val="en-US" w:eastAsia="zh-CN" w:bidi="ar"/>
              </w:rPr>
              <w:t>根据投标人自2019年1月1日（含）以来已完成的与本项目类似的塑胶场地铺设的业绩情况（同一家业主单位只算一份有效业绩，除名称变更外同一家业主单位以盖的公章进行评定），由评标委员会根据以下评审要求进行评分。投标人每提供1份完整业绩证明材料（序号①-序号④）的得1分，满分3分，未提供或提供不全或所提供材料不能满足要求的单项业绩不予计分。佐证材料如下：①业绩项目的中标（成交）公告的下载网页并注明网址；②中标（成交）通知书复印件；③采购合同文本复印件；④能够证明该业绩项目已经采购人验收合格的相关证明材料复印件。</w:t>
            </w:r>
          </w:p>
        </w:tc>
      </w:tr>
      <w:tr w14:paraId="5DE5BB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262" w:type="dxa"/>
            <w:tcBorders>
              <w:top w:val="outset" w:color="auto" w:sz="6" w:space="0"/>
              <w:left w:val="outset" w:color="auto" w:sz="6" w:space="0"/>
              <w:bottom w:val="outset" w:color="auto" w:sz="6" w:space="0"/>
              <w:right w:val="outset" w:color="auto" w:sz="6" w:space="0"/>
            </w:tcBorders>
            <w:noWrap w:val="0"/>
            <w:vAlign w:val="center"/>
          </w:tcPr>
          <w:p w14:paraId="00552CCB">
            <w:pPr>
              <w:tabs>
                <w:tab w:val="left" w:pos="1670"/>
              </w:tabs>
              <w:autoSpaceDE w:val="0"/>
              <w:autoSpaceDN w:val="0"/>
              <w:spacing w:line="360" w:lineRule="auto"/>
              <w:ind w:firstLine="480" w:firstLineChars="200"/>
              <w:rPr>
                <w:rFonts w:hint="eastAsia" w:ascii="宋体" w:hAnsi="宋体" w:eastAsia="宋体" w:cs="Times New Roman"/>
                <w:color w:val="auto"/>
                <w:kern w:val="0"/>
                <w:sz w:val="24"/>
                <w:szCs w:val="24"/>
                <w:lang w:val="en-US" w:eastAsia="zh-CN" w:bidi="ar"/>
              </w:rPr>
            </w:pPr>
            <w:r>
              <w:rPr>
                <w:rFonts w:hint="eastAsia" w:ascii="宋体" w:hAnsi="宋体" w:eastAsia="宋体" w:cs="Times New Roman"/>
                <w:color w:val="auto"/>
                <w:kern w:val="0"/>
                <w:sz w:val="24"/>
                <w:szCs w:val="24"/>
                <w:lang w:val="en-US" w:eastAsia="zh-CN" w:bidi="ar"/>
              </w:rPr>
              <w:t>维修响应及时性</w:t>
            </w:r>
          </w:p>
        </w:tc>
        <w:tc>
          <w:tcPr>
            <w:tcW w:w="615" w:type="dxa"/>
            <w:tcBorders>
              <w:top w:val="outset" w:color="auto" w:sz="6" w:space="0"/>
              <w:left w:val="outset" w:color="auto" w:sz="6" w:space="0"/>
              <w:bottom w:val="outset" w:color="auto" w:sz="6" w:space="0"/>
              <w:right w:val="outset" w:color="auto" w:sz="6" w:space="0"/>
            </w:tcBorders>
            <w:noWrap w:val="0"/>
            <w:vAlign w:val="center"/>
          </w:tcPr>
          <w:p w14:paraId="1E7F91C4">
            <w:pPr>
              <w:tabs>
                <w:tab w:val="left" w:pos="1670"/>
              </w:tabs>
              <w:autoSpaceDE w:val="0"/>
              <w:autoSpaceDN w:val="0"/>
              <w:spacing w:line="360" w:lineRule="auto"/>
              <w:ind w:firstLine="480" w:firstLineChars="200"/>
              <w:rPr>
                <w:rFonts w:hint="eastAsia" w:ascii="宋体" w:hAnsi="宋体" w:eastAsia="宋体" w:cs="Times New Roman"/>
                <w:color w:val="auto"/>
                <w:kern w:val="0"/>
                <w:sz w:val="24"/>
                <w:szCs w:val="24"/>
                <w:lang w:val="en-US" w:eastAsia="zh-CN" w:bidi="ar"/>
              </w:rPr>
            </w:pPr>
            <w:r>
              <w:rPr>
                <w:rFonts w:hint="eastAsia" w:ascii="宋体" w:hAnsi="宋体" w:eastAsia="宋体" w:cs="Times New Roman"/>
                <w:color w:val="auto"/>
                <w:kern w:val="0"/>
                <w:sz w:val="24"/>
                <w:szCs w:val="24"/>
                <w:lang w:val="en-US" w:eastAsia="zh-CN" w:bidi="ar"/>
              </w:rPr>
              <w:t>3</w:t>
            </w:r>
          </w:p>
        </w:tc>
        <w:tc>
          <w:tcPr>
            <w:tcW w:w="6684" w:type="dxa"/>
            <w:tcBorders>
              <w:top w:val="outset" w:color="auto" w:sz="6" w:space="0"/>
              <w:left w:val="outset" w:color="auto" w:sz="6" w:space="0"/>
              <w:bottom w:val="outset" w:color="auto" w:sz="6" w:space="0"/>
              <w:right w:val="outset" w:color="auto" w:sz="6" w:space="0"/>
            </w:tcBorders>
            <w:noWrap w:val="0"/>
            <w:vAlign w:val="center"/>
          </w:tcPr>
          <w:p w14:paraId="1332F4C6">
            <w:pPr>
              <w:tabs>
                <w:tab w:val="left" w:pos="1670"/>
              </w:tabs>
              <w:autoSpaceDE w:val="0"/>
              <w:autoSpaceDN w:val="0"/>
              <w:spacing w:line="360" w:lineRule="auto"/>
              <w:rPr>
                <w:rFonts w:hint="eastAsia" w:ascii="宋体" w:hAnsi="宋体" w:eastAsia="宋体" w:cs="Times New Roman"/>
                <w:color w:val="auto"/>
                <w:kern w:val="0"/>
                <w:sz w:val="24"/>
                <w:szCs w:val="24"/>
                <w:lang w:val="en-US" w:eastAsia="zh-CN" w:bidi="ar"/>
              </w:rPr>
            </w:pPr>
            <w:r>
              <w:rPr>
                <w:rFonts w:hint="eastAsia" w:ascii="宋体" w:hAnsi="宋体" w:eastAsia="宋体" w:cs="Times New Roman"/>
                <w:color w:val="auto"/>
                <w:kern w:val="0"/>
                <w:sz w:val="24"/>
                <w:szCs w:val="24"/>
                <w:lang w:val="en-US" w:eastAsia="zh-CN" w:bidi="ar"/>
              </w:rPr>
              <w:t>为保障售后服务的便捷性，根据</w:t>
            </w:r>
            <w:r>
              <w:rPr>
                <w:rFonts w:hint="eastAsia" w:ascii="宋体" w:hAnsi="宋体" w:cs="Times New Roman"/>
                <w:color w:val="auto"/>
                <w:kern w:val="0"/>
                <w:sz w:val="24"/>
                <w:szCs w:val="24"/>
                <w:lang w:val="en-US" w:eastAsia="zh-CN" w:bidi="ar"/>
              </w:rPr>
              <w:t>投标人</w:t>
            </w:r>
            <w:r>
              <w:rPr>
                <w:rFonts w:hint="eastAsia" w:ascii="宋体" w:hAnsi="宋体" w:eastAsia="宋体" w:cs="Times New Roman"/>
                <w:color w:val="auto"/>
                <w:kern w:val="0"/>
                <w:sz w:val="24"/>
                <w:szCs w:val="24"/>
                <w:lang w:val="en-US" w:eastAsia="zh-CN" w:bidi="ar"/>
              </w:rPr>
              <w:t>的本地化服务能力和接到采购人电话通知后到场维修、维护的响应时间进行评价：能在1小时内到达现场察看并做出解决方案的得3分；能在2小时内到达现场察看并做出解决方案的得2分；能在3小时内到达现场察看并做出解决方案的得1分；其他响应时效不得分。</w:t>
            </w:r>
            <w:r>
              <w:rPr>
                <w:rFonts w:hint="eastAsia" w:ascii="宋体" w:hAnsi="宋体" w:cs="Times New Roman"/>
                <w:color w:val="auto"/>
                <w:kern w:val="0"/>
                <w:sz w:val="24"/>
                <w:szCs w:val="24"/>
                <w:lang w:val="en-US" w:eastAsia="zh-CN" w:bidi="ar"/>
              </w:rPr>
              <w:t>投标人</w:t>
            </w:r>
            <w:r>
              <w:rPr>
                <w:rFonts w:hint="eastAsia" w:ascii="宋体" w:hAnsi="宋体" w:eastAsia="宋体" w:cs="Times New Roman"/>
                <w:color w:val="auto"/>
                <w:kern w:val="0"/>
                <w:sz w:val="24"/>
                <w:szCs w:val="24"/>
                <w:lang w:val="en-US" w:eastAsia="zh-CN" w:bidi="ar"/>
              </w:rPr>
              <w:t>在磋商响应文件中应提供专项承诺函（格式自拟）承诺到场维修、维护的响应时间，并提供维护人员名单、联系方式、维护人员社保缴交材料和可实现承诺响应内容的合理佐证材料，如磋商小组认为其实施方案不可行或佐证材料不能合理证明其到场维修、维护的响应时间的则不得分。</w:t>
            </w:r>
          </w:p>
        </w:tc>
      </w:tr>
      <w:tr w14:paraId="024F95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262" w:type="dxa"/>
            <w:tcBorders>
              <w:top w:val="outset" w:color="auto" w:sz="6" w:space="0"/>
              <w:left w:val="outset" w:color="auto" w:sz="6" w:space="0"/>
              <w:bottom w:val="outset" w:color="auto" w:sz="6" w:space="0"/>
              <w:right w:val="outset" w:color="auto" w:sz="6" w:space="0"/>
            </w:tcBorders>
            <w:noWrap w:val="0"/>
            <w:vAlign w:val="top"/>
          </w:tcPr>
          <w:p w14:paraId="62AD009F">
            <w:pPr>
              <w:pStyle w:val="14"/>
              <w:jc w:val="left"/>
              <w:rPr>
                <w:rFonts w:hint="eastAsia" w:ascii="宋体" w:hAnsi="宋体" w:eastAsia="宋体" w:cs="Times New Roman"/>
                <w:color w:val="auto"/>
                <w:kern w:val="0"/>
                <w:sz w:val="24"/>
                <w:szCs w:val="24"/>
                <w:lang w:val="en-US" w:eastAsia="zh-CN" w:bidi="ar"/>
              </w:rPr>
            </w:pPr>
            <w:r>
              <w:rPr>
                <w:rFonts w:hint="eastAsia" w:ascii="宋体" w:hAnsi="宋体" w:eastAsia="宋体" w:cs="Times New Roman"/>
                <w:color w:val="auto"/>
                <w:kern w:val="0"/>
                <w:sz w:val="24"/>
                <w:szCs w:val="24"/>
                <w:lang w:val="en-US" w:eastAsia="zh-CN" w:bidi="ar"/>
              </w:rPr>
              <w:t>工程售后服务方案</w:t>
            </w:r>
          </w:p>
        </w:tc>
        <w:tc>
          <w:tcPr>
            <w:tcW w:w="615" w:type="dxa"/>
            <w:tcBorders>
              <w:top w:val="outset" w:color="auto" w:sz="6" w:space="0"/>
              <w:left w:val="outset" w:color="auto" w:sz="6" w:space="0"/>
              <w:bottom w:val="outset" w:color="auto" w:sz="6" w:space="0"/>
              <w:right w:val="outset" w:color="auto" w:sz="6" w:space="0"/>
            </w:tcBorders>
            <w:noWrap w:val="0"/>
            <w:vAlign w:val="top"/>
          </w:tcPr>
          <w:p w14:paraId="618F62B1">
            <w:pPr>
              <w:pStyle w:val="14"/>
              <w:jc w:val="right"/>
              <w:rPr>
                <w:rFonts w:hint="eastAsia" w:ascii="宋体" w:hAnsi="宋体" w:eastAsia="宋体" w:cs="Times New Roman"/>
                <w:color w:val="auto"/>
                <w:kern w:val="0"/>
                <w:sz w:val="24"/>
                <w:szCs w:val="24"/>
                <w:lang w:val="en-US" w:eastAsia="zh-CN" w:bidi="ar"/>
              </w:rPr>
            </w:pPr>
            <w:r>
              <w:rPr>
                <w:rFonts w:hint="eastAsia" w:ascii="宋体" w:hAnsi="宋体" w:eastAsia="宋体" w:cs="Times New Roman"/>
                <w:color w:val="auto"/>
                <w:kern w:val="0"/>
                <w:sz w:val="24"/>
                <w:szCs w:val="24"/>
                <w:lang w:val="en-US" w:eastAsia="zh-CN" w:bidi="ar"/>
              </w:rPr>
              <w:t>3.0000</w:t>
            </w:r>
          </w:p>
        </w:tc>
        <w:tc>
          <w:tcPr>
            <w:tcW w:w="6684" w:type="dxa"/>
            <w:tcBorders>
              <w:top w:val="outset" w:color="auto" w:sz="6" w:space="0"/>
              <w:left w:val="outset" w:color="auto" w:sz="6" w:space="0"/>
              <w:bottom w:val="outset" w:color="auto" w:sz="6" w:space="0"/>
              <w:right w:val="outset" w:color="auto" w:sz="6" w:space="0"/>
            </w:tcBorders>
            <w:noWrap w:val="0"/>
            <w:vAlign w:val="top"/>
          </w:tcPr>
          <w:p w14:paraId="2D76A1E0">
            <w:pPr>
              <w:pStyle w:val="14"/>
              <w:jc w:val="left"/>
              <w:rPr>
                <w:rFonts w:hint="eastAsia" w:ascii="宋体" w:hAnsi="宋体" w:eastAsia="宋体" w:cs="Times New Roman"/>
                <w:color w:val="auto"/>
                <w:kern w:val="0"/>
                <w:sz w:val="24"/>
                <w:szCs w:val="24"/>
                <w:lang w:val="en-US" w:eastAsia="zh-CN" w:bidi="ar"/>
              </w:rPr>
            </w:pPr>
            <w:r>
              <w:rPr>
                <w:rFonts w:hint="eastAsia" w:ascii="宋体" w:hAnsi="宋体" w:eastAsia="宋体" w:cs="Times New Roman"/>
                <w:color w:val="auto"/>
                <w:kern w:val="0"/>
                <w:sz w:val="24"/>
                <w:szCs w:val="24"/>
                <w:lang w:val="en-US" w:eastAsia="zh-CN" w:bidi="ar"/>
              </w:rPr>
              <w:t>根据投标人提供的以下工程售后服务方案内容进行评议：承诺在项目实施所在地配备服务人员且能提供定期上门走访和服务、具体的工程保修承诺及交验后服务维护措施、具体保修期限、保修优惠条件、保修组织机构与相应岗位职责、工程回访等工程售后服务方案内容。上述方案内容所包含的要点齐全、内容与要点相符，各要点分别展开阐述，与项目实际情况相吻合的得3分；方案内容齐全，各要点分别展开阐述；但本项目的针对性不强的得2.7分；方案有缺漏或仅笼统描述，未展开阐述，但基本满足项目要求的得2.4分。未提供或提供的内容不符合项目实际的不得分。</w:t>
            </w:r>
          </w:p>
        </w:tc>
      </w:tr>
    </w:tbl>
    <w:p w14:paraId="0A631E21">
      <w:pPr>
        <w:pStyle w:val="14"/>
        <w:jc w:val="left"/>
        <w:rPr>
          <w:b/>
          <w:color w:val="auto"/>
        </w:rPr>
      </w:pPr>
    </w:p>
    <w:p w14:paraId="6048201C">
      <w:pPr>
        <w:pStyle w:val="14"/>
        <w:jc w:val="left"/>
        <w:rPr>
          <w:color w:val="auto"/>
        </w:rPr>
      </w:pPr>
      <w:r>
        <w:rPr>
          <w:b/>
          <w:color w:val="auto"/>
        </w:rPr>
        <w:t>根据政府采购政策可享有的加分优惠评分PE</w:t>
      </w:r>
    </w:p>
    <w:p w14:paraId="245E5402">
      <w:pPr>
        <w:pStyle w:val="14"/>
        <w:jc w:val="left"/>
        <w:rPr>
          <w:color w:val="auto"/>
        </w:rPr>
      </w:pPr>
      <w:r>
        <w:rPr>
          <w:b/>
          <w:color w:val="auto"/>
        </w:rPr>
        <w:t>优先类节能产品、环境标志产品：无</w:t>
      </w:r>
    </w:p>
    <w:p w14:paraId="1BE8AB67">
      <w:pPr>
        <w:pStyle w:val="14"/>
        <w:jc w:val="left"/>
        <w:rPr>
          <w:color w:val="auto"/>
        </w:rPr>
      </w:pPr>
      <w:r>
        <w:rPr>
          <w:b/>
          <w:color w:val="auto"/>
        </w:rPr>
        <w:t>（4）成交候选供应商排列规则顺序和并列相同时的处理约定如下：</w:t>
      </w:r>
    </w:p>
    <w:p w14:paraId="573BDD36">
      <w:pPr>
        <w:pStyle w:val="14"/>
        <w:jc w:val="left"/>
        <w:rPr>
          <w:color w:val="auto"/>
        </w:rPr>
      </w:pPr>
      <w:r>
        <w:rPr>
          <w:b/>
          <w:color w:val="auto"/>
        </w:rPr>
        <w:t>a.成交候选供应商按照综合评审总得分（FA）由高到低顺序排列推荐。</w:t>
      </w:r>
    </w:p>
    <w:p w14:paraId="53A36969">
      <w:pPr>
        <w:pStyle w:val="14"/>
        <w:jc w:val="left"/>
        <w:rPr>
          <w:color w:val="auto"/>
        </w:rPr>
      </w:pPr>
      <w:r>
        <w:rPr>
          <w:b/>
          <w:color w:val="auto"/>
        </w:rPr>
        <w:t>b.综合评审总得分（FA）相同的，按照经评审最后磋商报价（即经政府采购优惠政策进行价格扣除后的最后报价）由低到高顺序推荐。</w:t>
      </w:r>
    </w:p>
    <w:p w14:paraId="0F52D720">
      <w:pPr>
        <w:pStyle w:val="14"/>
        <w:jc w:val="left"/>
        <w:rPr>
          <w:color w:val="auto"/>
        </w:rPr>
      </w:pPr>
      <w:r>
        <w:rPr>
          <w:b/>
          <w:color w:val="auto"/>
        </w:rPr>
        <w:t>c.综合评审总得分（FA）且经评审最后磋商报价（即经政府采购优惠政策进行价格扣除后的最后报价）仍然相同的，按照技术指标优劣顺序推荐。</w:t>
      </w:r>
    </w:p>
    <w:p w14:paraId="12BCC1CC">
      <w:pPr>
        <w:pStyle w:val="14"/>
        <w:jc w:val="left"/>
        <w:rPr>
          <w:color w:val="auto"/>
        </w:rPr>
      </w:pPr>
      <w:r>
        <w:rPr>
          <w:b/>
          <w:color w:val="auto"/>
        </w:rPr>
        <w:t>d.经前述顺序处理仍然并列相同的，则通过随机抽取方式确定优先顺序推荐。</w:t>
      </w:r>
    </w:p>
    <w:p w14:paraId="4CA5C04F">
      <w:pPr>
        <w:pStyle w:val="14"/>
        <w:ind w:firstLine="480"/>
        <w:jc w:val="left"/>
        <w:rPr>
          <w:color w:val="auto"/>
        </w:rPr>
      </w:pPr>
    </w:p>
    <w:p w14:paraId="5C6F64F4">
      <w:pPr>
        <w:pStyle w:val="14"/>
        <w:jc w:val="left"/>
        <w:rPr>
          <w:color w:val="auto"/>
        </w:rPr>
      </w:pPr>
      <w:r>
        <w:rPr>
          <w:color w:val="auto"/>
        </w:rPr>
        <w:t>无</w:t>
      </w:r>
    </w:p>
    <w:p w14:paraId="0F0F9184">
      <w:pPr>
        <w:pStyle w:val="14"/>
        <w:jc w:val="center"/>
        <w:outlineLvl w:val="2"/>
        <w:rPr>
          <w:color w:val="auto"/>
        </w:rPr>
      </w:pPr>
      <w:r>
        <w:rPr>
          <w:b/>
          <w:color w:val="auto"/>
          <w:sz w:val="28"/>
        </w:rPr>
        <w:t>四、评审报告</w:t>
      </w:r>
    </w:p>
    <w:p w14:paraId="4FD509E2">
      <w:pPr>
        <w:pStyle w:val="14"/>
        <w:ind w:firstLine="480"/>
        <w:jc w:val="left"/>
        <w:rPr>
          <w:color w:val="auto"/>
        </w:rPr>
      </w:pPr>
      <w:r>
        <w:rPr>
          <w:color w:val="auto"/>
        </w:rPr>
        <w:t>4.1磋商小组完成评审后，应当编写评审报告并提交给采购人。</w:t>
      </w:r>
    </w:p>
    <w:p w14:paraId="4D4A0003">
      <w:pPr>
        <w:pStyle w:val="14"/>
        <w:ind w:firstLine="480"/>
        <w:jc w:val="left"/>
        <w:rPr>
          <w:color w:val="auto"/>
        </w:rPr>
      </w:pPr>
      <w:r>
        <w:rPr>
          <w:color w:val="auto"/>
        </w:rPr>
        <w:t>4.2评审报告应当包括以下主要内容：</w:t>
      </w:r>
    </w:p>
    <w:p w14:paraId="03EE42EB">
      <w:pPr>
        <w:pStyle w:val="14"/>
        <w:ind w:firstLine="960"/>
        <w:jc w:val="left"/>
        <w:rPr>
          <w:color w:val="auto"/>
        </w:rPr>
      </w:pPr>
      <w:r>
        <w:rPr>
          <w:color w:val="auto"/>
        </w:rPr>
        <w:t>（一）邀请供应商参加采购活动的具体方式和相关情况；</w:t>
      </w:r>
    </w:p>
    <w:p w14:paraId="3122410F">
      <w:pPr>
        <w:pStyle w:val="14"/>
        <w:ind w:firstLine="960"/>
        <w:jc w:val="left"/>
        <w:rPr>
          <w:color w:val="auto"/>
        </w:rPr>
      </w:pPr>
      <w:r>
        <w:rPr>
          <w:color w:val="auto"/>
        </w:rPr>
        <w:t>（二）响应文件开启日期和地点；</w:t>
      </w:r>
    </w:p>
    <w:p w14:paraId="07362B64">
      <w:pPr>
        <w:pStyle w:val="14"/>
        <w:ind w:firstLine="960"/>
        <w:jc w:val="left"/>
        <w:rPr>
          <w:color w:val="auto"/>
        </w:rPr>
      </w:pPr>
      <w:r>
        <w:rPr>
          <w:color w:val="auto"/>
        </w:rPr>
        <w:t>（三）获取磋商文件的供应商名单和磋商小组成员名单；</w:t>
      </w:r>
    </w:p>
    <w:p w14:paraId="64F0C49A">
      <w:pPr>
        <w:pStyle w:val="14"/>
        <w:ind w:firstLine="960"/>
        <w:jc w:val="left"/>
        <w:rPr>
          <w:color w:val="auto"/>
        </w:rPr>
      </w:pPr>
      <w:r>
        <w:rPr>
          <w:color w:val="auto"/>
        </w:rPr>
        <w:t>（四）评审情况记录和说明，包括对供应商的资格审查情况、供应商响应文件评审情况、磋商情况、报价情况等；</w:t>
      </w:r>
    </w:p>
    <w:p w14:paraId="14C0A8AD">
      <w:pPr>
        <w:pStyle w:val="14"/>
        <w:ind w:firstLine="960"/>
        <w:jc w:val="left"/>
        <w:rPr>
          <w:color w:val="auto"/>
        </w:rPr>
      </w:pPr>
      <w:r>
        <w:rPr>
          <w:color w:val="auto"/>
        </w:rPr>
        <w:t>（五）提出的成交候选供应商的排序名单及理由。</w:t>
      </w:r>
    </w:p>
    <w:p w14:paraId="7F4A5F64">
      <w:pPr>
        <w:pStyle w:val="14"/>
        <w:ind w:firstLine="480"/>
        <w:jc w:val="left"/>
        <w:rPr>
          <w:color w:val="auto"/>
        </w:rPr>
      </w:pPr>
      <w:r>
        <w:rPr>
          <w:color w:val="auto"/>
        </w:rPr>
        <w:t>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89D97E7">
      <w:pPr>
        <w:pStyle w:val="14"/>
        <w:jc w:val="center"/>
        <w:outlineLvl w:val="2"/>
        <w:rPr>
          <w:color w:val="auto"/>
        </w:rPr>
      </w:pPr>
      <w:r>
        <w:rPr>
          <w:b/>
          <w:color w:val="auto"/>
          <w:sz w:val="28"/>
        </w:rPr>
        <w:t>五、其他规定</w:t>
      </w:r>
    </w:p>
    <w:p w14:paraId="6D60AE22">
      <w:pPr>
        <w:pStyle w:val="14"/>
        <w:ind w:firstLine="480"/>
        <w:jc w:val="left"/>
        <w:rPr>
          <w:color w:val="auto"/>
        </w:rPr>
      </w:pPr>
      <w:r>
        <w:rPr>
          <w:color w:val="auto"/>
        </w:rPr>
        <w:t>5.1其他规定</w:t>
      </w:r>
    </w:p>
    <w:p w14:paraId="2B5831D7">
      <w:pPr>
        <w:pStyle w:val="14"/>
        <w:ind w:firstLine="960"/>
        <w:jc w:val="left"/>
        <w:rPr>
          <w:color w:val="auto"/>
        </w:rPr>
      </w:pPr>
      <w:r>
        <w:rPr>
          <w:color w:val="auto"/>
        </w:rPr>
        <w:t>5.1.1评审应全程保密且不得透露给任一供应商或与评审工作无关的人员。</w:t>
      </w:r>
    </w:p>
    <w:p w14:paraId="3B0A44A8">
      <w:pPr>
        <w:pStyle w:val="14"/>
        <w:ind w:firstLine="960"/>
        <w:jc w:val="left"/>
        <w:rPr>
          <w:color w:val="auto"/>
        </w:rPr>
      </w:pPr>
      <w:r>
        <w:rPr>
          <w:color w:val="auto"/>
        </w:rPr>
        <w:t>5.1.2评审将进行全程实时录音录像，录音录像资料随采购文件一并存档。</w:t>
      </w:r>
    </w:p>
    <w:p w14:paraId="25F5109F">
      <w:pPr>
        <w:pStyle w:val="14"/>
        <w:ind w:firstLine="960"/>
        <w:jc w:val="left"/>
        <w:rPr>
          <w:color w:val="auto"/>
        </w:rPr>
      </w:pPr>
      <w:r>
        <w:rPr>
          <w:color w:val="auto"/>
        </w:rPr>
        <w:t>5.1.3若供应商有任何试图干扰具体评审事务，影响磋商小组独立履行职责的行为，其响应无效且不予退还磋商保证金或通过保函进行索赔。情节严重的，由财政部门列入不良行为记录。</w:t>
      </w:r>
    </w:p>
    <w:p w14:paraId="16A344DF">
      <w:pPr>
        <w:pStyle w:val="14"/>
        <w:ind w:firstLine="960"/>
        <w:jc w:val="left"/>
        <w:rPr>
          <w:color w:val="auto"/>
        </w:rPr>
      </w:pPr>
      <w:r>
        <w:rPr>
          <w:color w:val="auto"/>
        </w:rPr>
        <w:t>5.1.4根据采购项目的特点和需要，需要加以详细说明的其他磋商程序规定、要求等内容：</w:t>
      </w:r>
    </w:p>
    <w:p w14:paraId="7562D720">
      <w:pPr>
        <w:pStyle w:val="14"/>
        <w:jc w:val="left"/>
        <w:rPr>
          <w:color w:val="auto"/>
        </w:rPr>
      </w:pPr>
    </w:p>
    <w:p w14:paraId="740205AA">
      <w:pPr>
        <w:pStyle w:val="14"/>
        <w:jc w:val="left"/>
        <w:rPr>
          <w:color w:val="auto"/>
        </w:rPr>
      </w:pPr>
      <w:r>
        <w:rPr>
          <w:color w:val="auto"/>
        </w:rPr>
        <w:t>无</w:t>
      </w:r>
    </w:p>
    <w:p w14:paraId="1647B7C3">
      <w:pPr>
        <w:pStyle w:val="14"/>
        <w:jc w:val="center"/>
        <w:outlineLvl w:val="2"/>
        <w:rPr>
          <w:color w:val="auto"/>
        </w:rPr>
      </w:pPr>
      <w:r>
        <w:rPr>
          <w:b/>
          <w:color w:val="auto"/>
          <w:sz w:val="28"/>
        </w:rPr>
        <w:t>第2节 竞争性磋商须知</w:t>
      </w:r>
    </w:p>
    <w:p w14:paraId="58A6D371">
      <w:pPr>
        <w:pStyle w:val="14"/>
        <w:jc w:val="center"/>
        <w:outlineLvl w:val="2"/>
        <w:rPr>
          <w:color w:val="auto"/>
        </w:rPr>
      </w:pPr>
      <w:r>
        <w:rPr>
          <w:b/>
          <w:color w:val="auto"/>
          <w:sz w:val="28"/>
        </w:rPr>
        <w:t>一、总则</w:t>
      </w:r>
    </w:p>
    <w:p w14:paraId="4564ECFE">
      <w:pPr>
        <w:pStyle w:val="14"/>
        <w:jc w:val="left"/>
        <w:rPr>
          <w:color w:val="auto"/>
        </w:rPr>
      </w:pPr>
      <w:r>
        <w:rPr>
          <w:color w:val="auto"/>
        </w:rPr>
        <w:t>1.适用范围：</w:t>
      </w:r>
    </w:p>
    <w:p w14:paraId="2CB40FCC">
      <w:pPr>
        <w:pStyle w:val="14"/>
        <w:ind w:firstLine="480"/>
        <w:jc w:val="left"/>
        <w:rPr>
          <w:color w:val="auto"/>
        </w:rPr>
      </w:pPr>
      <w:r>
        <w:rPr>
          <w:color w:val="auto"/>
        </w:rPr>
        <w:t>1.1适用于磋商文件载明项目的采购活动（以下简称：“本次采购活动”）。</w:t>
      </w:r>
    </w:p>
    <w:p w14:paraId="2FDAB683">
      <w:pPr>
        <w:pStyle w:val="14"/>
        <w:jc w:val="left"/>
        <w:rPr>
          <w:color w:val="auto"/>
        </w:rPr>
      </w:pPr>
      <w:r>
        <w:rPr>
          <w:color w:val="auto"/>
        </w:rPr>
        <w:t>2.定义及要求：</w:t>
      </w:r>
    </w:p>
    <w:p w14:paraId="3FCC1128">
      <w:pPr>
        <w:pStyle w:val="14"/>
        <w:ind w:firstLine="480"/>
        <w:jc w:val="left"/>
        <w:rPr>
          <w:color w:val="auto"/>
        </w:rPr>
      </w:pPr>
      <w:r>
        <w:rPr>
          <w:color w:val="auto"/>
        </w:rPr>
        <w:t>2.1“采购标的”指磋商文件载明的需要采购的货物、服务、工程。</w:t>
      </w:r>
    </w:p>
    <w:p w14:paraId="298861F9">
      <w:pPr>
        <w:pStyle w:val="14"/>
        <w:ind w:firstLine="480"/>
        <w:jc w:val="left"/>
        <w:rPr>
          <w:color w:val="auto"/>
        </w:rPr>
      </w:pPr>
      <w:r>
        <w:rPr>
          <w:color w:val="auto"/>
        </w:rPr>
        <w:t>2.2“采购人”指本次采购项目的买方、或业主方、或甲方，具体见磋商文件第一章；“采购代理机构”系指接受采购人委托，组织开展竞争性磋商采购活动的代理机构，具体见磋商文件第一章。</w:t>
      </w:r>
    </w:p>
    <w:p w14:paraId="673E2055">
      <w:pPr>
        <w:pStyle w:val="14"/>
        <w:ind w:firstLine="480"/>
        <w:jc w:val="left"/>
        <w:rPr>
          <w:color w:val="auto"/>
        </w:rPr>
      </w:pPr>
      <w:r>
        <w:rPr>
          <w:color w:val="auto"/>
        </w:rPr>
        <w:t>2.3“潜在供应商”按照磋商文件第一章规定进行获取文件，且有意向参加本项目响应磋商的供应商。</w:t>
      </w:r>
    </w:p>
    <w:p w14:paraId="0DEE039E">
      <w:pPr>
        <w:pStyle w:val="14"/>
        <w:ind w:firstLine="480"/>
        <w:jc w:val="left"/>
        <w:rPr>
          <w:color w:val="auto"/>
        </w:rPr>
      </w:pPr>
      <w:r>
        <w:rPr>
          <w:color w:val="auto"/>
        </w:rPr>
        <w:t>2.4“供应商”指按照磋商文件第一章规定进行获取文件，且已经提交响应文件的法人或其他组织或自然人。只有适合自然人参与和承接的政府采购项目，供应商才可以是自然人。</w:t>
      </w:r>
    </w:p>
    <w:p w14:paraId="53734B30">
      <w:pPr>
        <w:pStyle w:val="14"/>
        <w:ind w:firstLine="480"/>
        <w:jc w:val="left"/>
        <w:rPr>
          <w:color w:val="auto"/>
        </w:rPr>
      </w:pPr>
      <w:r>
        <w:rPr>
          <w:color w:val="auto"/>
        </w:rPr>
        <w:t>2.5“单位负责人”指单位法定代表人（供应商为法人的）或法律、法规规定代表单位行使职权的主要负责人（供应商为其他组织的）。</w:t>
      </w:r>
    </w:p>
    <w:p w14:paraId="618BF313">
      <w:pPr>
        <w:pStyle w:val="14"/>
        <w:ind w:firstLine="480"/>
        <w:jc w:val="left"/>
        <w:rPr>
          <w:color w:val="auto"/>
        </w:rPr>
      </w:pPr>
      <w:r>
        <w:rPr>
          <w:color w:val="auto"/>
        </w:rPr>
        <w:t>2.6“供应商代表”指供应商（为法人或其他组织的）的单位负责人或由其授权的委托代理人，即单位负责人授权书中载明的接受授权方。供应商为自然人的，由本人签字并附身份证明。</w:t>
      </w:r>
    </w:p>
    <w:p w14:paraId="5135B3C3">
      <w:pPr>
        <w:pStyle w:val="14"/>
        <w:jc w:val="left"/>
        <w:rPr>
          <w:color w:val="auto"/>
        </w:rPr>
      </w:pPr>
      <w:r>
        <w:rPr>
          <w:color w:val="auto"/>
        </w:rPr>
        <w:t>3.合格的供应商：</w:t>
      </w:r>
    </w:p>
    <w:p w14:paraId="10C9A8E5">
      <w:pPr>
        <w:pStyle w:val="14"/>
        <w:ind w:firstLine="480"/>
        <w:jc w:val="left"/>
        <w:rPr>
          <w:color w:val="auto"/>
        </w:rPr>
      </w:pPr>
      <w:r>
        <w:rPr>
          <w:color w:val="auto"/>
        </w:rPr>
        <w:t>3.1一般规定</w:t>
      </w:r>
    </w:p>
    <w:p w14:paraId="21914901">
      <w:pPr>
        <w:pStyle w:val="14"/>
        <w:ind w:firstLine="960"/>
        <w:jc w:val="left"/>
        <w:rPr>
          <w:color w:val="auto"/>
        </w:rPr>
      </w:pPr>
      <w:r>
        <w:rPr>
          <w:color w:val="auto"/>
        </w:rPr>
        <w:t>3.1.1供应商除了应遵守政府采购法及实施条例、政府采购非招标采购方式管理办法及财政部、福建省财政厅有关政府采购文件的规定外，还应遵守有关法律、法规和规章的强制性规定。</w:t>
      </w:r>
    </w:p>
    <w:p w14:paraId="2B426DEB">
      <w:pPr>
        <w:pStyle w:val="14"/>
        <w:ind w:firstLine="960"/>
        <w:jc w:val="left"/>
        <w:rPr>
          <w:color w:val="auto"/>
        </w:rPr>
      </w:pPr>
      <w:r>
        <w:rPr>
          <w:color w:val="auto"/>
        </w:rPr>
        <w:t>3.1.2为采购项目提供整体设计、规范编制或项目管理、监理、检测等服务的供应商，不得再参加该采购项目除整体设计、规范编制和项目管理、监理、检测等服务之外的其他采购活动。</w:t>
      </w:r>
    </w:p>
    <w:p w14:paraId="20E019BF">
      <w:pPr>
        <w:pStyle w:val="14"/>
        <w:ind w:firstLine="960"/>
        <w:jc w:val="left"/>
        <w:rPr>
          <w:color w:val="auto"/>
        </w:rPr>
      </w:pPr>
      <w:r>
        <w:rPr>
          <w:color w:val="auto"/>
        </w:rPr>
        <w:t>3.1.3列入失信被执行人、重大税收违法案件当事人名单、政府采购严重违法失信行为记录名单及其他不符合《中华人民共和国政府采购法》第二十二条规定条件的供应商，不得参加政府采购活动。</w:t>
      </w:r>
    </w:p>
    <w:p w14:paraId="726F26FC">
      <w:pPr>
        <w:pStyle w:val="14"/>
        <w:jc w:val="left"/>
        <w:rPr>
          <w:color w:val="auto"/>
        </w:rPr>
      </w:pPr>
      <w:r>
        <w:rPr>
          <w:b/>
          <w:color w:val="auto"/>
        </w:rPr>
        <w:t>供应商有责任检查自身情况，在响应文件中对是否违反以上一般规定做出如实声明，否则其响应文件将被否决。</w:t>
      </w:r>
    </w:p>
    <w:p w14:paraId="6B0B6D84">
      <w:pPr>
        <w:pStyle w:val="14"/>
        <w:ind w:firstLine="480"/>
        <w:jc w:val="left"/>
        <w:rPr>
          <w:color w:val="auto"/>
        </w:rPr>
      </w:pPr>
      <w:r>
        <w:rPr>
          <w:color w:val="auto"/>
        </w:rPr>
        <w:t>3.2特别规定</w:t>
      </w:r>
    </w:p>
    <w:p w14:paraId="200AA603">
      <w:pPr>
        <w:pStyle w:val="14"/>
        <w:ind w:firstLine="960"/>
        <w:jc w:val="left"/>
        <w:rPr>
          <w:color w:val="auto"/>
        </w:rPr>
      </w:pPr>
      <w:r>
        <w:rPr>
          <w:color w:val="auto"/>
        </w:rPr>
        <w:t>3.2.1供应商的资格要求：详见竞争性磋商须知前附表第1项。</w:t>
      </w:r>
    </w:p>
    <w:p w14:paraId="0B8BFDB8">
      <w:pPr>
        <w:pStyle w:val="14"/>
        <w:ind w:firstLine="960"/>
        <w:jc w:val="left"/>
        <w:rPr>
          <w:color w:val="auto"/>
        </w:rPr>
      </w:pPr>
      <w:r>
        <w:rPr>
          <w:color w:val="auto"/>
        </w:rPr>
        <w:t>3.2.2是否接受联合体形式的响应磋商：详见竞争性磋商须知前附表第2项。若接受联合体形式且供应商为联合体，则联合体各方除了应遵守本章第3.1条规定外，还应遵守下列规定：</w:t>
      </w:r>
    </w:p>
    <w:p w14:paraId="05C53ACA">
      <w:pPr>
        <w:pStyle w:val="14"/>
        <w:ind w:firstLine="960"/>
        <w:jc w:val="left"/>
        <w:rPr>
          <w:color w:val="auto"/>
        </w:rPr>
      </w:pPr>
      <w:r>
        <w:rPr>
          <w:color w:val="auto"/>
        </w:rPr>
        <w:t>（1）联合体各方应提交联合体协议，联合体协议应符合磋商文件规定。</w:t>
      </w:r>
    </w:p>
    <w:p w14:paraId="29E7ECBC">
      <w:pPr>
        <w:pStyle w:val="14"/>
        <w:ind w:firstLine="960"/>
        <w:jc w:val="left"/>
        <w:rPr>
          <w:color w:val="auto"/>
        </w:rPr>
      </w:pPr>
      <w:r>
        <w:rPr>
          <w:color w:val="auto"/>
        </w:rPr>
        <w:t>（2）联合体各方不得再单独参加或与其他供应商另外组成联合体参加同一合同项下的响应磋商。</w:t>
      </w:r>
    </w:p>
    <w:p w14:paraId="253B5B32">
      <w:pPr>
        <w:pStyle w:val="14"/>
        <w:ind w:firstLine="960"/>
        <w:jc w:val="left"/>
        <w:rPr>
          <w:color w:val="auto"/>
        </w:rPr>
      </w:pPr>
      <w:r>
        <w:rPr>
          <w:color w:val="auto"/>
        </w:rPr>
        <w:t>（3）联合体各方应共同与采购人签订政府采购合同，就政府采购合同约定的事项对采购人承担连带责任。</w:t>
      </w:r>
    </w:p>
    <w:p w14:paraId="681E35E9">
      <w:pPr>
        <w:pStyle w:val="14"/>
        <w:ind w:firstLine="960"/>
        <w:jc w:val="left"/>
        <w:rPr>
          <w:color w:val="auto"/>
        </w:rPr>
      </w:pPr>
      <w:r>
        <w:rPr>
          <w:color w:val="auto"/>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12098A4D">
      <w:pPr>
        <w:pStyle w:val="14"/>
        <w:ind w:firstLine="960"/>
        <w:jc w:val="left"/>
        <w:rPr>
          <w:color w:val="auto"/>
        </w:rPr>
      </w:pPr>
      <w:r>
        <w:rPr>
          <w:color w:val="auto"/>
        </w:rPr>
        <w:t>（5）联合体一方放弃成交的，视为联合体整体放弃成交，联合体各方承担连带责任。</w:t>
      </w:r>
    </w:p>
    <w:p w14:paraId="3F58DBF7">
      <w:pPr>
        <w:pStyle w:val="14"/>
        <w:ind w:firstLine="960"/>
        <w:jc w:val="left"/>
        <w:rPr>
          <w:color w:val="auto"/>
        </w:rPr>
      </w:pPr>
      <w:r>
        <w:rPr>
          <w:color w:val="auto"/>
        </w:rPr>
        <w:t>（6）如本项目不接受联合体报价而供应商为联合体的，或者本项目接受联合体报价但供应商组成的联合体不符合本章第3.2条规定的，其报价无效。</w:t>
      </w:r>
    </w:p>
    <w:p w14:paraId="7ED97B0C">
      <w:pPr>
        <w:pStyle w:val="14"/>
        <w:ind w:firstLine="960"/>
        <w:jc w:val="left"/>
        <w:rPr>
          <w:color w:val="auto"/>
        </w:rPr>
      </w:pPr>
      <w:r>
        <w:rPr>
          <w:color w:val="auto"/>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14:paraId="4895BDA1">
      <w:pPr>
        <w:pStyle w:val="14"/>
        <w:jc w:val="left"/>
        <w:rPr>
          <w:color w:val="auto"/>
        </w:rPr>
      </w:pPr>
      <w:r>
        <w:rPr>
          <w:color w:val="auto"/>
        </w:rPr>
        <w:t>4.参与竞争性磋商费用：</w:t>
      </w:r>
    </w:p>
    <w:p w14:paraId="3DBDC27A">
      <w:pPr>
        <w:pStyle w:val="14"/>
        <w:ind w:firstLine="480"/>
        <w:jc w:val="left"/>
        <w:rPr>
          <w:color w:val="auto"/>
        </w:rPr>
      </w:pPr>
      <w:r>
        <w:rPr>
          <w:color w:val="auto"/>
        </w:rPr>
        <w:t>4.1除法律法规或采购文件另有规定之外，供应商应自行承担其准备与参加竞争性磋商所涉及的一切费用。</w:t>
      </w:r>
    </w:p>
    <w:p w14:paraId="079BC6ED">
      <w:pPr>
        <w:pStyle w:val="14"/>
        <w:jc w:val="center"/>
        <w:outlineLvl w:val="2"/>
        <w:rPr>
          <w:color w:val="auto"/>
        </w:rPr>
      </w:pPr>
      <w:r>
        <w:rPr>
          <w:b/>
          <w:color w:val="auto"/>
          <w:sz w:val="28"/>
        </w:rPr>
        <w:t>二、竞争性磋商文件</w:t>
      </w:r>
    </w:p>
    <w:p w14:paraId="7A97998D">
      <w:pPr>
        <w:pStyle w:val="14"/>
        <w:jc w:val="left"/>
        <w:rPr>
          <w:color w:val="auto"/>
        </w:rPr>
      </w:pPr>
      <w:r>
        <w:rPr>
          <w:color w:val="auto"/>
        </w:rPr>
        <w:t>5.竞争性磋商文件的组成：</w:t>
      </w:r>
    </w:p>
    <w:p w14:paraId="2DB78974">
      <w:pPr>
        <w:pStyle w:val="14"/>
        <w:ind w:firstLine="480"/>
        <w:jc w:val="left"/>
        <w:rPr>
          <w:color w:val="auto"/>
        </w:rPr>
      </w:pPr>
      <w:r>
        <w:rPr>
          <w:color w:val="auto"/>
        </w:rPr>
        <w:t>5.1竞争性磋商文件由下述部分组成：</w:t>
      </w:r>
    </w:p>
    <w:p w14:paraId="0083CF95">
      <w:pPr>
        <w:pStyle w:val="14"/>
        <w:ind w:firstLine="480"/>
        <w:jc w:val="left"/>
        <w:rPr>
          <w:color w:val="auto"/>
        </w:rPr>
      </w:pPr>
      <w:r>
        <w:rPr>
          <w:color w:val="auto"/>
        </w:rPr>
        <w:t>第一章 采购公告（或采购邀请书）</w:t>
      </w:r>
    </w:p>
    <w:p w14:paraId="1F954331">
      <w:pPr>
        <w:pStyle w:val="14"/>
        <w:ind w:firstLine="480"/>
        <w:jc w:val="left"/>
        <w:rPr>
          <w:color w:val="auto"/>
        </w:rPr>
      </w:pPr>
      <w:r>
        <w:rPr>
          <w:color w:val="auto"/>
        </w:rPr>
        <w:t>第二章 竞争性磋商须知</w:t>
      </w:r>
    </w:p>
    <w:p w14:paraId="3EAA40A8">
      <w:pPr>
        <w:pStyle w:val="14"/>
        <w:ind w:firstLine="480"/>
        <w:jc w:val="left"/>
        <w:rPr>
          <w:color w:val="auto"/>
        </w:rPr>
      </w:pPr>
      <w:r>
        <w:rPr>
          <w:color w:val="auto"/>
        </w:rPr>
        <w:t>第三章 采购内容及要求</w:t>
      </w:r>
    </w:p>
    <w:p w14:paraId="0E38CAF3">
      <w:pPr>
        <w:pStyle w:val="14"/>
        <w:ind w:firstLine="480"/>
        <w:jc w:val="left"/>
        <w:rPr>
          <w:color w:val="auto"/>
        </w:rPr>
      </w:pPr>
      <w:r>
        <w:rPr>
          <w:color w:val="auto"/>
        </w:rPr>
        <w:t>第四章 合同主要条款及格式</w:t>
      </w:r>
    </w:p>
    <w:p w14:paraId="7E94D019">
      <w:pPr>
        <w:pStyle w:val="14"/>
        <w:ind w:firstLine="480"/>
        <w:jc w:val="left"/>
        <w:rPr>
          <w:color w:val="auto"/>
        </w:rPr>
      </w:pPr>
      <w:r>
        <w:rPr>
          <w:color w:val="auto"/>
        </w:rPr>
        <w:t>第五章 首次响应文件格式</w:t>
      </w:r>
    </w:p>
    <w:p w14:paraId="416DDB98">
      <w:pPr>
        <w:pStyle w:val="14"/>
        <w:ind w:firstLine="480"/>
        <w:jc w:val="left"/>
        <w:rPr>
          <w:color w:val="auto"/>
        </w:rPr>
      </w:pPr>
      <w:r>
        <w:rPr>
          <w:color w:val="auto"/>
        </w:rPr>
        <w:t>5.2除上述内容以外，采购人、采购代理机构或者磋商小组在采购过程期间对磋商文件所作的澄清、修改或补充，均构成磋商文件的组成部分，对采购人和供应商具有约束力。</w:t>
      </w:r>
    </w:p>
    <w:p w14:paraId="34C784CC">
      <w:pPr>
        <w:pStyle w:val="14"/>
        <w:jc w:val="left"/>
        <w:rPr>
          <w:color w:val="auto"/>
        </w:rPr>
      </w:pPr>
      <w:r>
        <w:rPr>
          <w:color w:val="auto"/>
        </w:rPr>
        <w:t>6.竞争性磋商文件的澄清、补充、修改及现场考察等：</w:t>
      </w:r>
    </w:p>
    <w:p w14:paraId="20FBF319">
      <w:pPr>
        <w:pStyle w:val="14"/>
        <w:ind w:firstLine="480"/>
        <w:jc w:val="left"/>
        <w:rPr>
          <w:color w:val="auto"/>
        </w:rPr>
      </w:pPr>
      <w:r>
        <w:rPr>
          <w:color w:val="auto"/>
        </w:rP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14:paraId="0E223329">
      <w:pPr>
        <w:pStyle w:val="14"/>
        <w:ind w:firstLine="480"/>
        <w:jc w:val="left"/>
        <w:rPr>
          <w:color w:val="auto"/>
        </w:rPr>
      </w:pPr>
      <w:r>
        <w:rPr>
          <w:color w:val="auto"/>
        </w:rP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14:paraId="1A1076B7">
      <w:pPr>
        <w:pStyle w:val="14"/>
        <w:ind w:firstLine="480"/>
        <w:jc w:val="left"/>
        <w:rPr>
          <w:color w:val="auto"/>
        </w:rPr>
      </w:pPr>
      <w:r>
        <w:rPr>
          <w:color w:val="auto"/>
        </w:rPr>
        <w:t>6.3采购人、采购代理机构可以视采购项目的具体情况，组织供应商进行现场考察或召开磋商前答疑会，是否组织现场考察或召开磋商前答疑会详见竞争性磋商须知前附表第3项。</w:t>
      </w:r>
    </w:p>
    <w:p w14:paraId="3888B78E">
      <w:pPr>
        <w:pStyle w:val="14"/>
        <w:jc w:val="center"/>
        <w:outlineLvl w:val="2"/>
        <w:rPr>
          <w:color w:val="auto"/>
        </w:rPr>
      </w:pPr>
      <w:r>
        <w:rPr>
          <w:b/>
          <w:color w:val="auto"/>
          <w:sz w:val="28"/>
        </w:rPr>
        <w:t>三、响应文件编制</w:t>
      </w:r>
    </w:p>
    <w:p w14:paraId="546ACE4B">
      <w:pPr>
        <w:pStyle w:val="14"/>
        <w:jc w:val="left"/>
        <w:rPr>
          <w:color w:val="auto"/>
        </w:rPr>
      </w:pPr>
      <w:r>
        <w:rPr>
          <w:color w:val="auto"/>
        </w:rPr>
        <w:t>7.应标要求</w:t>
      </w:r>
    </w:p>
    <w:p w14:paraId="5D435817">
      <w:pPr>
        <w:pStyle w:val="14"/>
        <w:ind w:firstLine="480"/>
        <w:jc w:val="left"/>
        <w:rPr>
          <w:color w:val="auto"/>
        </w:rPr>
      </w:pPr>
      <w:r>
        <w:rPr>
          <w:color w:val="auto"/>
        </w:rPr>
        <w:t>7.1供应商可按照采购包号，对竞争性磋商文件中载明的全部或部分采购包进行响应。对于能够详细列明采购标的技术、服务要求的采购项目，供应商响应时，对同一个采购包内所有的采购内容和要求必须进行完整响应，否则其相应采购包的响应文件将被否决。</w:t>
      </w:r>
    </w:p>
    <w:p w14:paraId="7EAAF1DD">
      <w:pPr>
        <w:pStyle w:val="14"/>
        <w:ind w:firstLine="480"/>
        <w:jc w:val="left"/>
        <w:rPr>
          <w:color w:val="auto"/>
        </w:rPr>
      </w:pPr>
      <w:r>
        <w:rPr>
          <w:color w:val="auto"/>
        </w:rPr>
        <w:t>7.2供应商代表在同一个合同项下只能接受一个供应商的委托参加响应磋商，否则其响应文件将被否决。</w:t>
      </w:r>
    </w:p>
    <w:p w14:paraId="1B5EC676">
      <w:pPr>
        <w:pStyle w:val="14"/>
        <w:ind w:firstLine="480"/>
        <w:jc w:val="left"/>
        <w:rPr>
          <w:color w:val="auto"/>
        </w:rPr>
      </w:pPr>
      <w:r>
        <w:rPr>
          <w:color w:val="auto"/>
        </w:rPr>
        <w:t>7.3供应商应仔细阅读磋商文件的所有内容和要求，按磋商文件的规定提供响应文件，并对其所提供的全部资料、承诺和声明的真实性、合法性和准确性负责。</w:t>
      </w:r>
    </w:p>
    <w:p w14:paraId="065CF073">
      <w:pPr>
        <w:pStyle w:val="14"/>
        <w:ind w:firstLine="480"/>
        <w:jc w:val="left"/>
        <w:rPr>
          <w:color w:val="auto"/>
        </w:rPr>
      </w:pPr>
      <w:r>
        <w:rPr>
          <w:color w:val="auto"/>
        </w:rPr>
        <w:t>7.4除非竞争性磋商须知前附表另有规定外，供应商提供的响应文件应使用中文文本，若有不同文字文本，以中文文本为准。</w:t>
      </w:r>
    </w:p>
    <w:p w14:paraId="18629EC4">
      <w:pPr>
        <w:pStyle w:val="14"/>
        <w:ind w:firstLine="480"/>
        <w:jc w:val="left"/>
        <w:rPr>
          <w:color w:val="auto"/>
        </w:rPr>
      </w:pPr>
      <w:r>
        <w:rPr>
          <w:color w:val="auto"/>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04679F49">
      <w:pPr>
        <w:pStyle w:val="14"/>
        <w:ind w:firstLine="480"/>
        <w:jc w:val="left"/>
        <w:rPr>
          <w:color w:val="auto"/>
        </w:rPr>
      </w:pPr>
      <w:r>
        <w:rPr>
          <w:color w:val="auto"/>
        </w:rPr>
        <w:t>7.6除非竞争性磋商须知前附表另有规定外，供应商承诺的报价应以人民币进行报价，合同实施结算时亦以人民币支付；所有计量均采用中华人民共和国法定计量单位。</w:t>
      </w:r>
    </w:p>
    <w:p w14:paraId="5F862FCB">
      <w:pPr>
        <w:pStyle w:val="14"/>
        <w:jc w:val="left"/>
        <w:rPr>
          <w:color w:val="auto"/>
        </w:rPr>
      </w:pPr>
      <w:r>
        <w:rPr>
          <w:color w:val="auto"/>
        </w:rPr>
        <w:t>8.首次响应文件的组成：</w:t>
      </w:r>
    </w:p>
    <w:p w14:paraId="13BA3B6A">
      <w:pPr>
        <w:pStyle w:val="14"/>
        <w:ind w:firstLine="480"/>
        <w:jc w:val="left"/>
        <w:rPr>
          <w:color w:val="auto"/>
        </w:rPr>
      </w:pPr>
      <w:r>
        <w:rPr>
          <w:color w:val="auto"/>
        </w:rPr>
        <w:t>8.1首次响应文件包括但不限于下列部分：</w:t>
      </w:r>
    </w:p>
    <w:p w14:paraId="72EAAEEC">
      <w:pPr>
        <w:pStyle w:val="14"/>
        <w:ind w:firstLine="480"/>
        <w:jc w:val="left"/>
        <w:rPr>
          <w:color w:val="auto"/>
        </w:rPr>
      </w:pPr>
      <w:r>
        <w:rPr>
          <w:color w:val="auto"/>
        </w:rPr>
        <w:t>（1）响应函</w:t>
      </w:r>
    </w:p>
    <w:p w14:paraId="2A9F1C75">
      <w:pPr>
        <w:pStyle w:val="14"/>
        <w:ind w:firstLine="480"/>
        <w:jc w:val="left"/>
        <w:rPr>
          <w:color w:val="auto"/>
        </w:rPr>
      </w:pPr>
      <w:r>
        <w:rPr>
          <w:color w:val="auto"/>
        </w:rPr>
        <w:t>（2）报价一览表（含详细报价书）</w:t>
      </w:r>
    </w:p>
    <w:p w14:paraId="1C5FA219">
      <w:pPr>
        <w:pStyle w:val="14"/>
        <w:ind w:firstLine="480"/>
        <w:jc w:val="left"/>
        <w:rPr>
          <w:color w:val="auto"/>
        </w:rPr>
      </w:pPr>
      <w:r>
        <w:rPr>
          <w:color w:val="auto"/>
        </w:rPr>
        <w:t>（3）资格证明文件</w:t>
      </w:r>
    </w:p>
    <w:p w14:paraId="487F0C5C">
      <w:pPr>
        <w:pStyle w:val="14"/>
        <w:ind w:firstLine="480"/>
        <w:jc w:val="left"/>
        <w:rPr>
          <w:color w:val="auto"/>
        </w:rPr>
      </w:pPr>
      <w:r>
        <w:rPr>
          <w:color w:val="auto"/>
        </w:rPr>
        <w:t>（4）磋商保证金凭证</w:t>
      </w:r>
    </w:p>
    <w:p w14:paraId="5A89147F">
      <w:pPr>
        <w:pStyle w:val="14"/>
        <w:ind w:firstLine="480"/>
        <w:jc w:val="left"/>
        <w:rPr>
          <w:color w:val="auto"/>
        </w:rPr>
      </w:pPr>
      <w:r>
        <w:rPr>
          <w:color w:val="auto"/>
        </w:rPr>
        <w:t>（5）技术和商务偏离表</w:t>
      </w:r>
    </w:p>
    <w:p w14:paraId="2E0BF3BB">
      <w:pPr>
        <w:pStyle w:val="14"/>
        <w:ind w:firstLine="480"/>
        <w:jc w:val="left"/>
        <w:rPr>
          <w:color w:val="auto"/>
        </w:rPr>
      </w:pPr>
      <w:r>
        <w:rPr>
          <w:color w:val="auto"/>
        </w:rPr>
        <w:t>（6）相关技术、商务、服务响应承诺及资料</w:t>
      </w:r>
    </w:p>
    <w:p w14:paraId="1C827ED1">
      <w:pPr>
        <w:pStyle w:val="14"/>
        <w:ind w:firstLine="480"/>
        <w:jc w:val="left"/>
        <w:rPr>
          <w:color w:val="auto"/>
        </w:rPr>
      </w:pPr>
      <w:r>
        <w:rPr>
          <w:color w:val="auto"/>
        </w:rPr>
        <w:t>（7）供应商提交的其他资料</w:t>
      </w:r>
    </w:p>
    <w:p w14:paraId="0CB1EA36">
      <w:pPr>
        <w:pStyle w:val="14"/>
        <w:ind w:firstLine="480"/>
        <w:jc w:val="left"/>
        <w:rPr>
          <w:color w:val="auto"/>
        </w:rPr>
      </w:pPr>
      <w:r>
        <w:rPr>
          <w:color w:val="auto"/>
        </w:rPr>
        <w:t>（8）要求作为响应文件组成部分的其他内容（若有）</w:t>
      </w:r>
    </w:p>
    <w:p w14:paraId="47CC492E">
      <w:pPr>
        <w:pStyle w:val="14"/>
        <w:jc w:val="left"/>
        <w:rPr>
          <w:color w:val="auto"/>
        </w:rPr>
      </w:pPr>
      <w:r>
        <w:rPr>
          <w:color w:val="auto"/>
        </w:rPr>
        <w:t>9.响应文件有效期：</w:t>
      </w:r>
    </w:p>
    <w:p w14:paraId="78F3E336">
      <w:pPr>
        <w:pStyle w:val="14"/>
        <w:ind w:firstLine="480"/>
        <w:jc w:val="left"/>
        <w:rPr>
          <w:color w:val="auto"/>
        </w:rPr>
      </w:pPr>
      <w:r>
        <w:rPr>
          <w:color w:val="auto"/>
        </w:rPr>
        <w:t>9.1响应文件有效期见竞争性磋商须知前附表第4项，响应文件承诺的有效期不得少于磋商文件载明的有效期，否则其响应文件将被否决。</w:t>
      </w:r>
    </w:p>
    <w:p w14:paraId="7C50FD3D">
      <w:pPr>
        <w:pStyle w:val="14"/>
        <w:ind w:firstLine="480"/>
        <w:jc w:val="left"/>
        <w:rPr>
          <w:color w:val="auto"/>
        </w:rPr>
      </w:pPr>
      <w:r>
        <w:rPr>
          <w:color w:val="auto"/>
        </w:rP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14:paraId="03702EC1">
      <w:pPr>
        <w:pStyle w:val="14"/>
        <w:jc w:val="left"/>
        <w:rPr>
          <w:color w:val="auto"/>
        </w:rPr>
      </w:pPr>
      <w:r>
        <w:rPr>
          <w:color w:val="auto"/>
        </w:rPr>
        <w:t>10.磋商保证金：</w:t>
      </w:r>
    </w:p>
    <w:p w14:paraId="4EAB42E5">
      <w:pPr>
        <w:pStyle w:val="14"/>
        <w:ind w:firstLine="480"/>
        <w:jc w:val="left"/>
        <w:rPr>
          <w:color w:val="auto"/>
        </w:rPr>
      </w:pPr>
      <w:r>
        <w:rPr>
          <w:color w:val="auto"/>
        </w:rPr>
        <w:t>10.1供应商应在参加竞争性磋商之前按竞争性磋商须知前附表第5项规定的金额、形式等要求提交磋商保证金。磋商文件若接受联合体形式且供应商为联合体的，则可以由联合体中的牵头方提交磋商保证金，其提交的磋商保证金对联合体各方均具有约束力。</w:t>
      </w:r>
    </w:p>
    <w:p w14:paraId="67241FFB">
      <w:pPr>
        <w:pStyle w:val="14"/>
        <w:ind w:firstLine="480"/>
        <w:jc w:val="left"/>
        <w:rPr>
          <w:color w:val="auto"/>
        </w:rPr>
      </w:pPr>
      <w:r>
        <w:rPr>
          <w:color w:val="auto"/>
        </w:rPr>
        <w:t>10.1.1供应商以汇款形式缴纳磋商保证金的，应从其银行账户（基本存款账户）按照下列方式：公对公转账方式向磋商文件载明的磋商保证金账户提交磋商保证金。磋商保证金应于首次响应文件递交截止时间前到达磋商文件载明的磋商保证金账户，否则视为磋商保证金未提交。</w:t>
      </w:r>
    </w:p>
    <w:p w14:paraId="6A698645">
      <w:pPr>
        <w:pStyle w:val="14"/>
        <w:ind w:firstLine="480"/>
        <w:jc w:val="left"/>
        <w:rPr>
          <w:color w:val="auto"/>
        </w:rPr>
      </w:pPr>
      <w:r>
        <w:rPr>
          <w:color w:val="auto"/>
        </w:rPr>
        <w:t>10.1.2供应商以电子保函形式提交磋商保证金的，可在磋商文件载明的首次响应文件递交截止时间前通过福建省政府采购平台“保函服务”栏目办理电子保函并在电汇或银行转账单上注明（项目编号）；在首次响应文件递交截止时间前将电子保函文件放入电子响应文件中，否则视为未提交磋商保证金。保函的有效期应等于或长于电子响应文件承诺的有效期，否则其响应文件将被否决。</w:t>
      </w:r>
    </w:p>
    <w:p w14:paraId="6AF04059">
      <w:pPr>
        <w:pStyle w:val="14"/>
        <w:ind w:firstLine="480"/>
        <w:jc w:val="left"/>
        <w:rPr>
          <w:color w:val="auto"/>
        </w:rPr>
      </w:pPr>
      <w:r>
        <w:rPr>
          <w:color w:val="auto"/>
        </w:rPr>
        <w:t>10.2磋商保证金为响应文件的重要组成部分之一。磋商保证金用于保护本次磋商活动免受供应商的违约或失信行为而引起的风险。未按规定提交磋商保证金的，其响应文件将被否决。</w:t>
      </w:r>
    </w:p>
    <w:p w14:paraId="4BAAB147">
      <w:pPr>
        <w:pStyle w:val="14"/>
        <w:ind w:firstLine="480"/>
        <w:jc w:val="left"/>
        <w:rPr>
          <w:color w:val="auto"/>
        </w:rPr>
      </w:pPr>
      <w:r>
        <w:rPr>
          <w:color w:val="auto"/>
        </w:rPr>
        <w:t>10.3磋商保证金退还：</w:t>
      </w:r>
    </w:p>
    <w:p w14:paraId="1CE44F3C">
      <w:pPr>
        <w:pStyle w:val="14"/>
        <w:ind w:firstLine="960"/>
        <w:jc w:val="left"/>
        <w:rPr>
          <w:color w:val="auto"/>
        </w:rPr>
      </w:pPr>
      <w:r>
        <w:rPr>
          <w:color w:val="auto"/>
        </w:rP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采购合同签订后5个工作日内退还。关于磋商保证金退还的其它要求见竞争性磋商须知前附表第6项。</w:t>
      </w:r>
    </w:p>
    <w:p w14:paraId="59CA5129">
      <w:pPr>
        <w:pStyle w:val="14"/>
        <w:ind w:firstLine="960"/>
        <w:jc w:val="left"/>
        <w:rPr>
          <w:color w:val="auto"/>
        </w:rPr>
      </w:pPr>
      <w:r>
        <w:rPr>
          <w:color w:val="auto"/>
        </w:rPr>
        <w:t>10.3.2质疑或投诉涉及的供应商，若其磋商保证金尚未退还，则待质疑或投诉处理完毕后，且没有发生法律法规或者磋商文件规定的不予退还磋商保证金情形，则由采购人或采购代理机构给予及时退还。</w:t>
      </w:r>
    </w:p>
    <w:p w14:paraId="4BD2C645">
      <w:pPr>
        <w:pStyle w:val="14"/>
        <w:ind w:firstLine="480"/>
        <w:jc w:val="left"/>
        <w:rPr>
          <w:color w:val="auto"/>
        </w:rPr>
      </w:pPr>
      <w:r>
        <w:rPr>
          <w:color w:val="auto"/>
        </w:rPr>
        <w:t>10.4如果供应商发生以下任何一种情况时，其磋商保证金将被不予退还或通过保函进行索赔：</w:t>
      </w:r>
    </w:p>
    <w:p w14:paraId="550A6008">
      <w:pPr>
        <w:pStyle w:val="14"/>
        <w:ind w:firstLine="480"/>
        <w:jc w:val="left"/>
        <w:rPr>
          <w:color w:val="auto"/>
        </w:rPr>
      </w:pPr>
      <w:r>
        <w:rPr>
          <w:color w:val="auto"/>
        </w:rPr>
        <w:t>(1)供应商在提交响应文件截止时间后撤回响应文件的；</w:t>
      </w:r>
    </w:p>
    <w:p w14:paraId="00BF2577">
      <w:pPr>
        <w:pStyle w:val="14"/>
        <w:ind w:firstLine="480"/>
        <w:jc w:val="left"/>
        <w:rPr>
          <w:color w:val="auto"/>
        </w:rPr>
      </w:pPr>
      <w:r>
        <w:rPr>
          <w:color w:val="auto"/>
        </w:rPr>
        <w:t>(2)供应商在响应文件中提供虚假材料的；</w:t>
      </w:r>
    </w:p>
    <w:p w14:paraId="53DBC035">
      <w:pPr>
        <w:pStyle w:val="14"/>
        <w:ind w:firstLine="480"/>
        <w:jc w:val="left"/>
        <w:rPr>
          <w:color w:val="auto"/>
        </w:rPr>
      </w:pPr>
      <w:r>
        <w:rPr>
          <w:color w:val="auto"/>
        </w:rPr>
        <w:t>(3)除因不可抗力或磋商文件认可的情形以外，成交人不与采购人签订合同的；</w:t>
      </w:r>
    </w:p>
    <w:p w14:paraId="61831443">
      <w:pPr>
        <w:pStyle w:val="14"/>
        <w:ind w:firstLine="480"/>
        <w:jc w:val="left"/>
        <w:rPr>
          <w:color w:val="auto"/>
        </w:rPr>
      </w:pPr>
      <w:r>
        <w:rPr>
          <w:color w:val="auto"/>
        </w:rPr>
        <w:t>(4)供应商与采购人、其他供应商或者采购代理机构恶意串通的；</w:t>
      </w:r>
    </w:p>
    <w:p w14:paraId="6076A531">
      <w:pPr>
        <w:pStyle w:val="14"/>
        <w:ind w:firstLine="480"/>
        <w:jc w:val="left"/>
        <w:rPr>
          <w:color w:val="auto"/>
        </w:rPr>
      </w:pPr>
      <w:r>
        <w:rPr>
          <w:color w:val="auto"/>
        </w:rPr>
        <w:t>(5)供应商在提交最后报价后要求退出磋商的；</w:t>
      </w:r>
    </w:p>
    <w:p w14:paraId="776327D1">
      <w:pPr>
        <w:pStyle w:val="14"/>
        <w:ind w:firstLine="480"/>
        <w:jc w:val="left"/>
        <w:rPr>
          <w:color w:val="auto"/>
        </w:rPr>
      </w:pPr>
      <w:r>
        <w:rPr>
          <w:color w:val="auto"/>
        </w:rPr>
        <w:t>(6)供应商假借以他人名义参加磋商或者以其他方式弄虚作假，骗取成交；</w:t>
      </w:r>
    </w:p>
    <w:p w14:paraId="345DB7A5">
      <w:pPr>
        <w:pStyle w:val="14"/>
        <w:ind w:firstLine="480"/>
        <w:jc w:val="left"/>
        <w:rPr>
          <w:color w:val="auto"/>
        </w:rPr>
      </w:pPr>
      <w:r>
        <w:rPr>
          <w:color w:val="auto"/>
        </w:rPr>
        <w:t>(7)国家法律法规以及磋商文件中规定的其他磋商保证金不予退还的情形。</w:t>
      </w:r>
    </w:p>
    <w:p w14:paraId="7992DCCC">
      <w:pPr>
        <w:pStyle w:val="14"/>
        <w:ind w:firstLine="480"/>
        <w:jc w:val="left"/>
        <w:rPr>
          <w:color w:val="auto"/>
        </w:rPr>
      </w:pPr>
      <w:r>
        <w:rPr>
          <w:color w:val="auto"/>
        </w:rPr>
        <w:t>上述不予退还磋商保证金的情况不能抵偿给采购人或采购代理机构造成损失的，供应商还要承担赔偿责任。</w:t>
      </w:r>
    </w:p>
    <w:p w14:paraId="3B7813FE">
      <w:pPr>
        <w:pStyle w:val="14"/>
        <w:jc w:val="left"/>
        <w:rPr>
          <w:color w:val="auto"/>
        </w:rPr>
      </w:pPr>
      <w:r>
        <w:rPr>
          <w:color w:val="auto"/>
        </w:rPr>
        <w:t>11.响应文件基本编制要求：</w:t>
      </w:r>
    </w:p>
    <w:p w14:paraId="39972952">
      <w:pPr>
        <w:pStyle w:val="14"/>
        <w:ind w:firstLine="480"/>
        <w:jc w:val="left"/>
        <w:rPr>
          <w:color w:val="auto"/>
        </w:rPr>
      </w:pPr>
      <w:r>
        <w:rPr>
          <w:color w:val="auto"/>
        </w:rPr>
        <w:t>11.1供应商须编制由本须知规定组成的响应文件正副本份数详见竞争性磋商须知前附表第7项。响应文件正本和全部副本均应使用不能擦去的墨料或墨水打印、书写或复印，副本可以用正本的完整复印件。响应文件封面上应标明“正本”、“副本”字样。正本与副本内容如有不一致，则以正本为准。</w:t>
      </w:r>
    </w:p>
    <w:p w14:paraId="467C18B5">
      <w:pPr>
        <w:pStyle w:val="14"/>
        <w:ind w:firstLine="480"/>
        <w:jc w:val="left"/>
        <w:rPr>
          <w:color w:val="auto"/>
        </w:rPr>
      </w:pPr>
      <w:r>
        <w:rPr>
          <w:color w:val="auto"/>
        </w:rPr>
        <w:t>11.2响应文件应由供应商代表签字并加盖公章。供应商代表如果不是竞争性磋商须知中定义的“单位负责人”，则其响应文件中还必须提供“单位负责人授权书”。</w:t>
      </w:r>
    </w:p>
    <w:p w14:paraId="431581CE">
      <w:pPr>
        <w:pStyle w:val="14"/>
        <w:ind w:firstLine="480"/>
        <w:jc w:val="left"/>
        <w:rPr>
          <w:color w:val="auto"/>
        </w:rPr>
      </w:pPr>
      <w:r>
        <w:rPr>
          <w:color w:val="auto"/>
        </w:rPr>
        <w:t>11.3响应文件应尽量避免涂改、行间插字或删除。如果出现上述情况，改动之处应加盖供应商单位公章或由供应商代表签字确认。</w:t>
      </w:r>
    </w:p>
    <w:p w14:paraId="07C01ADF">
      <w:pPr>
        <w:pStyle w:val="14"/>
        <w:ind w:firstLine="480"/>
        <w:jc w:val="left"/>
        <w:rPr>
          <w:color w:val="auto"/>
        </w:rPr>
      </w:pPr>
      <w:r>
        <w:rPr>
          <w:color w:val="auto"/>
        </w:rPr>
        <w:t>11.4供应商应提交证明其拟提供货物、服务或工程符合磋商文件要求的技术和商务响应文件，该文件可以是文字资料、图纸和数据，并对拟提供的货物、服务或工程的主要内容进行详细描述。</w:t>
      </w:r>
    </w:p>
    <w:p w14:paraId="4BAB4943">
      <w:pPr>
        <w:pStyle w:val="14"/>
        <w:jc w:val="left"/>
        <w:rPr>
          <w:color w:val="auto"/>
        </w:rPr>
      </w:pPr>
      <w:r>
        <w:rPr>
          <w:color w:val="auto"/>
        </w:rPr>
        <w:t>12.纸质响应文件的密封、标识、签署和提交（除磋商文件相应章节已有规定之外，电子竞争性磋商活动的具体操作流程以福建省政府采购网上公开信息系统设定的为准。）</w:t>
      </w:r>
    </w:p>
    <w:p w14:paraId="23B9FD84">
      <w:pPr>
        <w:pStyle w:val="14"/>
        <w:ind w:firstLine="480"/>
        <w:jc w:val="left"/>
        <w:rPr>
          <w:color w:val="auto"/>
        </w:rPr>
      </w:pPr>
      <w:r>
        <w:rPr>
          <w:color w:val="auto"/>
        </w:rPr>
        <w:t>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14:paraId="6558731D">
      <w:pPr>
        <w:pStyle w:val="14"/>
        <w:ind w:firstLine="480"/>
        <w:jc w:val="left"/>
        <w:rPr>
          <w:color w:val="auto"/>
        </w:rPr>
      </w:pPr>
      <w:r>
        <w:rPr>
          <w:color w:val="auto"/>
        </w:rPr>
        <w:t>12.2供应商应当在磋商文件规定的提交响应文件截止时间前，将首次响应文件密封送达磋商文件规定的指定地点。在截止时间后送达的首次响应文件为无效文件，采购人、采购代理机构或者磋商小组将不予接收。</w:t>
      </w:r>
    </w:p>
    <w:p w14:paraId="6B8504E5">
      <w:pPr>
        <w:pStyle w:val="14"/>
        <w:ind w:firstLine="480"/>
        <w:jc w:val="left"/>
        <w:rPr>
          <w:color w:val="auto"/>
        </w:rPr>
      </w:pPr>
      <w:r>
        <w:rPr>
          <w:color w:val="auto"/>
        </w:rP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14:paraId="79AB51A3">
      <w:pPr>
        <w:pStyle w:val="14"/>
        <w:ind w:firstLine="480"/>
        <w:jc w:val="left"/>
        <w:rPr>
          <w:color w:val="auto"/>
        </w:rPr>
      </w:pPr>
      <w:r>
        <w:rPr>
          <w:color w:val="auto"/>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14:paraId="564B48DA">
      <w:pPr>
        <w:pStyle w:val="14"/>
        <w:ind w:firstLine="480"/>
        <w:jc w:val="left"/>
        <w:rPr>
          <w:color w:val="auto"/>
        </w:rPr>
      </w:pPr>
      <w:r>
        <w:rPr>
          <w:color w:val="auto"/>
        </w:rPr>
        <w:t>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14:paraId="05CFE8DA">
      <w:pPr>
        <w:pStyle w:val="14"/>
        <w:jc w:val="center"/>
        <w:outlineLvl w:val="2"/>
        <w:rPr>
          <w:color w:val="auto"/>
        </w:rPr>
      </w:pPr>
      <w:r>
        <w:rPr>
          <w:b/>
          <w:color w:val="auto"/>
          <w:sz w:val="28"/>
        </w:rPr>
        <w:t>四、竞争性磋商</w:t>
      </w:r>
    </w:p>
    <w:p w14:paraId="0777A4FC">
      <w:pPr>
        <w:pStyle w:val="14"/>
        <w:jc w:val="left"/>
        <w:rPr>
          <w:color w:val="auto"/>
        </w:rPr>
      </w:pPr>
      <w:r>
        <w:rPr>
          <w:color w:val="auto"/>
        </w:rPr>
        <w:t>13.评审和磋商基本准则</w:t>
      </w:r>
    </w:p>
    <w:p w14:paraId="1C0C2905">
      <w:pPr>
        <w:pStyle w:val="14"/>
        <w:ind w:firstLine="480"/>
        <w:jc w:val="left"/>
        <w:rPr>
          <w:color w:val="auto"/>
        </w:rPr>
      </w:pPr>
      <w:r>
        <w:rPr>
          <w:color w:val="auto"/>
        </w:rPr>
        <w:t>13.1对所有供应商的评审和磋商，都采用相同的程序和标准。</w:t>
      </w:r>
    </w:p>
    <w:p w14:paraId="680D7C29">
      <w:pPr>
        <w:pStyle w:val="14"/>
        <w:ind w:firstLine="480"/>
        <w:jc w:val="left"/>
        <w:rPr>
          <w:color w:val="auto"/>
        </w:rPr>
      </w:pPr>
      <w:r>
        <w:rPr>
          <w:color w:val="auto"/>
        </w:rPr>
        <w:t>13.2磋商及评审过程将严格按照磋商文件的要求和条件进行，磋商小组将根据供应商的响应文件，按磋商文件规定的磋商程序及评审的标准和方法进行评审、磋商，并推荐成交候选人。</w:t>
      </w:r>
    </w:p>
    <w:p w14:paraId="6357D0E1">
      <w:pPr>
        <w:pStyle w:val="14"/>
        <w:jc w:val="left"/>
        <w:rPr>
          <w:color w:val="auto"/>
        </w:rPr>
      </w:pPr>
      <w:r>
        <w:rPr>
          <w:color w:val="auto"/>
        </w:rPr>
        <w:t>14.磋商程序以及评审标准和方法</w:t>
      </w:r>
    </w:p>
    <w:p w14:paraId="467AFFDD">
      <w:pPr>
        <w:pStyle w:val="14"/>
        <w:ind w:firstLine="480"/>
        <w:jc w:val="left"/>
        <w:rPr>
          <w:color w:val="auto"/>
        </w:rPr>
      </w:pPr>
      <w:r>
        <w:rPr>
          <w:color w:val="auto"/>
        </w:rPr>
        <w:t>14.1采购人将根据项目的特点依法组建磋商小组。磋商小组将根据磋商文件规定的程序、评审标准和方法等内容对供应商进行评审、磋商。</w:t>
      </w:r>
    </w:p>
    <w:p w14:paraId="6DEC6DD8">
      <w:pPr>
        <w:pStyle w:val="14"/>
        <w:ind w:firstLine="480"/>
        <w:jc w:val="left"/>
        <w:rPr>
          <w:color w:val="auto"/>
        </w:rPr>
      </w:pPr>
      <w:r>
        <w:rPr>
          <w:color w:val="auto"/>
        </w:rP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14:paraId="3B1F5937">
      <w:pPr>
        <w:pStyle w:val="14"/>
        <w:ind w:firstLine="960"/>
        <w:jc w:val="left"/>
        <w:rPr>
          <w:color w:val="auto"/>
        </w:rPr>
      </w:pPr>
      <w:r>
        <w:rPr>
          <w:color w:val="auto"/>
        </w:rPr>
        <w:t>14.2.1供应商有下列情况之一者，其提交的响应文件将被视为未实质性响应磋商文件要求，磋商小组将否决其响应文件，按无效处理：</w:t>
      </w:r>
    </w:p>
    <w:p w14:paraId="6903AED8">
      <w:pPr>
        <w:pStyle w:val="14"/>
        <w:jc w:val="left"/>
        <w:rPr>
          <w:color w:val="auto"/>
        </w:rPr>
      </w:pPr>
    </w:p>
    <w:p w14:paraId="4FDD3F57">
      <w:pPr>
        <w:pStyle w:val="14"/>
        <w:jc w:val="left"/>
        <w:rPr>
          <w:color w:val="auto"/>
        </w:rPr>
      </w:pPr>
    </w:p>
    <w:p w14:paraId="5483FE58">
      <w:pPr>
        <w:pStyle w:val="14"/>
        <w:jc w:val="left"/>
        <w:rPr>
          <w:color w:val="auto"/>
        </w:rPr>
      </w:pPr>
    </w:p>
    <w:p w14:paraId="495842FE">
      <w:pPr>
        <w:pStyle w:val="14"/>
        <w:jc w:val="left"/>
        <w:rPr>
          <w:color w:val="auto"/>
        </w:rPr>
      </w:pPr>
      <w:r>
        <w:rPr>
          <w:color w:val="auto"/>
        </w:rP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6F9881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14:paraId="5F82AF35">
            <w:pPr>
              <w:pStyle w:val="14"/>
              <w:jc w:val="left"/>
              <w:rPr>
                <w:color w:val="auto"/>
              </w:rPr>
            </w:pPr>
            <w:r>
              <w:rPr>
                <w:color w:val="auto"/>
              </w:rPr>
              <w:t>序号</w:t>
            </w:r>
          </w:p>
        </w:tc>
        <w:tc>
          <w:tcPr>
            <w:tcW w:w="3115" w:type="dxa"/>
          </w:tcPr>
          <w:p w14:paraId="57521785">
            <w:pPr>
              <w:pStyle w:val="14"/>
              <w:jc w:val="left"/>
              <w:rPr>
                <w:color w:val="auto"/>
              </w:rPr>
            </w:pPr>
            <w:r>
              <w:rPr>
                <w:color w:val="auto"/>
              </w:rPr>
              <w:t>符合审查要求概况</w:t>
            </w:r>
          </w:p>
        </w:tc>
        <w:tc>
          <w:tcPr>
            <w:tcW w:w="4153" w:type="dxa"/>
          </w:tcPr>
          <w:p w14:paraId="4622126E">
            <w:pPr>
              <w:pStyle w:val="14"/>
              <w:jc w:val="left"/>
              <w:rPr>
                <w:color w:val="auto"/>
              </w:rPr>
            </w:pPr>
            <w:r>
              <w:rPr>
                <w:color w:val="auto"/>
              </w:rPr>
              <w:t>评审点具体描述</w:t>
            </w:r>
          </w:p>
        </w:tc>
      </w:tr>
      <w:tr w14:paraId="22BB51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3BB4D0A">
            <w:pPr>
              <w:pStyle w:val="14"/>
              <w:jc w:val="left"/>
              <w:rPr>
                <w:color w:val="auto"/>
              </w:rPr>
            </w:pPr>
            <w:r>
              <w:rPr>
                <w:color w:val="auto"/>
              </w:rPr>
              <w:t>1</w:t>
            </w:r>
          </w:p>
        </w:tc>
        <w:tc>
          <w:tcPr>
            <w:tcW w:w="3115" w:type="dxa"/>
          </w:tcPr>
          <w:p w14:paraId="2D4B6FE1">
            <w:pPr>
              <w:pStyle w:val="14"/>
              <w:jc w:val="left"/>
              <w:rPr>
                <w:color w:val="auto"/>
              </w:rPr>
            </w:pPr>
            <w:r>
              <w:rPr>
                <w:color w:val="auto"/>
              </w:rPr>
              <w:t>情形1</w:t>
            </w:r>
          </w:p>
        </w:tc>
        <w:tc>
          <w:tcPr>
            <w:tcW w:w="4153" w:type="dxa"/>
          </w:tcPr>
          <w:p w14:paraId="53832962">
            <w:pPr>
              <w:pStyle w:val="14"/>
              <w:jc w:val="left"/>
              <w:rPr>
                <w:color w:val="auto"/>
              </w:rPr>
            </w:pPr>
            <w:r>
              <w:rPr>
                <w:color w:val="auto"/>
              </w:rPr>
              <w:t>响应文件中提供的资格证明文件不全的；</w:t>
            </w:r>
          </w:p>
        </w:tc>
      </w:tr>
      <w:tr w14:paraId="72FC86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01449EB">
            <w:pPr>
              <w:pStyle w:val="14"/>
              <w:jc w:val="left"/>
              <w:rPr>
                <w:color w:val="auto"/>
              </w:rPr>
            </w:pPr>
            <w:r>
              <w:rPr>
                <w:color w:val="auto"/>
              </w:rPr>
              <w:t>2</w:t>
            </w:r>
          </w:p>
        </w:tc>
        <w:tc>
          <w:tcPr>
            <w:tcW w:w="3115" w:type="dxa"/>
          </w:tcPr>
          <w:p w14:paraId="50340F54">
            <w:pPr>
              <w:pStyle w:val="14"/>
              <w:jc w:val="left"/>
              <w:rPr>
                <w:color w:val="auto"/>
              </w:rPr>
            </w:pPr>
            <w:r>
              <w:rPr>
                <w:color w:val="auto"/>
              </w:rPr>
              <w:t>情形2</w:t>
            </w:r>
          </w:p>
        </w:tc>
        <w:tc>
          <w:tcPr>
            <w:tcW w:w="4153" w:type="dxa"/>
          </w:tcPr>
          <w:p w14:paraId="2C9F7127">
            <w:pPr>
              <w:pStyle w:val="14"/>
              <w:jc w:val="left"/>
              <w:rPr>
                <w:color w:val="auto"/>
              </w:rPr>
            </w:pPr>
            <w:r>
              <w:rPr>
                <w:color w:val="auto"/>
              </w:rPr>
              <w:t>响应文件未按磋商文件规定由供应商代表签字，或未按磋商文件规定加盖供应商单位公章的；或供应商代表未获得有效授权的；</w:t>
            </w:r>
          </w:p>
        </w:tc>
      </w:tr>
      <w:tr w14:paraId="06D226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CB95271">
            <w:pPr>
              <w:pStyle w:val="14"/>
              <w:jc w:val="left"/>
              <w:rPr>
                <w:color w:val="auto"/>
              </w:rPr>
            </w:pPr>
            <w:r>
              <w:rPr>
                <w:color w:val="auto"/>
              </w:rPr>
              <w:t>3</w:t>
            </w:r>
          </w:p>
        </w:tc>
        <w:tc>
          <w:tcPr>
            <w:tcW w:w="3115" w:type="dxa"/>
          </w:tcPr>
          <w:p w14:paraId="28764154">
            <w:pPr>
              <w:pStyle w:val="14"/>
              <w:jc w:val="left"/>
              <w:rPr>
                <w:color w:val="auto"/>
              </w:rPr>
            </w:pPr>
            <w:r>
              <w:rPr>
                <w:color w:val="auto"/>
              </w:rPr>
              <w:t>情形3</w:t>
            </w:r>
          </w:p>
        </w:tc>
        <w:tc>
          <w:tcPr>
            <w:tcW w:w="4153" w:type="dxa"/>
          </w:tcPr>
          <w:p w14:paraId="4EDDD8DE">
            <w:pPr>
              <w:pStyle w:val="14"/>
              <w:jc w:val="left"/>
              <w:rPr>
                <w:color w:val="auto"/>
              </w:rPr>
            </w:pPr>
            <w:r>
              <w:rPr>
                <w:color w:val="auto"/>
              </w:rPr>
              <w:t>供应商未按磋商文件规定提交磋商保证金的；</w:t>
            </w:r>
          </w:p>
        </w:tc>
      </w:tr>
      <w:tr w14:paraId="4281E2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8C1ED54">
            <w:pPr>
              <w:pStyle w:val="14"/>
              <w:jc w:val="left"/>
              <w:rPr>
                <w:color w:val="auto"/>
              </w:rPr>
            </w:pPr>
            <w:r>
              <w:rPr>
                <w:color w:val="auto"/>
              </w:rPr>
              <w:t>4</w:t>
            </w:r>
          </w:p>
        </w:tc>
        <w:tc>
          <w:tcPr>
            <w:tcW w:w="3115" w:type="dxa"/>
          </w:tcPr>
          <w:p w14:paraId="5B38330E">
            <w:pPr>
              <w:pStyle w:val="14"/>
              <w:jc w:val="left"/>
              <w:rPr>
                <w:color w:val="auto"/>
              </w:rPr>
            </w:pPr>
            <w:r>
              <w:rPr>
                <w:color w:val="auto"/>
              </w:rPr>
              <w:t>情形4</w:t>
            </w:r>
          </w:p>
        </w:tc>
        <w:tc>
          <w:tcPr>
            <w:tcW w:w="4153" w:type="dxa"/>
          </w:tcPr>
          <w:p w14:paraId="38B0C7B8">
            <w:pPr>
              <w:pStyle w:val="14"/>
              <w:jc w:val="left"/>
              <w:rPr>
                <w:color w:val="auto"/>
              </w:rPr>
            </w:pPr>
            <w:r>
              <w:rPr>
                <w:color w:val="auto"/>
              </w:rPr>
              <w:t>响应文件有效期不满足磋商文件要求的；</w:t>
            </w:r>
          </w:p>
        </w:tc>
      </w:tr>
      <w:tr w14:paraId="6A56B1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6FA2023">
            <w:pPr>
              <w:pStyle w:val="14"/>
              <w:jc w:val="left"/>
              <w:rPr>
                <w:color w:val="auto"/>
              </w:rPr>
            </w:pPr>
            <w:r>
              <w:rPr>
                <w:color w:val="auto"/>
              </w:rPr>
              <w:t>5</w:t>
            </w:r>
          </w:p>
        </w:tc>
        <w:tc>
          <w:tcPr>
            <w:tcW w:w="3115" w:type="dxa"/>
          </w:tcPr>
          <w:p w14:paraId="771368D0">
            <w:pPr>
              <w:pStyle w:val="14"/>
              <w:jc w:val="left"/>
              <w:rPr>
                <w:color w:val="auto"/>
              </w:rPr>
            </w:pPr>
            <w:r>
              <w:rPr>
                <w:color w:val="auto"/>
              </w:rPr>
              <w:t>情形5</w:t>
            </w:r>
          </w:p>
        </w:tc>
        <w:tc>
          <w:tcPr>
            <w:tcW w:w="4153" w:type="dxa"/>
          </w:tcPr>
          <w:p w14:paraId="2D86E6D2">
            <w:pPr>
              <w:pStyle w:val="14"/>
              <w:jc w:val="left"/>
              <w:rPr>
                <w:color w:val="auto"/>
              </w:rPr>
            </w:pPr>
            <w:r>
              <w:rPr>
                <w:color w:val="auto"/>
              </w:rPr>
              <w:t>响应内容与磋商采购内容及要求有重大偏离或保留的，限制了采购人的权利或者减少成交人合同项下的义务；（由于磋商项目本身特点，不能详细列明采购标的的技术、服务要求的除外）；</w:t>
            </w:r>
          </w:p>
        </w:tc>
      </w:tr>
      <w:tr w14:paraId="44D56D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10B052B">
            <w:pPr>
              <w:pStyle w:val="14"/>
              <w:jc w:val="left"/>
              <w:rPr>
                <w:color w:val="auto"/>
              </w:rPr>
            </w:pPr>
            <w:r>
              <w:rPr>
                <w:color w:val="auto"/>
              </w:rPr>
              <w:t>6</w:t>
            </w:r>
          </w:p>
        </w:tc>
        <w:tc>
          <w:tcPr>
            <w:tcW w:w="3115" w:type="dxa"/>
          </w:tcPr>
          <w:p w14:paraId="78CF9CE7">
            <w:pPr>
              <w:pStyle w:val="14"/>
              <w:jc w:val="left"/>
              <w:rPr>
                <w:color w:val="auto"/>
              </w:rPr>
            </w:pPr>
            <w:r>
              <w:rPr>
                <w:color w:val="auto"/>
              </w:rPr>
              <w:t>情形6</w:t>
            </w:r>
          </w:p>
        </w:tc>
        <w:tc>
          <w:tcPr>
            <w:tcW w:w="4153" w:type="dxa"/>
          </w:tcPr>
          <w:p w14:paraId="296BA21D">
            <w:pPr>
              <w:pStyle w:val="14"/>
              <w:jc w:val="left"/>
              <w:rPr>
                <w:color w:val="auto"/>
              </w:rPr>
            </w:pPr>
            <w:r>
              <w:rPr>
                <w:color w:val="auto"/>
              </w:rPr>
              <w:t>响应文件中附有采购人无法接受的条件的；</w:t>
            </w:r>
          </w:p>
        </w:tc>
      </w:tr>
      <w:tr w14:paraId="1833A4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B6698C8">
            <w:pPr>
              <w:pStyle w:val="14"/>
              <w:jc w:val="left"/>
              <w:rPr>
                <w:color w:val="auto"/>
              </w:rPr>
            </w:pPr>
            <w:r>
              <w:rPr>
                <w:color w:val="auto"/>
              </w:rPr>
              <w:t>7</w:t>
            </w:r>
          </w:p>
        </w:tc>
        <w:tc>
          <w:tcPr>
            <w:tcW w:w="3115" w:type="dxa"/>
          </w:tcPr>
          <w:p w14:paraId="3A9A22A2">
            <w:pPr>
              <w:pStyle w:val="14"/>
              <w:jc w:val="left"/>
              <w:rPr>
                <w:color w:val="auto"/>
              </w:rPr>
            </w:pPr>
            <w:r>
              <w:rPr>
                <w:color w:val="auto"/>
              </w:rPr>
              <w:t>情形7</w:t>
            </w:r>
          </w:p>
        </w:tc>
        <w:tc>
          <w:tcPr>
            <w:tcW w:w="4153" w:type="dxa"/>
          </w:tcPr>
          <w:p w14:paraId="464AF185">
            <w:pPr>
              <w:pStyle w:val="14"/>
              <w:jc w:val="left"/>
              <w:rPr>
                <w:color w:val="auto"/>
              </w:rPr>
            </w:pPr>
            <w:r>
              <w:rPr>
                <w:color w:val="auto"/>
              </w:rPr>
              <w:t>不符合磋商文件中规定的其它实质性条款（比如：报价超过了磋商文件规定的最高限价）。</w:t>
            </w:r>
          </w:p>
        </w:tc>
      </w:tr>
    </w:tbl>
    <w:p w14:paraId="5745D85C">
      <w:pPr>
        <w:pStyle w:val="14"/>
        <w:ind w:firstLine="960"/>
        <w:jc w:val="left"/>
        <w:rPr>
          <w:color w:val="auto"/>
        </w:rPr>
      </w:pPr>
      <w:r>
        <w:rPr>
          <w:color w:val="auto"/>
        </w:rPr>
        <w:t>14.2.2其他情形</w:t>
      </w:r>
    </w:p>
    <w:p w14:paraId="1266A000">
      <w:pPr>
        <w:pStyle w:val="14"/>
        <w:jc w:val="left"/>
        <w:rPr>
          <w:color w:val="auto"/>
        </w:rPr>
      </w:pPr>
    </w:p>
    <w:p w14:paraId="100E8DED">
      <w:pPr>
        <w:pStyle w:val="14"/>
        <w:jc w:val="left"/>
        <w:rPr>
          <w:color w:val="auto"/>
        </w:rPr>
      </w:pPr>
    </w:p>
    <w:p w14:paraId="1ABD09C4">
      <w:pPr>
        <w:pStyle w:val="14"/>
        <w:jc w:val="left"/>
        <w:rPr>
          <w:color w:val="auto"/>
        </w:rPr>
      </w:pPr>
    </w:p>
    <w:p w14:paraId="2E5BC7B1">
      <w:pPr>
        <w:pStyle w:val="14"/>
        <w:jc w:val="left"/>
        <w:rPr>
          <w:color w:val="auto"/>
        </w:rPr>
      </w:pPr>
      <w:r>
        <w:rPr>
          <w:color w:val="auto"/>
        </w:rPr>
        <w:t>采购包1：</w:t>
      </w:r>
    </w:p>
    <w:p w14:paraId="5C5945E9">
      <w:pPr>
        <w:pStyle w:val="14"/>
        <w:jc w:val="left"/>
        <w:rPr>
          <w:color w:val="auto"/>
        </w:rPr>
      </w:pPr>
      <w:r>
        <w:rPr>
          <w:color w:val="auto"/>
        </w:rPr>
        <w:t>技术符合性</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AC5B4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7434248">
            <w:pPr>
              <w:pStyle w:val="14"/>
              <w:jc w:val="left"/>
              <w:rPr>
                <w:color w:val="auto"/>
              </w:rPr>
            </w:pPr>
            <w:r>
              <w:rPr>
                <w:color w:val="auto"/>
              </w:rPr>
              <w:t>情形</w:t>
            </w:r>
          </w:p>
        </w:tc>
        <w:tc>
          <w:tcPr>
            <w:tcW w:w="4153" w:type="dxa"/>
          </w:tcPr>
          <w:p w14:paraId="24517C83">
            <w:pPr>
              <w:pStyle w:val="14"/>
              <w:jc w:val="left"/>
              <w:rPr>
                <w:color w:val="auto"/>
              </w:rPr>
            </w:pPr>
            <w:r>
              <w:rPr>
                <w:color w:val="auto"/>
              </w:rPr>
              <w:t>明细</w:t>
            </w:r>
          </w:p>
        </w:tc>
      </w:tr>
      <w:tr w14:paraId="5C767B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AC004D9">
            <w:pPr>
              <w:pStyle w:val="14"/>
              <w:jc w:val="left"/>
              <w:rPr>
                <w:color w:val="auto"/>
              </w:rPr>
            </w:pPr>
            <w:r>
              <w:rPr>
                <w:color w:val="auto"/>
              </w:rPr>
              <w:t>其他情形</w:t>
            </w:r>
          </w:p>
        </w:tc>
        <w:tc>
          <w:tcPr>
            <w:tcW w:w="4153" w:type="dxa"/>
          </w:tcPr>
          <w:p w14:paraId="44EB82B6">
            <w:pPr>
              <w:pStyle w:val="14"/>
              <w:jc w:val="left"/>
              <w:rPr>
                <w:color w:val="auto"/>
              </w:rPr>
            </w:pPr>
            <w:r>
              <w:rPr>
                <w:color w:val="auto"/>
              </w:rPr>
              <w:t>若供应商的技术部分实际得分少于磋商文件设定的技术部分总分50%，即视为技术部分未实质性响应磋商文件要求，该响应文件无效。</w:t>
            </w:r>
          </w:p>
        </w:tc>
      </w:tr>
      <w:tr w14:paraId="3A5751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A3A4602">
            <w:pPr>
              <w:pStyle w:val="14"/>
              <w:jc w:val="left"/>
              <w:rPr>
                <w:color w:val="auto"/>
              </w:rPr>
            </w:pPr>
            <w:r>
              <w:rPr>
                <w:color w:val="auto"/>
              </w:rPr>
              <w:t>其他情形</w:t>
            </w:r>
          </w:p>
        </w:tc>
        <w:tc>
          <w:tcPr>
            <w:tcW w:w="4153" w:type="dxa"/>
          </w:tcPr>
          <w:p w14:paraId="1BF94C68">
            <w:pPr>
              <w:pStyle w:val="14"/>
              <w:jc w:val="left"/>
              <w:rPr>
                <w:color w:val="auto"/>
              </w:rPr>
            </w:pPr>
            <w:r>
              <w:rPr>
                <w:color w:val="auto"/>
              </w:rPr>
              <w:t>不符合磋商文件中规定的其它实质性要求条款的视为无效响应。</w:t>
            </w:r>
          </w:p>
        </w:tc>
      </w:tr>
    </w:tbl>
    <w:p w14:paraId="0D2988E0">
      <w:pPr>
        <w:pStyle w:val="14"/>
        <w:jc w:val="left"/>
        <w:rPr>
          <w:color w:val="auto"/>
        </w:rPr>
      </w:pPr>
      <w:r>
        <w:rPr>
          <w:color w:val="auto"/>
        </w:rPr>
        <w:t>商务符合性</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668D0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285871F">
            <w:pPr>
              <w:pStyle w:val="14"/>
              <w:jc w:val="left"/>
              <w:rPr>
                <w:color w:val="auto"/>
              </w:rPr>
            </w:pPr>
            <w:r>
              <w:rPr>
                <w:color w:val="auto"/>
              </w:rPr>
              <w:t>情形</w:t>
            </w:r>
          </w:p>
        </w:tc>
        <w:tc>
          <w:tcPr>
            <w:tcW w:w="4153" w:type="dxa"/>
          </w:tcPr>
          <w:p w14:paraId="04E01AE0">
            <w:pPr>
              <w:pStyle w:val="14"/>
              <w:jc w:val="left"/>
              <w:rPr>
                <w:color w:val="auto"/>
              </w:rPr>
            </w:pPr>
            <w:r>
              <w:rPr>
                <w:color w:val="auto"/>
              </w:rPr>
              <w:t>明细</w:t>
            </w:r>
          </w:p>
        </w:tc>
      </w:tr>
      <w:tr w14:paraId="2C1F86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A77C9D5">
            <w:pPr>
              <w:pStyle w:val="14"/>
              <w:jc w:val="left"/>
              <w:rPr>
                <w:color w:val="auto"/>
              </w:rPr>
            </w:pPr>
            <w:r>
              <w:rPr>
                <w:color w:val="auto"/>
              </w:rPr>
              <w:t>其他情形</w:t>
            </w:r>
          </w:p>
        </w:tc>
        <w:tc>
          <w:tcPr>
            <w:tcW w:w="4153" w:type="dxa"/>
          </w:tcPr>
          <w:p w14:paraId="716C817D">
            <w:pPr>
              <w:pStyle w:val="14"/>
              <w:jc w:val="left"/>
              <w:rPr>
                <w:color w:val="auto"/>
              </w:rPr>
            </w:pPr>
            <w:r>
              <w:rPr>
                <w:color w:val="auto"/>
              </w:rPr>
              <w:t>磋商文件第三章采购内容及要求“三、商务条件”中内容出现负偏离的视为无效响应。</w:t>
            </w:r>
          </w:p>
        </w:tc>
      </w:tr>
      <w:tr w14:paraId="796548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B17DB93">
            <w:pPr>
              <w:pStyle w:val="14"/>
              <w:jc w:val="left"/>
              <w:rPr>
                <w:color w:val="auto"/>
              </w:rPr>
            </w:pPr>
            <w:r>
              <w:rPr>
                <w:color w:val="auto"/>
              </w:rPr>
              <w:t>其他情形</w:t>
            </w:r>
          </w:p>
        </w:tc>
        <w:tc>
          <w:tcPr>
            <w:tcW w:w="4153" w:type="dxa"/>
          </w:tcPr>
          <w:p w14:paraId="3F50ADAB">
            <w:pPr>
              <w:pStyle w:val="14"/>
              <w:jc w:val="left"/>
              <w:rPr>
                <w:color w:val="auto"/>
              </w:rPr>
            </w:pPr>
            <w:r>
              <w:rPr>
                <w:color w:val="auto"/>
              </w:rPr>
              <w:t>不符合磋商文件中规定的其它实质性要求条款的视为无效响应。</w:t>
            </w:r>
          </w:p>
        </w:tc>
      </w:tr>
    </w:tbl>
    <w:p w14:paraId="7745C441">
      <w:pPr>
        <w:pStyle w:val="14"/>
        <w:jc w:val="left"/>
        <w:rPr>
          <w:color w:val="auto"/>
        </w:rPr>
      </w:pPr>
      <w:r>
        <w:rPr>
          <w:color w:val="auto"/>
        </w:rPr>
        <w:t>附加符合性：无</w:t>
      </w:r>
    </w:p>
    <w:p w14:paraId="7801E6C9">
      <w:pPr>
        <w:pStyle w:val="14"/>
        <w:jc w:val="left"/>
        <w:rPr>
          <w:color w:val="auto"/>
        </w:rPr>
      </w:pPr>
      <w:r>
        <w:rPr>
          <w:color w:val="auto"/>
        </w:rPr>
        <w:t>价格符合性</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D0E61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DE2CD54">
            <w:pPr>
              <w:pStyle w:val="14"/>
              <w:jc w:val="left"/>
              <w:rPr>
                <w:color w:val="auto"/>
              </w:rPr>
            </w:pPr>
            <w:r>
              <w:rPr>
                <w:color w:val="auto"/>
              </w:rPr>
              <w:t>情形</w:t>
            </w:r>
          </w:p>
        </w:tc>
        <w:tc>
          <w:tcPr>
            <w:tcW w:w="4153" w:type="dxa"/>
          </w:tcPr>
          <w:p w14:paraId="6DF2F982">
            <w:pPr>
              <w:pStyle w:val="14"/>
              <w:jc w:val="left"/>
              <w:rPr>
                <w:color w:val="auto"/>
              </w:rPr>
            </w:pPr>
            <w:r>
              <w:rPr>
                <w:color w:val="auto"/>
              </w:rPr>
              <w:t>明细</w:t>
            </w:r>
          </w:p>
        </w:tc>
      </w:tr>
      <w:tr w14:paraId="0040AB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9ADC78B">
            <w:pPr>
              <w:pStyle w:val="14"/>
              <w:jc w:val="left"/>
              <w:rPr>
                <w:color w:val="auto"/>
              </w:rPr>
            </w:pPr>
            <w:r>
              <w:rPr>
                <w:color w:val="auto"/>
              </w:rPr>
              <w:t>其他情形</w:t>
            </w:r>
          </w:p>
        </w:tc>
        <w:tc>
          <w:tcPr>
            <w:tcW w:w="4153" w:type="dxa"/>
          </w:tcPr>
          <w:p w14:paraId="5F4D5448">
            <w:pPr>
              <w:pStyle w:val="14"/>
              <w:jc w:val="left"/>
              <w:rPr>
                <w:color w:val="auto"/>
              </w:rPr>
            </w:pPr>
            <w:r>
              <w:rPr>
                <w:color w:val="auto"/>
              </w:rPr>
              <w:t>无</w:t>
            </w:r>
          </w:p>
        </w:tc>
      </w:tr>
    </w:tbl>
    <w:p w14:paraId="647537CB">
      <w:pPr>
        <w:pStyle w:val="14"/>
        <w:ind w:firstLine="480"/>
        <w:jc w:val="left"/>
        <w:rPr>
          <w:color w:val="auto"/>
        </w:rPr>
      </w:pPr>
      <w:r>
        <w:rPr>
          <w:color w:val="auto"/>
        </w:rPr>
        <w:t>磋商小组决定供应商的响应性只根据响应文件本身的内容，而不寻求其他的外部证据。</w:t>
      </w:r>
    </w:p>
    <w:p w14:paraId="2132581F">
      <w:pPr>
        <w:pStyle w:val="14"/>
        <w:ind w:firstLine="480"/>
        <w:jc w:val="left"/>
        <w:rPr>
          <w:color w:val="auto"/>
        </w:rPr>
      </w:pPr>
      <w:r>
        <w:rPr>
          <w:color w:val="auto"/>
        </w:rPr>
        <w:t>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14:paraId="1162D8EB">
      <w:pPr>
        <w:pStyle w:val="14"/>
        <w:ind w:firstLine="480"/>
        <w:jc w:val="left"/>
        <w:rPr>
          <w:color w:val="auto"/>
        </w:rPr>
      </w:pPr>
      <w:r>
        <w:rPr>
          <w:color w:val="auto"/>
        </w:rPr>
        <w:t>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8项。</w:t>
      </w:r>
    </w:p>
    <w:p w14:paraId="68571D63">
      <w:pPr>
        <w:pStyle w:val="14"/>
        <w:ind w:firstLine="480"/>
        <w:jc w:val="left"/>
        <w:rPr>
          <w:color w:val="auto"/>
        </w:rPr>
      </w:pPr>
      <w:r>
        <w:rPr>
          <w:color w:val="auto"/>
        </w:rPr>
        <w:t>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14:paraId="292D71FA">
      <w:pPr>
        <w:pStyle w:val="14"/>
        <w:ind w:firstLine="480"/>
        <w:jc w:val="left"/>
        <w:rPr>
          <w:color w:val="auto"/>
        </w:rPr>
      </w:pPr>
      <w:r>
        <w:rPr>
          <w:color w:val="auto"/>
        </w:rPr>
        <w:t>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14:paraId="47FE90AE">
      <w:pPr>
        <w:pStyle w:val="14"/>
        <w:ind w:firstLine="480"/>
        <w:jc w:val="left"/>
        <w:rPr>
          <w:color w:val="auto"/>
        </w:rPr>
      </w:pPr>
      <w:r>
        <w:rPr>
          <w:color w:val="auto"/>
        </w:rPr>
        <w:t>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p>
    <w:p w14:paraId="621FF952">
      <w:pPr>
        <w:pStyle w:val="14"/>
        <w:ind w:firstLine="480"/>
        <w:jc w:val="left"/>
        <w:rPr>
          <w:color w:val="auto"/>
        </w:rPr>
      </w:pPr>
      <w:r>
        <w:rPr>
          <w:color w:val="auto"/>
        </w:rPr>
        <w:t>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14:paraId="0945470D">
      <w:pPr>
        <w:pStyle w:val="14"/>
        <w:ind w:firstLine="480"/>
        <w:jc w:val="left"/>
        <w:rPr>
          <w:color w:val="auto"/>
        </w:rPr>
      </w:pPr>
      <w:r>
        <w:rPr>
          <w:color w:val="auto"/>
        </w:rPr>
        <w:t>14.9磋商小组将采用综合评分法对提交最后报价的供应商的响应文件和最后报价进行综合评分，具体评审的标准和方法详见竞争性磋商须知前附表第9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14:paraId="31C0BC8B">
      <w:pPr>
        <w:pStyle w:val="14"/>
        <w:ind w:firstLine="480"/>
        <w:jc w:val="left"/>
        <w:rPr>
          <w:color w:val="auto"/>
        </w:rPr>
      </w:pPr>
      <w:r>
        <w:rPr>
          <w:color w:val="auto"/>
        </w:rPr>
        <w:t>14.10供应商提交的响应文件和资料将给予保密，但不退回（有关证件或证照的原件除外）。</w:t>
      </w:r>
    </w:p>
    <w:p w14:paraId="02DA988A">
      <w:pPr>
        <w:pStyle w:val="14"/>
        <w:jc w:val="center"/>
        <w:outlineLvl w:val="2"/>
        <w:rPr>
          <w:color w:val="auto"/>
        </w:rPr>
      </w:pPr>
      <w:r>
        <w:rPr>
          <w:b/>
          <w:color w:val="auto"/>
          <w:sz w:val="28"/>
        </w:rPr>
        <w:t>五、合同授予</w:t>
      </w:r>
    </w:p>
    <w:p w14:paraId="5168C18D">
      <w:pPr>
        <w:pStyle w:val="14"/>
        <w:jc w:val="center"/>
        <w:rPr>
          <w:color w:val="auto"/>
        </w:rPr>
      </w:pPr>
    </w:p>
    <w:p w14:paraId="498A4D8E">
      <w:pPr>
        <w:pStyle w:val="14"/>
        <w:jc w:val="center"/>
        <w:rPr>
          <w:color w:val="auto"/>
        </w:rPr>
      </w:pPr>
      <w:r>
        <w:rPr>
          <w:color w:val="auto"/>
        </w:rPr>
        <w:t xml:space="preserve"> </w:t>
      </w:r>
    </w:p>
    <w:p w14:paraId="095234A1">
      <w:pPr>
        <w:pStyle w:val="14"/>
        <w:jc w:val="left"/>
        <w:rPr>
          <w:color w:val="auto"/>
        </w:rPr>
      </w:pPr>
      <w:r>
        <w:rPr>
          <w:b/>
          <w:color w:val="auto"/>
        </w:rPr>
        <w:t>15.授予合同的准则：</w:t>
      </w:r>
    </w:p>
    <w:p w14:paraId="62A6FFCC">
      <w:pPr>
        <w:pStyle w:val="14"/>
        <w:ind w:firstLine="480"/>
        <w:jc w:val="left"/>
        <w:rPr>
          <w:color w:val="auto"/>
        </w:rPr>
      </w:pPr>
      <w:r>
        <w:rPr>
          <w:color w:val="auto"/>
        </w:rPr>
        <w:t>15.1除不可抗力等因素外，合同将授予响应文件符合竞争性磋商文件要求，能够圆满地履行合同，且被磋商小组推荐为第一成交候选人的供应商。</w:t>
      </w:r>
    </w:p>
    <w:p w14:paraId="3BD481C5">
      <w:pPr>
        <w:pStyle w:val="14"/>
        <w:ind w:firstLine="480"/>
        <w:jc w:val="left"/>
        <w:rPr>
          <w:color w:val="auto"/>
        </w:rPr>
      </w:pPr>
      <w:r>
        <w:rPr>
          <w:color w:val="auto"/>
        </w:rP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14:paraId="3FBAF637">
      <w:pPr>
        <w:pStyle w:val="14"/>
        <w:ind w:firstLine="480"/>
        <w:jc w:val="left"/>
        <w:rPr>
          <w:color w:val="auto"/>
        </w:rPr>
      </w:pPr>
      <w:r>
        <w:rPr>
          <w:color w:val="auto"/>
        </w:rPr>
        <w:t>15.3为维护国家利益和社会公共利益，最低报价不是被授予合同的绝对保证。</w:t>
      </w:r>
    </w:p>
    <w:p w14:paraId="684FC8F7">
      <w:pPr>
        <w:pStyle w:val="14"/>
        <w:jc w:val="left"/>
        <w:rPr>
          <w:color w:val="auto"/>
        </w:rPr>
      </w:pPr>
      <w:r>
        <w:rPr>
          <w:b/>
          <w:color w:val="auto"/>
        </w:rPr>
        <w:t>16.确定成交供应商：</w:t>
      </w:r>
    </w:p>
    <w:p w14:paraId="15913F89">
      <w:pPr>
        <w:pStyle w:val="14"/>
        <w:ind w:firstLine="480"/>
        <w:jc w:val="left"/>
        <w:rPr>
          <w:color w:val="auto"/>
        </w:rPr>
      </w:pPr>
      <w:r>
        <w:rPr>
          <w:color w:val="auto"/>
        </w:rPr>
        <w:t>16.1采购人委托代理机构组织竞争性磋商采购活动的，采购代理机构在评审结束后2个工作日内将评审报告送采购人确认。</w:t>
      </w:r>
    </w:p>
    <w:p w14:paraId="40893939">
      <w:pPr>
        <w:pStyle w:val="14"/>
        <w:ind w:firstLine="480"/>
        <w:jc w:val="left"/>
        <w:rPr>
          <w:color w:val="auto"/>
        </w:rPr>
      </w:pPr>
      <w:r>
        <w:rPr>
          <w:color w:val="auto"/>
        </w:rP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14:paraId="25881250">
      <w:pPr>
        <w:pStyle w:val="14"/>
        <w:jc w:val="left"/>
        <w:rPr>
          <w:color w:val="auto"/>
        </w:rPr>
      </w:pPr>
      <w:r>
        <w:rPr>
          <w:b/>
          <w:color w:val="auto"/>
        </w:rPr>
        <w:t>17.成交通知:</w:t>
      </w:r>
    </w:p>
    <w:p w14:paraId="7A6F9D57">
      <w:pPr>
        <w:pStyle w:val="14"/>
        <w:ind w:firstLine="480"/>
        <w:jc w:val="left"/>
        <w:rPr>
          <w:color w:val="auto"/>
        </w:rPr>
      </w:pPr>
      <w:r>
        <w:rPr>
          <w:color w:val="auto"/>
        </w:rP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14:paraId="1694BD0D">
      <w:pPr>
        <w:pStyle w:val="14"/>
        <w:ind w:firstLine="480"/>
        <w:jc w:val="left"/>
        <w:rPr>
          <w:color w:val="auto"/>
        </w:rPr>
      </w:pPr>
      <w:r>
        <w:rPr>
          <w:color w:val="auto"/>
        </w:rPr>
        <w:t>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14:paraId="37D47F63">
      <w:pPr>
        <w:pStyle w:val="14"/>
        <w:jc w:val="left"/>
        <w:rPr>
          <w:color w:val="auto"/>
        </w:rPr>
      </w:pPr>
      <w:r>
        <w:rPr>
          <w:b/>
          <w:color w:val="auto"/>
        </w:rPr>
        <w:t>18.签订合同：</w:t>
      </w:r>
    </w:p>
    <w:p w14:paraId="3F0886C0">
      <w:pPr>
        <w:pStyle w:val="14"/>
        <w:ind w:firstLine="480"/>
        <w:jc w:val="left"/>
        <w:rPr>
          <w:color w:val="auto"/>
        </w:rPr>
      </w:pPr>
      <w:r>
        <w:rPr>
          <w:color w:val="auto"/>
        </w:rPr>
        <w:t>18.1采购人与成交人应当（详见须知前附表1中的18.1）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p>
    <w:p w14:paraId="2F900E84">
      <w:pPr>
        <w:pStyle w:val="14"/>
        <w:ind w:firstLine="480"/>
        <w:jc w:val="left"/>
        <w:rPr>
          <w:color w:val="auto"/>
        </w:rPr>
      </w:pPr>
      <w:r>
        <w:rPr>
          <w:color w:val="auto"/>
        </w:rPr>
        <w:t>18.2竞争性磋商文件、成交人的响应文件及其有关澄清承诺文件等，均为签订政府采购合同的依据和组成部分。</w:t>
      </w:r>
    </w:p>
    <w:p w14:paraId="1BE2F81A">
      <w:pPr>
        <w:pStyle w:val="14"/>
        <w:ind w:firstLine="480"/>
        <w:jc w:val="left"/>
        <w:rPr>
          <w:color w:val="auto"/>
        </w:rPr>
      </w:pPr>
      <w:r>
        <w:rPr>
          <w:color w:val="auto"/>
        </w:rPr>
        <w:t>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14:paraId="3193B60D">
      <w:pPr>
        <w:pStyle w:val="14"/>
        <w:jc w:val="center"/>
        <w:outlineLvl w:val="2"/>
        <w:rPr>
          <w:color w:val="auto"/>
        </w:rPr>
      </w:pPr>
      <w:r>
        <w:rPr>
          <w:b/>
          <w:color w:val="auto"/>
          <w:sz w:val="28"/>
        </w:rPr>
        <w:t>六、询问、质疑与投诉</w:t>
      </w:r>
    </w:p>
    <w:p w14:paraId="776DC27D">
      <w:pPr>
        <w:pStyle w:val="14"/>
        <w:jc w:val="left"/>
        <w:rPr>
          <w:color w:val="auto"/>
        </w:rPr>
      </w:pPr>
      <w:r>
        <w:rPr>
          <w:b/>
          <w:color w:val="auto"/>
        </w:rPr>
        <w:t>19.询问</w:t>
      </w:r>
    </w:p>
    <w:p w14:paraId="26EC0355">
      <w:pPr>
        <w:pStyle w:val="14"/>
        <w:ind w:firstLine="480"/>
        <w:jc w:val="left"/>
        <w:rPr>
          <w:color w:val="auto"/>
        </w:rPr>
      </w:pPr>
      <w:r>
        <w:rPr>
          <w:color w:val="auto"/>
        </w:rPr>
        <w:t>19.1潜在供应商或供应商对本次采购活动的有关事项若有疑问，可向采购人或采购代理机构提出询问，采购人或采购代理机构将按照政府采购法及实施条例的有关规定进行答复。</w:t>
      </w:r>
    </w:p>
    <w:p w14:paraId="2CBC9BE3">
      <w:pPr>
        <w:pStyle w:val="14"/>
        <w:jc w:val="left"/>
        <w:rPr>
          <w:color w:val="auto"/>
        </w:rPr>
      </w:pPr>
      <w:r>
        <w:rPr>
          <w:b/>
          <w:color w:val="auto"/>
        </w:rPr>
        <w:t>20.质疑</w:t>
      </w:r>
    </w:p>
    <w:p w14:paraId="02EF46F1">
      <w:pPr>
        <w:pStyle w:val="14"/>
        <w:ind w:firstLine="480"/>
        <w:jc w:val="left"/>
        <w:rPr>
          <w:color w:val="auto"/>
        </w:rPr>
      </w:pPr>
      <w:r>
        <w:rPr>
          <w:color w:val="auto"/>
        </w:rPr>
        <w:t>20.1质疑应在政府采购法及实施条例规定的时效内提出，并符合下列条件：</w:t>
      </w:r>
    </w:p>
    <w:p w14:paraId="44F20CC1">
      <w:pPr>
        <w:pStyle w:val="14"/>
        <w:ind w:firstLine="960"/>
        <w:jc w:val="left"/>
        <w:rPr>
          <w:color w:val="auto"/>
        </w:rPr>
      </w:pPr>
      <w:r>
        <w:rPr>
          <w:color w:val="auto"/>
        </w:rPr>
        <w:t>20.1.1对磋商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14:paraId="72E4A65E">
      <w:pPr>
        <w:pStyle w:val="14"/>
        <w:ind w:firstLine="960"/>
        <w:jc w:val="left"/>
        <w:rPr>
          <w:color w:val="auto"/>
        </w:rPr>
      </w:pPr>
      <w:r>
        <w:rPr>
          <w:color w:val="auto"/>
        </w:rPr>
        <w:t>20.1.2质疑人应提交质疑函原件。</w:t>
      </w:r>
    </w:p>
    <w:p w14:paraId="5BDEDD78">
      <w:pPr>
        <w:pStyle w:val="14"/>
        <w:ind w:firstLine="960"/>
        <w:jc w:val="left"/>
        <w:rPr>
          <w:color w:val="auto"/>
        </w:rPr>
      </w:pPr>
      <w:r>
        <w:rPr>
          <w:color w:val="auto"/>
        </w:rPr>
        <w:t>20.1.3质疑函应包括下列主要内容：</w:t>
      </w:r>
    </w:p>
    <w:p w14:paraId="6CF45674">
      <w:pPr>
        <w:pStyle w:val="14"/>
        <w:ind w:firstLine="960"/>
        <w:jc w:val="left"/>
        <w:rPr>
          <w:color w:val="auto"/>
        </w:rPr>
      </w:pPr>
      <w:r>
        <w:rPr>
          <w:color w:val="auto"/>
        </w:rPr>
        <w:t>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14:paraId="6500884B">
      <w:pPr>
        <w:pStyle w:val="14"/>
        <w:ind w:firstLine="960"/>
        <w:jc w:val="left"/>
        <w:rPr>
          <w:color w:val="auto"/>
        </w:rPr>
      </w:pPr>
      <w:r>
        <w:rPr>
          <w:color w:val="auto"/>
        </w:rPr>
        <w:t>②所质疑项目的基本信息，至少包括：项目编号、项目名称等；</w:t>
      </w:r>
    </w:p>
    <w:p w14:paraId="564DBAA5">
      <w:pPr>
        <w:pStyle w:val="14"/>
        <w:ind w:firstLine="960"/>
        <w:jc w:val="left"/>
        <w:rPr>
          <w:color w:val="auto"/>
        </w:rPr>
      </w:pPr>
      <w:r>
        <w:rPr>
          <w:color w:val="auto"/>
        </w:rPr>
        <w:t>③所质疑的具体事项（以下简称：“质疑事项”）；</w:t>
      </w:r>
    </w:p>
    <w:p w14:paraId="53824F8E">
      <w:pPr>
        <w:pStyle w:val="14"/>
        <w:ind w:firstLine="960"/>
        <w:jc w:val="left"/>
        <w:rPr>
          <w:color w:val="auto"/>
        </w:rPr>
      </w:pPr>
      <w:r>
        <w:rPr>
          <w:color w:val="auto"/>
        </w:rPr>
        <w:t>④质疑人自身权益受到损害的事实依据和证明材料，至少包括：</w:t>
      </w:r>
    </w:p>
    <w:p w14:paraId="74988BE9">
      <w:pPr>
        <w:pStyle w:val="14"/>
        <w:ind w:firstLine="960"/>
        <w:jc w:val="left"/>
        <w:rPr>
          <w:color w:val="auto"/>
        </w:rPr>
      </w:pPr>
      <w:r>
        <w:rPr>
          <w:color w:val="auto"/>
        </w:rPr>
        <w:t>a1所质疑的具体事项事实存在的证明材料；</w:t>
      </w:r>
    </w:p>
    <w:p w14:paraId="597B14A3">
      <w:pPr>
        <w:pStyle w:val="14"/>
        <w:ind w:firstLine="960"/>
        <w:jc w:val="left"/>
        <w:rPr>
          <w:color w:val="auto"/>
        </w:rPr>
      </w:pPr>
      <w:r>
        <w:rPr>
          <w:color w:val="auto"/>
        </w:rPr>
        <w:t>a2所质疑的具体事项事实导致质疑人自身权益受到损害的证明材料，如：采购文件、采购过程或成交结果违法违规，损害</w:t>
      </w:r>
      <w:bookmarkStart w:id="0" w:name="_GoBack"/>
      <w:bookmarkEnd w:id="0"/>
      <w:r>
        <w:rPr>
          <w:rFonts w:hint="eastAsia"/>
          <w:color w:val="auto"/>
          <w:lang w:eastAsia="zh-CN"/>
        </w:rPr>
        <w:t>自己</w:t>
      </w:r>
      <w:r>
        <w:rPr>
          <w:color w:val="auto"/>
        </w:rPr>
        <w:t>合法权益等证明材料；</w:t>
      </w:r>
    </w:p>
    <w:p w14:paraId="5C6F6A18">
      <w:pPr>
        <w:pStyle w:val="14"/>
        <w:jc w:val="left"/>
        <w:rPr>
          <w:rFonts w:hint="eastAsia" w:eastAsiaTheme="minorEastAsia"/>
          <w:color w:val="auto"/>
          <w:lang w:eastAsia="zh-CN"/>
        </w:rPr>
      </w:pPr>
      <w:r>
        <w:rPr>
          <w:color w:val="auto"/>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14:paraId="7F29B69B">
      <w:pPr>
        <w:pStyle w:val="14"/>
        <w:jc w:val="left"/>
        <w:rPr>
          <w:rFonts w:hint="eastAsia" w:eastAsiaTheme="minorEastAsia"/>
          <w:color w:val="auto"/>
          <w:lang w:eastAsia="zh-CN"/>
        </w:rPr>
      </w:pPr>
    </w:p>
    <w:p w14:paraId="64CE8A03">
      <w:pPr>
        <w:pStyle w:val="14"/>
        <w:ind w:firstLine="960"/>
        <w:jc w:val="left"/>
        <w:rPr>
          <w:color w:val="auto"/>
        </w:rPr>
      </w:pPr>
      <w:r>
        <w:rPr>
          <w:color w:val="auto"/>
        </w:rPr>
        <w:t>⑤针对质疑事项提出的明确请求和法律依据，</w:t>
      </w:r>
    </w:p>
    <w:p w14:paraId="3BD1BC40">
      <w:pPr>
        <w:pStyle w:val="14"/>
        <w:ind w:firstLine="480"/>
        <w:jc w:val="left"/>
        <w:rPr>
          <w:color w:val="auto"/>
        </w:rPr>
      </w:pPr>
      <w:r>
        <w:rPr>
          <w:color w:val="auto"/>
        </w:rP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14:paraId="5038D7B3">
      <w:pPr>
        <w:pStyle w:val="14"/>
        <w:ind w:firstLine="480"/>
        <w:jc w:val="left"/>
        <w:rPr>
          <w:color w:val="auto"/>
        </w:rPr>
      </w:pPr>
      <w:r>
        <w:rPr>
          <w:color w:val="auto"/>
        </w:rPr>
        <w:t>⑥提出质疑的日期以及质疑人代表联系方式，至少包括：姓名、手机、电子信箱、邮寄地址等。</w:t>
      </w:r>
    </w:p>
    <w:p w14:paraId="32756B69">
      <w:pPr>
        <w:pStyle w:val="14"/>
        <w:ind w:firstLine="480"/>
        <w:jc w:val="left"/>
        <w:rPr>
          <w:color w:val="auto"/>
        </w:rPr>
      </w:pPr>
      <w:r>
        <w:rPr>
          <w:color w:val="auto"/>
        </w:rPr>
        <w:t>20.2对不符合前文第20.1条规定的质疑，采购人或采购代理机构将按照下列规定进行处理：</w:t>
      </w:r>
    </w:p>
    <w:p w14:paraId="15220AB6">
      <w:pPr>
        <w:pStyle w:val="14"/>
        <w:ind w:firstLine="960"/>
        <w:jc w:val="left"/>
        <w:rPr>
          <w:color w:val="auto"/>
        </w:rPr>
      </w:pPr>
      <w:r>
        <w:rPr>
          <w:color w:val="auto"/>
        </w:rPr>
        <w:t>20.2.1超过质疑时效提交的或者质疑人不是直接参与所质疑项目采购活动的供应商，书面告知质疑人其质疑不成立的原因和理由。</w:t>
      </w:r>
    </w:p>
    <w:p w14:paraId="74E0EFB3">
      <w:pPr>
        <w:pStyle w:val="14"/>
        <w:ind w:firstLine="960"/>
        <w:jc w:val="left"/>
        <w:rPr>
          <w:color w:val="auto"/>
        </w:rPr>
      </w:pPr>
      <w:r>
        <w:rPr>
          <w:color w:val="auto"/>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14:paraId="5C2389F9">
      <w:pPr>
        <w:pStyle w:val="14"/>
        <w:ind w:firstLine="960"/>
        <w:jc w:val="left"/>
        <w:rPr>
          <w:color w:val="auto"/>
        </w:rPr>
      </w:pPr>
      <w:r>
        <w:rPr>
          <w:color w:val="auto"/>
        </w:rPr>
        <w:t>20.2.3质疑人修改、补充质疑函超过质疑时效提交的按20.2.1款处理。供应商提交质疑函时，要认真阅读本章第20条关于质疑的相关规定，以免内容或资料不齐，需要修改补充而延误时间。</w:t>
      </w:r>
    </w:p>
    <w:p w14:paraId="1E9537C7">
      <w:pPr>
        <w:pStyle w:val="14"/>
        <w:ind w:firstLine="480"/>
        <w:jc w:val="left"/>
        <w:rPr>
          <w:color w:val="auto"/>
        </w:rPr>
      </w:pPr>
      <w:r>
        <w:rPr>
          <w:color w:val="auto"/>
        </w:rPr>
        <w:t>20.3对符合前文第20.1条规定的质疑，采购人或采购代理机构将按照政府采购法及实施条例的有关规定进行答复。</w:t>
      </w:r>
    </w:p>
    <w:p w14:paraId="7223D67D">
      <w:pPr>
        <w:pStyle w:val="14"/>
        <w:jc w:val="left"/>
        <w:rPr>
          <w:color w:val="auto"/>
        </w:rPr>
      </w:pPr>
      <w:r>
        <w:rPr>
          <w:b/>
          <w:color w:val="auto"/>
        </w:rPr>
        <w:t>21.投诉</w:t>
      </w:r>
    </w:p>
    <w:p w14:paraId="4CF9907A">
      <w:pPr>
        <w:pStyle w:val="14"/>
        <w:ind w:firstLine="480"/>
        <w:jc w:val="left"/>
        <w:rPr>
          <w:color w:val="auto"/>
        </w:rPr>
      </w:pPr>
      <w:r>
        <w:rPr>
          <w:color w:val="auto"/>
        </w:rPr>
        <w:t>21.1若对质疑答复不满意或质疑答复未在答复期限内作出，质疑人可在答复期限届满之日起15个工作日内向磋商文件中载明的监督管理部门投诉。</w:t>
      </w:r>
    </w:p>
    <w:p w14:paraId="7C3726C6">
      <w:pPr>
        <w:pStyle w:val="14"/>
        <w:ind w:firstLine="480"/>
        <w:jc w:val="left"/>
        <w:rPr>
          <w:color w:val="auto"/>
        </w:rPr>
      </w:pPr>
      <w:r>
        <w:rPr>
          <w:color w:val="auto"/>
        </w:rPr>
        <w:t>21.2投诉应有明确的请求和必要的证明材料，投诉的事项不得超出已质疑事项的范围。</w:t>
      </w:r>
    </w:p>
    <w:p w14:paraId="53D3EAA7">
      <w:pPr>
        <w:pStyle w:val="14"/>
        <w:jc w:val="center"/>
        <w:outlineLvl w:val="2"/>
        <w:rPr>
          <w:color w:val="auto"/>
        </w:rPr>
      </w:pPr>
      <w:r>
        <w:rPr>
          <w:b/>
          <w:color w:val="auto"/>
          <w:sz w:val="28"/>
        </w:rPr>
        <w:t>七、有关信息公告和监督部门</w:t>
      </w:r>
    </w:p>
    <w:p w14:paraId="6D65F265">
      <w:pPr>
        <w:pStyle w:val="14"/>
        <w:jc w:val="left"/>
        <w:rPr>
          <w:color w:val="auto"/>
        </w:rPr>
      </w:pPr>
      <w:r>
        <w:rPr>
          <w:color w:val="auto"/>
        </w:rPr>
        <w:t>22.政府采购信息公告媒体</w:t>
      </w:r>
    </w:p>
    <w:p w14:paraId="071590B2">
      <w:pPr>
        <w:pStyle w:val="14"/>
        <w:ind w:firstLine="480"/>
        <w:jc w:val="left"/>
        <w:rPr>
          <w:color w:val="auto"/>
        </w:rPr>
      </w:pPr>
      <w:r>
        <w:rPr>
          <w:color w:val="auto"/>
        </w:rPr>
        <w:t>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14:paraId="1F635338">
      <w:pPr>
        <w:pStyle w:val="14"/>
        <w:ind w:firstLine="480"/>
        <w:jc w:val="left"/>
        <w:rPr>
          <w:color w:val="auto"/>
        </w:rPr>
      </w:pPr>
      <w:r>
        <w:rPr>
          <w:color w:val="auto"/>
        </w:rPr>
        <w:t>22.2信息公告指定媒体：详见竞争性磋商须知前附表第11项。</w:t>
      </w:r>
    </w:p>
    <w:p w14:paraId="00FCC43E">
      <w:pPr>
        <w:pStyle w:val="14"/>
        <w:jc w:val="left"/>
        <w:rPr>
          <w:color w:val="auto"/>
        </w:rPr>
      </w:pPr>
      <w:r>
        <w:rPr>
          <w:color w:val="auto"/>
        </w:rPr>
        <w:t>23.监督管理部门</w:t>
      </w:r>
    </w:p>
    <w:p w14:paraId="7CC9CFD1">
      <w:pPr>
        <w:pStyle w:val="14"/>
        <w:ind w:firstLine="480"/>
        <w:jc w:val="left"/>
        <w:rPr>
          <w:color w:val="auto"/>
        </w:rPr>
      </w:pPr>
      <w:r>
        <w:rPr>
          <w:color w:val="auto"/>
        </w:rPr>
        <w:t>23.1磋商采购活动的监督管理部门详见竞争性磋商须知前附表第12项。</w:t>
      </w:r>
    </w:p>
    <w:p w14:paraId="1733955D">
      <w:pPr>
        <w:pStyle w:val="14"/>
        <w:jc w:val="center"/>
        <w:outlineLvl w:val="2"/>
        <w:rPr>
          <w:color w:val="auto"/>
        </w:rPr>
      </w:pPr>
      <w:r>
        <w:rPr>
          <w:b/>
          <w:color w:val="auto"/>
          <w:sz w:val="28"/>
        </w:rPr>
        <w:t>八、政府采购政策</w:t>
      </w:r>
    </w:p>
    <w:p w14:paraId="38DA3657">
      <w:pPr>
        <w:pStyle w:val="14"/>
        <w:jc w:val="left"/>
        <w:rPr>
          <w:color w:val="auto"/>
        </w:rPr>
      </w:pPr>
      <w:r>
        <w:rPr>
          <w:color w:val="auto"/>
        </w:rPr>
        <w:t>24、政府采购政策由财政部根据国家的经济和社会发展政策并会同国家有关部委制定，包括但不限于下列管理办法或措施：</w:t>
      </w:r>
    </w:p>
    <w:p w14:paraId="49EC4517">
      <w:pPr>
        <w:pStyle w:val="14"/>
        <w:ind w:firstLine="480"/>
        <w:jc w:val="left"/>
        <w:rPr>
          <w:color w:val="auto"/>
        </w:rPr>
      </w:pPr>
      <w:r>
        <w:rPr>
          <w:color w:val="auto"/>
        </w:rPr>
        <w:t>24.1进口产品指通过中国海关报关验放进入中国境内且产自关境外的产品，其中：</w:t>
      </w:r>
    </w:p>
    <w:p w14:paraId="62A3381A">
      <w:pPr>
        <w:pStyle w:val="14"/>
        <w:ind w:firstLine="480"/>
        <w:jc w:val="left"/>
        <w:rPr>
          <w:color w:val="auto"/>
        </w:rPr>
      </w:pPr>
      <w:r>
        <w:rPr>
          <w:color w:val="auto"/>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371C89BC">
      <w:pPr>
        <w:pStyle w:val="14"/>
        <w:ind w:firstLine="480"/>
        <w:jc w:val="left"/>
        <w:rPr>
          <w:color w:val="auto"/>
        </w:rPr>
      </w:pPr>
      <w:r>
        <w:rPr>
          <w:color w:val="auto"/>
        </w:rPr>
        <w:t>（2）凡在海关特殊监管区域内企业生产或加工（包括从境外进口料件）销往境内其他地区的产品，不作为政府采购项下进口产品。</w:t>
      </w:r>
    </w:p>
    <w:p w14:paraId="73EBC40F">
      <w:pPr>
        <w:pStyle w:val="14"/>
        <w:ind w:firstLine="480"/>
        <w:jc w:val="left"/>
        <w:rPr>
          <w:color w:val="auto"/>
        </w:rPr>
      </w:pPr>
      <w:r>
        <w:rPr>
          <w:color w:val="auto"/>
        </w:rPr>
        <w:t>（3）对从境外进入海关特殊监管区域，再经办理报关手续后从海关特殊监管区进入境内其他地区的产品，认定为进口产品。</w:t>
      </w:r>
    </w:p>
    <w:p w14:paraId="4F8EF14D">
      <w:pPr>
        <w:pStyle w:val="14"/>
        <w:ind w:firstLine="480"/>
        <w:jc w:val="left"/>
        <w:rPr>
          <w:color w:val="auto"/>
        </w:rPr>
      </w:pPr>
      <w:r>
        <w:rPr>
          <w:color w:val="auto"/>
        </w:rPr>
        <w:t>（4）磋商文件列明不允许或未列明允许进口产品参加报价的，均视为拒绝进口产品参加报价。</w:t>
      </w:r>
    </w:p>
    <w:p w14:paraId="0BC4908A">
      <w:pPr>
        <w:pStyle w:val="14"/>
        <w:ind w:firstLine="480"/>
        <w:jc w:val="left"/>
        <w:rPr>
          <w:color w:val="auto"/>
        </w:rPr>
      </w:pPr>
      <w:r>
        <w:rPr>
          <w:color w:val="auto"/>
        </w:rPr>
        <w:t>24.2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7D117F9E">
      <w:pPr>
        <w:pStyle w:val="14"/>
        <w:ind w:firstLine="480"/>
        <w:jc w:val="left"/>
        <w:rPr>
          <w:color w:val="auto"/>
        </w:rPr>
      </w:pPr>
      <w:r>
        <w:rPr>
          <w:color w:val="auto"/>
        </w:rPr>
        <w:t>24.3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14:paraId="0E7D89FF">
      <w:pPr>
        <w:pStyle w:val="14"/>
        <w:ind w:firstLine="480"/>
        <w:jc w:val="left"/>
        <w:rPr>
          <w:color w:val="auto"/>
        </w:rPr>
      </w:pPr>
      <w:r>
        <w:rPr>
          <w:color w:val="auto"/>
        </w:rPr>
        <w:t>24.4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7588425A">
      <w:pPr>
        <w:pStyle w:val="14"/>
        <w:ind w:firstLine="480"/>
        <w:jc w:val="left"/>
        <w:rPr>
          <w:color w:val="auto"/>
        </w:rPr>
      </w:pPr>
      <w:r>
        <w:rPr>
          <w:color w:val="auto"/>
        </w:rPr>
        <w:t>（1）中小企业指符合下列条件的中型、小型、微型企业：</w:t>
      </w:r>
    </w:p>
    <w:p w14:paraId="4C27BF32">
      <w:pPr>
        <w:pStyle w:val="14"/>
        <w:ind w:firstLine="480"/>
        <w:jc w:val="left"/>
        <w:rPr>
          <w:color w:val="auto"/>
        </w:rPr>
      </w:pPr>
      <w:r>
        <w:rPr>
          <w:color w:val="auto"/>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15832344">
      <w:pPr>
        <w:pStyle w:val="14"/>
        <w:ind w:firstLine="480"/>
        <w:jc w:val="left"/>
        <w:rPr>
          <w:color w:val="auto"/>
        </w:rPr>
      </w:pPr>
      <w:r>
        <w:rPr>
          <w:color w:val="auto"/>
        </w:rPr>
        <w:t>②符合中小企业划分标准的个体工商户，在政府采购活动中视同中小企业。</w:t>
      </w:r>
    </w:p>
    <w:p w14:paraId="51CE6D30">
      <w:pPr>
        <w:pStyle w:val="14"/>
        <w:ind w:firstLine="480"/>
        <w:jc w:val="left"/>
        <w:rPr>
          <w:color w:val="auto"/>
        </w:rPr>
      </w:pPr>
      <w:r>
        <w:rPr>
          <w:color w:val="auto"/>
        </w:rPr>
        <w:t>（2）在政府采购活动中，供应商提供的货物、工程或者服务符合下列情形的，享受本办法规定的中小企业扶持政策：</w:t>
      </w:r>
    </w:p>
    <w:p w14:paraId="66178723">
      <w:pPr>
        <w:pStyle w:val="14"/>
        <w:ind w:firstLine="480"/>
        <w:jc w:val="left"/>
        <w:rPr>
          <w:color w:val="auto"/>
        </w:rPr>
      </w:pPr>
      <w:r>
        <w:rPr>
          <w:color w:val="auto"/>
        </w:rPr>
        <w:t>①在货物采购项目中，货物由中小企业制造，即货物由中小企业生产且使用该中小企业商号或者注册商标；</w:t>
      </w:r>
    </w:p>
    <w:p w14:paraId="63BFDF83">
      <w:pPr>
        <w:pStyle w:val="14"/>
        <w:ind w:firstLine="480"/>
        <w:jc w:val="left"/>
        <w:rPr>
          <w:color w:val="auto"/>
        </w:rPr>
      </w:pPr>
      <w:r>
        <w:rPr>
          <w:color w:val="auto"/>
        </w:rPr>
        <w:t>②在工程采购项目中，工程由中小企业承建，即工程施工单位为中小企业；</w:t>
      </w:r>
    </w:p>
    <w:p w14:paraId="48766A88">
      <w:pPr>
        <w:pStyle w:val="14"/>
        <w:ind w:firstLine="480"/>
        <w:jc w:val="left"/>
        <w:rPr>
          <w:color w:val="auto"/>
        </w:rPr>
      </w:pPr>
      <w:r>
        <w:rPr>
          <w:color w:val="auto"/>
        </w:rPr>
        <w:t>③在服务采购项目中，服务由中小企业承接，即提供服务的人员为中小企业依照《中华人民共和国劳动合同法》 订立劳动合同的从业人员。</w:t>
      </w:r>
    </w:p>
    <w:p w14:paraId="238C49E2">
      <w:pPr>
        <w:pStyle w:val="14"/>
        <w:ind w:firstLine="480"/>
        <w:jc w:val="left"/>
        <w:rPr>
          <w:color w:val="auto"/>
        </w:rPr>
      </w:pPr>
      <w:r>
        <w:rPr>
          <w:color w:val="auto"/>
        </w:rPr>
        <w:t>在货物采购项目中，供应商提供的货物既有中小企业制造货物，也有大型企业制造货物的，不享受本办法规定的中小企业扶持政策。</w:t>
      </w:r>
    </w:p>
    <w:p w14:paraId="2E372AE1">
      <w:pPr>
        <w:pStyle w:val="14"/>
        <w:ind w:firstLine="480"/>
        <w:jc w:val="left"/>
        <w:rPr>
          <w:color w:val="auto"/>
        </w:rPr>
      </w:pPr>
      <w:r>
        <w:rPr>
          <w:color w:val="auto"/>
        </w:rPr>
        <w:t>以联合体形式参加政府采购活动，联合体各方均为中小企业的，联合体视同中小企业。其中，联合体各方均为小微企业的，联合体视同小微企业。</w:t>
      </w:r>
    </w:p>
    <w:p w14:paraId="7B1BA3EF">
      <w:pPr>
        <w:pStyle w:val="14"/>
        <w:ind w:firstLine="480"/>
        <w:jc w:val="left"/>
        <w:rPr>
          <w:color w:val="auto"/>
        </w:rPr>
      </w:pPr>
      <w:r>
        <w:rPr>
          <w:color w:val="auto"/>
        </w:rPr>
        <w:t>（3）供应商应当按照磋商文件明确的采购标的对应行业的划分标准出具中小企业声明函。</w:t>
      </w:r>
    </w:p>
    <w:p w14:paraId="2CD6381F">
      <w:pPr>
        <w:pStyle w:val="14"/>
        <w:ind w:firstLine="480"/>
        <w:jc w:val="left"/>
        <w:rPr>
          <w:color w:val="auto"/>
        </w:rPr>
      </w:pPr>
      <w:r>
        <w:rPr>
          <w:color w:val="auto"/>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0A6B971B">
      <w:pPr>
        <w:pStyle w:val="14"/>
        <w:ind w:firstLine="480"/>
        <w:jc w:val="left"/>
        <w:rPr>
          <w:color w:val="auto"/>
        </w:rPr>
      </w:pPr>
      <w:r>
        <w:rPr>
          <w:color w:val="auto"/>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3C028B6D">
      <w:pPr>
        <w:pStyle w:val="14"/>
        <w:ind w:firstLine="480"/>
        <w:jc w:val="left"/>
        <w:rPr>
          <w:color w:val="auto"/>
        </w:rPr>
      </w:pPr>
      <w:r>
        <w:rPr>
          <w:color w:val="auto"/>
        </w:rPr>
        <w:t>①监狱企业参加采购活动时，应提供由省级以上监狱管理局、戒毒管理局（含新疆生产建设兵团）出具的属于监狱企业的证明文件。</w:t>
      </w:r>
    </w:p>
    <w:p w14:paraId="09BFE467">
      <w:pPr>
        <w:pStyle w:val="14"/>
        <w:ind w:firstLine="480"/>
        <w:jc w:val="left"/>
        <w:rPr>
          <w:color w:val="auto"/>
        </w:rPr>
      </w:pPr>
      <w:r>
        <w:rPr>
          <w:color w:val="auto"/>
        </w:rPr>
        <w:t>②监狱企业视同小型、微型企业。</w:t>
      </w:r>
    </w:p>
    <w:p w14:paraId="092644B2">
      <w:pPr>
        <w:pStyle w:val="14"/>
        <w:ind w:firstLine="480"/>
        <w:jc w:val="left"/>
        <w:rPr>
          <w:color w:val="auto"/>
        </w:rPr>
      </w:pPr>
      <w:r>
        <w:rPr>
          <w:color w:val="auto"/>
        </w:rPr>
        <w:t>（5）残疾人福利性单位指同时符合下列条件的单位：</w:t>
      </w:r>
    </w:p>
    <w:p w14:paraId="03B3EFFF">
      <w:pPr>
        <w:pStyle w:val="14"/>
        <w:ind w:firstLine="480"/>
        <w:jc w:val="left"/>
        <w:rPr>
          <w:color w:val="auto"/>
        </w:rPr>
      </w:pPr>
      <w:r>
        <w:rPr>
          <w:color w:val="auto"/>
        </w:rPr>
        <w:t>①安置的残疾人占本单位在职职工人数的比例不低于25%（含25%），并且安置的残疾人人数不少于10人（含10人）；</w:t>
      </w:r>
    </w:p>
    <w:p w14:paraId="484C5FE5">
      <w:pPr>
        <w:pStyle w:val="14"/>
        <w:ind w:firstLine="480"/>
        <w:jc w:val="left"/>
        <w:rPr>
          <w:color w:val="auto"/>
        </w:rPr>
      </w:pPr>
      <w:r>
        <w:rPr>
          <w:color w:val="auto"/>
        </w:rPr>
        <w:t>②依法与安置的每位残疾人签订了一年以上（含一年）的劳动合同或服务协议；</w:t>
      </w:r>
    </w:p>
    <w:p w14:paraId="40568B74">
      <w:pPr>
        <w:pStyle w:val="14"/>
        <w:ind w:firstLine="480"/>
        <w:jc w:val="left"/>
        <w:rPr>
          <w:color w:val="auto"/>
        </w:rPr>
      </w:pPr>
      <w:r>
        <w:rPr>
          <w:color w:val="auto"/>
        </w:rPr>
        <w:t>③为安置的每位残疾人按月足额缴纳了基本养老保险、基本医疗保险、失业保险、工伤保险和生育保险等社会保险费；</w:t>
      </w:r>
    </w:p>
    <w:p w14:paraId="23A96DB3">
      <w:pPr>
        <w:pStyle w:val="14"/>
        <w:ind w:firstLine="480"/>
        <w:jc w:val="left"/>
        <w:rPr>
          <w:color w:val="auto"/>
        </w:rPr>
      </w:pPr>
      <w:r>
        <w:rPr>
          <w:color w:val="auto"/>
        </w:rPr>
        <w:t>④通过银行等金融机构向安置的每位残疾人，按月支付了不低于单位所在区县适用的经省级人民政府批准的月最低工资标准的工资；</w:t>
      </w:r>
    </w:p>
    <w:p w14:paraId="06738A0C">
      <w:pPr>
        <w:pStyle w:val="14"/>
        <w:ind w:firstLine="480"/>
        <w:jc w:val="left"/>
        <w:rPr>
          <w:color w:val="auto"/>
        </w:rPr>
      </w:pPr>
      <w:r>
        <w:rPr>
          <w:color w:val="auto"/>
        </w:rPr>
        <w:t>⑤提供本单位制造的货物、承担的工程或服务，或提供其他残疾人福利性单位制造的货物（不包括使用非残疾人福利性单位注册商标的货物）。</w:t>
      </w:r>
    </w:p>
    <w:p w14:paraId="334A6497">
      <w:pPr>
        <w:pStyle w:val="14"/>
        <w:ind w:firstLine="480"/>
        <w:jc w:val="left"/>
        <w:rPr>
          <w:color w:val="auto"/>
        </w:rPr>
      </w:pPr>
      <w:r>
        <w:rPr>
          <w:color w:val="auto"/>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2B0F5F84">
      <w:pPr>
        <w:pStyle w:val="14"/>
        <w:ind w:firstLine="480"/>
        <w:jc w:val="left"/>
        <w:rPr>
          <w:color w:val="auto"/>
        </w:rPr>
      </w:pPr>
      <w:r>
        <w:rPr>
          <w:b/>
          <w:color w:val="auto"/>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7A2F7E6A">
      <w:pPr>
        <w:pStyle w:val="14"/>
        <w:ind w:firstLine="480"/>
        <w:jc w:val="left"/>
        <w:rPr>
          <w:color w:val="auto"/>
        </w:rPr>
      </w:pPr>
      <w:r>
        <w:rPr>
          <w:color w:val="auto"/>
        </w:rPr>
        <w:t>24.5信用记录指由财政部确定的有关网站提供的相关主体信用信息。信用记录的查询及使用应符合财政部文件（财库[2016]125号）规定。</w:t>
      </w:r>
    </w:p>
    <w:p w14:paraId="74F3F733">
      <w:pPr>
        <w:pStyle w:val="14"/>
        <w:jc w:val="center"/>
        <w:outlineLvl w:val="2"/>
        <w:rPr>
          <w:color w:val="auto"/>
        </w:rPr>
      </w:pPr>
      <w:r>
        <w:rPr>
          <w:b/>
          <w:color w:val="auto"/>
          <w:sz w:val="28"/>
        </w:rPr>
        <w:t>九、根据采购项目特点或政策需要补充的其他内容</w:t>
      </w:r>
    </w:p>
    <w:p w14:paraId="38328D81">
      <w:pPr>
        <w:pStyle w:val="14"/>
        <w:jc w:val="left"/>
        <w:rPr>
          <w:color w:val="auto"/>
        </w:rPr>
      </w:pPr>
      <w:r>
        <w:rPr>
          <w:color w:val="auto"/>
        </w:rPr>
        <w:t>25.履约保证金</w:t>
      </w:r>
    </w:p>
    <w:p w14:paraId="54BFD3DE">
      <w:pPr>
        <w:pStyle w:val="14"/>
        <w:ind w:firstLine="480"/>
        <w:jc w:val="left"/>
        <w:rPr>
          <w:color w:val="auto"/>
        </w:rPr>
      </w:pPr>
      <w:r>
        <w:rPr>
          <w:color w:val="auto"/>
        </w:rPr>
        <w:t>25.1采购人可以根据项目特点和需要，确定是否要求成交人在合同签订前，按照磋商文件规定的时间、形式、金额提交履约保证金，履约保证金的数额不超过中标合同金额的10%，具体详见磋商须知前附表第13项规定。</w:t>
      </w:r>
    </w:p>
    <w:p w14:paraId="0B75EECA">
      <w:pPr>
        <w:pStyle w:val="14"/>
        <w:ind w:firstLine="480"/>
        <w:jc w:val="left"/>
        <w:rPr>
          <w:color w:val="auto"/>
        </w:rPr>
      </w:pPr>
      <w:r>
        <w:rPr>
          <w:color w:val="auto"/>
        </w:rPr>
        <w:t>25.2磋商文件要求在合同签订前提交履约保证金，如果成交人无故拖延或者拒不提交履约保证金的，则视为成交人拒绝与采购人签订合同，该成交人将承担违法行为的法律责任。</w:t>
      </w:r>
    </w:p>
    <w:p w14:paraId="2658791A">
      <w:pPr>
        <w:pStyle w:val="14"/>
        <w:jc w:val="left"/>
        <w:rPr>
          <w:color w:val="auto"/>
        </w:rPr>
      </w:pPr>
      <w:r>
        <w:rPr>
          <w:color w:val="auto"/>
        </w:rPr>
        <w:t>26.其他新增内容：</w:t>
      </w:r>
    </w:p>
    <w:p w14:paraId="2C6DB5BC">
      <w:pPr>
        <w:pStyle w:val="14"/>
        <w:ind w:firstLine="480"/>
        <w:jc w:val="left"/>
        <w:rPr>
          <w:color w:val="auto"/>
        </w:rPr>
      </w:pPr>
      <w:r>
        <w:rPr>
          <w:color w:val="auto"/>
        </w:rPr>
        <w:t>26.1根据采购项目特点或政策需要补充的其他新增内容详见竞争性磋商须知前附表第14项。</w:t>
      </w:r>
    </w:p>
    <w:p w14:paraId="5DCC7B7A">
      <w:pPr>
        <w:pStyle w:val="14"/>
        <w:ind w:firstLine="480"/>
        <w:jc w:val="left"/>
        <w:rPr>
          <w:color w:val="auto"/>
        </w:rPr>
      </w:pPr>
      <w:r>
        <w:rPr>
          <w:color w:val="auto"/>
        </w:rPr>
        <w:t>26.2本项目中如涉及商品包装和快递包装的，其包装需求标准应不低于《关于印发〈商品包装政府采购需求标准(试行)〉、〈快递包装政府采购需求标准(试行)〉的通知》（财办库〔2020〕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123号）规定的包装要求，其他包装需求详见采购文件具体规定。采购人、成交人双方签订合同及验收环节，应包含上述包装要求的条款。</w:t>
      </w:r>
    </w:p>
    <w:p w14:paraId="73F34860">
      <w:pPr>
        <w:pStyle w:val="14"/>
        <w:jc w:val="left"/>
        <w:rPr>
          <w:color w:val="auto"/>
        </w:rPr>
      </w:pPr>
    </w:p>
    <w:p w14:paraId="264D4035">
      <w:pPr>
        <w:pStyle w:val="14"/>
        <w:jc w:val="left"/>
        <w:rPr>
          <w:color w:val="auto"/>
        </w:rPr>
      </w:pPr>
      <w:r>
        <w:rPr>
          <w:color w:val="auto"/>
        </w:rPr>
        <w:t xml:space="preserve"> </w:t>
      </w:r>
    </w:p>
    <w:p w14:paraId="7077CCC3">
      <w:pPr>
        <w:pStyle w:val="14"/>
        <w:jc w:val="center"/>
        <w:outlineLvl w:val="1"/>
        <w:rPr>
          <w:color w:val="auto"/>
        </w:rPr>
      </w:pPr>
      <w:r>
        <w:rPr>
          <w:b/>
          <w:color w:val="auto"/>
          <w:sz w:val="36"/>
        </w:rPr>
        <w:t>第三章  采购内容及要求</w:t>
      </w:r>
    </w:p>
    <w:p w14:paraId="3D97E5FC">
      <w:pPr>
        <w:pStyle w:val="14"/>
        <w:jc w:val="left"/>
        <w:outlineLvl w:val="2"/>
        <w:rPr>
          <w:color w:val="auto"/>
        </w:rPr>
      </w:pPr>
      <w:r>
        <w:rPr>
          <w:b/>
          <w:color w:val="auto"/>
          <w:sz w:val="28"/>
        </w:rPr>
        <w:t>一、（根据本项目实际情况，填写“采购标的”或“项目概况”）</w:t>
      </w:r>
    </w:p>
    <w:p w14:paraId="06E02C11">
      <w:pPr>
        <w:pStyle w:val="14"/>
        <w:jc w:val="left"/>
        <w:rPr>
          <w:color w:val="auto"/>
        </w:rPr>
      </w:pPr>
    </w:p>
    <w:p w14:paraId="6CACC26C">
      <w:pPr>
        <w:pStyle w:val="14"/>
        <w:jc w:val="left"/>
        <w:rPr>
          <w:color w:val="auto"/>
        </w:rPr>
      </w:pPr>
    </w:p>
    <w:p w14:paraId="2190C3AE">
      <w:pPr>
        <w:pStyle w:val="14"/>
        <w:spacing w:before="75" w:after="75"/>
        <w:jc w:val="left"/>
        <w:rPr>
          <w:color w:val="auto"/>
        </w:rPr>
      </w:pPr>
      <w:r>
        <w:rPr>
          <w:rFonts w:ascii="宋体" w:hAnsi="宋体" w:eastAsia="宋体" w:cs="宋体"/>
          <w:color w:val="auto"/>
          <w:sz w:val="24"/>
        </w:rPr>
        <w:t>项目概况（采购标的）</w:t>
      </w:r>
    </w:p>
    <w:p w14:paraId="2764AC9C">
      <w:pPr>
        <w:pStyle w:val="14"/>
        <w:ind w:firstLine="480"/>
        <w:jc w:val="left"/>
        <w:rPr>
          <w:rFonts w:hint="eastAsia" w:eastAsia="宋体"/>
          <w:color w:val="auto"/>
          <w:lang w:eastAsia="zh-CN"/>
        </w:rPr>
      </w:pPr>
      <w:r>
        <w:rPr>
          <w:rFonts w:ascii="宋体" w:hAnsi="宋体" w:eastAsia="宋体" w:cs="宋体"/>
          <w:color w:val="auto"/>
          <w:sz w:val="24"/>
        </w:rPr>
        <w:t>1、项目名称：</w:t>
      </w:r>
      <w:r>
        <w:rPr>
          <w:rFonts w:hint="eastAsia" w:ascii="宋体" w:hAnsi="宋体" w:eastAsia="宋体" w:cs="宋体"/>
          <w:color w:val="auto"/>
          <w:sz w:val="24"/>
          <w:lang w:eastAsia="zh-CN"/>
        </w:rPr>
        <w:t>大田七中运动场提升改造工程</w:t>
      </w:r>
    </w:p>
    <w:p w14:paraId="79E84E18">
      <w:pPr>
        <w:pStyle w:val="14"/>
        <w:ind w:firstLine="480"/>
        <w:jc w:val="left"/>
        <w:rPr>
          <w:color w:val="auto"/>
        </w:rPr>
      </w:pPr>
      <w:r>
        <w:rPr>
          <w:rFonts w:ascii="宋体" w:hAnsi="宋体" w:eastAsia="宋体" w:cs="宋体"/>
          <w:color w:val="auto"/>
          <w:sz w:val="24"/>
        </w:rPr>
        <w:t>2、建设地点：</w:t>
      </w:r>
      <w:r>
        <w:rPr>
          <w:rFonts w:hint="eastAsia" w:ascii="宋体" w:hAnsi="宋体" w:eastAsia="宋体" w:cs="宋体"/>
          <w:color w:val="auto"/>
          <w:sz w:val="24"/>
          <w:lang w:eastAsia="zh-CN"/>
        </w:rPr>
        <w:t>大田县第七中学</w:t>
      </w:r>
      <w:r>
        <w:rPr>
          <w:rFonts w:ascii="宋体" w:hAnsi="宋体" w:eastAsia="宋体" w:cs="宋体"/>
          <w:color w:val="auto"/>
          <w:sz w:val="24"/>
        </w:rPr>
        <w:t>校园内</w:t>
      </w:r>
    </w:p>
    <w:p w14:paraId="73004E3A">
      <w:pPr>
        <w:pStyle w:val="14"/>
        <w:ind w:firstLine="480"/>
        <w:jc w:val="left"/>
        <w:rPr>
          <w:color w:val="auto"/>
        </w:rPr>
      </w:pPr>
      <w:r>
        <w:rPr>
          <w:rFonts w:ascii="宋体" w:hAnsi="宋体" w:eastAsia="宋体" w:cs="宋体"/>
          <w:color w:val="auto"/>
          <w:sz w:val="24"/>
        </w:rPr>
        <w:t>3、工程建设内容：以招标人提供的工程量清单及补充通知、补充说明为准 ；项目建设具体内容以</w:t>
      </w:r>
      <w:r>
        <w:rPr>
          <w:rFonts w:hint="eastAsia" w:ascii="宋体" w:hAnsi="宋体" w:eastAsia="宋体" w:cs="宋体"/>
          <w:color w:val="auto"/>
          <w:sz w:val="24"/>
          <w:lang w:eastAsia="zh-CN"/>
        </w:rPr>
        <w:t>大田七中运动场提升改造工程</w:t>
      </w:r>
      <w:r>
        <w:rPr>
          <w:rFonts w:hint="eastAsia" w:ascii="宋体" w:hAnsi="宋体" w:eastAsia="宋体" w:cs="宋体"/>
          <w:color w:val="auto"/>
          <w:sz w:val="24"/>
          <w:lang w:val="en-US" w:eastAsia="zh-CN"/>
        </w:rPr>
        <w:t>图纸</w:t>
      </w:r>
      <w:r>
        <w:rPr>
          <w:rFonts w:ascii="宋体" w:hAnsi="宋体" w:eastAsia="宋体" w:cs="宋体"/>
          <w:color w:val="auto"/>
          <w:sz w:val="24"/>
        </w:rPr>
        <w:t>文件为准。本项目设计若有遗漏或不足、施工图纸与清单不一致的，以本招标文件的技术服务要求内容为准。</w:t>
      </w:r>
    </w:p>
    <w:p w14:paraId="16690088">
      <w:pPr>
        <w:pStyle w:val="14"/>
        <w:ind w:firstLine="480"/>
        <w:jc w:val="left"/>
        <w:rPr>
          <w:color w:val="auto"/>
        </w:rPr>
      </w:pPr>
      <w:r>
        <w:rPr>
          <w:rFonts w:ascii="宋体" w:hAnsi="宋体" w:eastAsia="宋体" w:cs="宋体"/>
          <w:color w:val="auto"/>
          <w:sz w:val="24"/>
        </w:rPr>
        <w:t>4、工期要求：</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0日历天</w:t>
      </w:r>
      <w:r>
        <w:rPr>
          <w:rFonts w:ascii="宋体" w:hAnsi="宋体" w:eastAsia="宋体" w:cs="宋体"/>
          <w:color w:val="auto"/>
          <w:sz w:val="24"/>
        </w:rPr>
        <w:t>；</w:t>
      </w:r>
    </w:p>
    <w:p w14:paraId="608AF2A9">
      <w:pPr>
        <w:pStyle w:val="14"/>
        <w:ind w:firstLine="480"/>
        <w:jc w:val="left"/>
        <w:rPr>
          <w:color w:val="auto"/>
        </w:rPr>
      </w:pPr>
      <w:r>
        <w:rPr>
          <w:rFonts w:ascii="宋体" w:hAnsi="宋体" w:eastAsia="宋体" w:cs="宋体"/>
          <w:color w:val="auto"/>
          <w:sz w:val="24"/>
        </w:rPr>
        <w:t>5、项目施工设计文件和工程量清单详见附件部分。</w:t>
      </w:r>
    </w:p>
    <w:p w14:paraId="1CA39B9B">
      <w:pPr>
        <w:pStyle w:val="14"/>
        <w:ind w:firstLine="480"/>
        <w:jc w:val="left"/>
        <w:rPr>
          <w:color w:val="auto"/>
        </w:rPr>
      </w:pPr>
      <w:r>
        <w:rPr>
          <w:rFonts w:ascii="宋体" w:hAnsi="宋体" w:eastAsia="宋体" w:cs="宋体"/>
          <w:color w:val="auto"/>
          <w:sz w:val="24"/>
        </w:rPr>
        <w:t>6、本工程预算审核价为</w:t>
      </w:r>
      <w:r>
        <w:rPr>
          <w:rFonts w:hint="eastAsia" w:ascii="宋体"/>
          <w:color w:val="auto"/>
          <w:sz w:val="24"/>
          <w:u w:val="single"/>
          <w:lang w:val="en-US" w:eastAsia="zh-CN"/>
        </w:rPr>
        <w:t xml:space="preserve"> 3201035</w:t>
      </w:r>
      <w:r>
        <w:rPr>
          <w:rFonts w:ascii="宋体" w:hAnsi="宋体" w:eastAsia="宋体" w:cs="宋体"/>
          <w:color w:val="auto"/>
          <w:sz w:val="24"/>
        </w:rPr>
        <w:t>元，其中暂列金</w:t>
      </w:r>
      <w:r>
        <w:rPr>
          <w:rFonts w:hint="eastAsia" w:ascii="宋体" w:hAnsi="宋体" w:eastAsia="宋体" w:cs="宋体"/>
          <w:color w:val="auto"/>
          <w:sz w:val="24"/>
          <w:lang w:val="en-US" w:eastAsia="zh-CN"/>
        </w:rPr>
        <w:t xml:space="preserve"> 0</w:t>
      </w:r>
      <w:r>
        <w:rPr>
          <w:rFonts w:ascii="宋体" w:hAnsi="宋体" w:eastAsia="宋体" w:cs="宋体"/>
          <w:color w:val="auto"/>
          <w:sz w:val="24"/>
        </w:rPr>
        <w:t>元，专业工程暂估价0元，本项目设定最高限价为</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u w:val="single"/>
          <w:lang w:val="en-US" w:eastAsia="zh-CN"/>
        </w:rPr>
        <w:t>2880932</w:t>
      </w:r>
      <w:r>
        <w:rPr>
          <w:rFonts w:ascii="宋体" w:hAnsi="宋体" w:eastAsia="宋体" w:cs="宋体"/>
          <w:color w:val="auto"/>
          <w:sz w:val="24"/>
        </w:rPr>
        <w:t>元</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按预算审核价下浮10%</w:t>
      </w:r>
      <w:r>
        <w:rPr>
          <w:rFonts w:hint="eastAsia" w:ascii="宋体" w:hAnsi="宋体" w:eastAsia="宋体" w:cs="宋体"/>
          <w:color w:val="auto"/>
          <w:sz w:val="24"/>
          <w:lang w:eastAsia="zh-CN"/>
        </w:rPr>
        <w:t>）</w:t>
      </w:r>
      <w:r>
        <w:rPr>
          <w:rFonts w:ascii="宋体" w:hAnsi="宋体" w:eastAsia="宋体" w:cs="宋体"/>
          <w:color w:val="auto"/>
          <w:sz w:val="24"/>
        </w:rPr>
        <w:t>。施工方投标报价高于最高限价的，视为无效报价。</w:t>
      </w:r>
    </w:p>
    <w:p w14:paraId="5ACD942D">
      <w:pPr>
        <w:pStyle w:val="14"/>
        <w:ind w:firstLine="480"/>
        <w:jc w:val="left"/>
        <w:rPr>
          <w:color w:val="auto"/>
        </w:rPr>
      </w:pPr>
      <w:r>
        <w:rPr>
          <w:rFonts w:ascii="宋体" w:hAnsi="宋体" w:eastAsia="宋体" w:cs="宋体"/>
          <w:color w:val="auto"/>
          <w:sz w:val="24"/>
        </w:rPr>
        <w:t>7、本项目禁止转包，未经业主方同意不得分包。</w:t>
      </w:r>
    </w:p>
    <w:p w14:paraId="2C78BA92">
      <w:pPr>
        <w:pStyle w:val="14"/>
        <w:ind w:firstLine="480"/>
        <w:jc w:val="left"/>
        <w:rPr>
          <w:rFonts w:ascii="宋体" w:hAnsi="宋体" w:eastAsia="宋体" w:cs="宋体"/>
          <w:color w:val="auto"/>
          <w:sz w:val="24"/>
        </w:rPr>
      </w:pPr>
      <w:r>
        <w:rPr>
          <w:rFonts w:ascii="宋体" w:hAnsi="宋体" w:eastAsia="宋体" w:cs="宋体"/>
          <w:color w:val="auto"/>
          <w:sz w:val="24"/>
        </w:rPr>
        <w:t>8、本项目施工的地点为校园，施工期期间校园有师生工作、学习，人员密集且存在大量未成年人，请有意向的投标人需自行勘察现场、并根据现场实际情况结合校园人群的特点制定相关施工方案、安全方案、校园环境施工保障等措施，保证施工安全、质量、进度顺利完成。</w:t>
      </w:r>
    </w:p>
    <w:p w14:paraId="080AFD37">
      <w:pPr>
        <w:pStyle w:val="14"/>
        <w:ind w:firstLine="480"/>
        <w:jc w:val="left"/>
        <w:rPr>
          <w:rFonts w:ascii="宋体" w:hAnsi="宋体" w:eastAsia="宋体" w:cs="宋体"/>
          <w:color w:val="auto"/>
          <w:sz w:val="24"/>
        </w:rPr>
      </w:pPr>
    </w:p>
    <w:p w14:paraId="2DE6E617">
      <w:pPr>
        <w:pStyle w:val="14"/>
        <w:jc w:val="left"/>
        <w:outlineLvl w:val="2"/>
        <w:rPr>
          <w:rFonts w:hint="eastAsia"/>
          <w:b/>
          <w:color w:val="auto"/>
          <w:sz w:val="28"/>
          <w:lang w:val="en-US" w:eastAsia="zh-CN"/>
        </w:rPr>
      </w:pPr>
      <w:r>
        <w:rPr>
          <w:rFonts w:hint="eastAsia"/>
          <w:b/>
          <w:color w:val="auto"/>
          <w:sz w:val="28"/>
          <w:lang w:val="en-US" w:eastAsia="zh-CN"/>
        </w:rPr>
        <w:t>采购清单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4B9A4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258DC1A">
            <w:pPr>
              <w:pStyle w:val="14"/>
              <w:widowControl w:val="0"/>
              <w:jc w:val="center"/>
              <w:outlineLvl w:val="2"/>
              <w:rPr>
                <w:rFonts w:hint="default"/>
                <w:b/>
                <w:color w:val="auto"/>
                <w:sz w:val="28"/>
                <w:vertAlign w:val="baseline"/>
                <w:lang w:val="en-US" w:eastAsia="zh-CN"/>
              </w:rPr>
            </w:pPr>
            <w:r>
              <w:rPr>
                <w:rFonts w:hint="eastAsia"/>
                <w:b/>
                <w:color w:val="auto"/>
                <w:sz w:val="28"/>
                <w:vertAlign w:val="baseline"/>
                <w:lang w:val="en-US" w:eastAsia="zh-CN"/>
              </w:rPr>
              <w:t>序号</w:t>
            </w:r>
          </w:p>
        </w:tc>
        <w:tc>
          <w:tcPr>
            <w:tcW w:w="2130" w:type="dxa"/>
          </w:tcPr>
          <w:p w14:paraId="556286D2">
            <w:pPr>
              <w:pStyle w:val="14"/>
              <w:widowControl w:val="0"/>
              <w:jc w:val="center"/>
              <w:outlineLvl w:val="2"/>
              <w:rPr>
                <w:rFonts w:hint="default"/>
                <w:b/>
                <w:color w:val="auto"/>
                <w:sz w:val="28"/>
                <w:vertAlign w:val="baseline"/>
                <w:lang w:val="en-US" w:eastAsia="zh-CN"/>
              </w:rPr>
            </w:pPr>
            <w:r>
              <w:rPr>
                <w:rFonts w:hint="eastAsia"/>
                <w:b/>
                <w:color w:val="auto"/>
                <w:sz w:val="28"/>
                <w:vertAlign w:val="baseline"/>
                <w:lang w:val="en-US" w:eastAsia="zh-CN"/>
              </w:rPr>
              <w:t>名称</w:t>
            </w:r>
          </w:p>
        </w:tc>
        <w:tc>
          <w:tcPr>
            <w:tcW w:w="2131" w:type="dxa"/>
          </w:tcPr>
          <w:p w14:paraId="6D037C2A">
            <w:pPr>
              <w:pStyle w:val="14"/>
              <w:widowControl w:val="0"/>
              <w:jc w:val="center"/>
              <w:outlineLvl w:val="2"/>
              <w:rPr>
                <w:rFonts w:hint="default"/>
                <w:b/>
                <w:color w:val="auto"/>
                <w:sz w:val="28"/>
                <w:vertAlign w:val="baseline"/>
                <w:lang w:val="en-US" w:eastAsia="zh-CN"/>
              </w:rPr>
            </w:pPr>
            <w:r>
              <w:rPr>
                <w:rFonts w:hint="eastAsia"/>
                <w:b/>
                <w:color w:val="auto"/>
                <w:sz w:val="28"/>
                <w:vertAlign w:val="baseline"/>
                <w:lang w:val="en-US" w:eastAsia="zh-CN"/>
              </w:rPr>
              <w:t>要求</w:t>
            </w:r>
          </w:p>
        </w:tc>
        <w:tc>
          <w:tcPr>
            <w:tcW w:w="2131" w:type="dxa"/>
          </w:tcPr>
          <w:p w14:paraId="6BB4CCA3">
            <w:pPr>
              <w:pStyle w:val="14"/>
              <w:widowControl w:val="0"/>
              <w:jc w:val="center"/>
              <w:outlineLvl w:val="2"/>
              <w:rPr>
                <w:rFonts w:hint="default"/>
                <w:b/>
                <w:color w:val="auto"/>
                <w:sz w:val="28"/>
                <w:vertAlign w:val="baseline"/>
                <w:lang w:val="en-US" w:eastAsia="zh-CN"/>
              </w:rPr>
            </w:pPr>
            <w:r>
              <w:rPr>
                <w:rFonts w:hint="eastAsia"/>
                <w:b/>
                <w:color w:val="auto"/>
                <w:sz w:val="28"/>
                <w:vertAlign w:val="baseline"/>
                <w:lang w:val="en-US" w:eastAsia="zh-CN"/>
              </w:rPr>
              <w:t>面积</w:t>
            </w:r>
          </w:p>
        </w:tc>
      </w:tr>
      <w:tr w14:paraId="3E349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CA8AF3D">
            <w:pPr>
              <w:pStyle w:val="14"/>
              <w:widowControl w:val="0"/>
              <w:jc w:val="center"/>
              <w:outlineLvl w:val="2"/>
              <w:rPr>
                <w:rFonts w:hint="default"/>
                <w:b/>
                <w:color w:val="auto"/>
                <w:sz w:val="28"/>
                <w:vertAlign w:val="baseline"/>
                <w:lang w:val="en-US" w:eastAsia="zh-CN"/>
              </w:rPr>
            </w:pPr>
            <w:r>
              <w:rPr>
                <w:rFonts w:hint="eastAsia"/>
                <w:b/>
                <w:color w:val="auto"/>
                <w:sz w:val="28"/>
                <w:vertAlign w:val="baseline"/>
                <w:lang w:val="en-US" w:eastAsia="zh-CN"/>
              </w:rPr>
              <w:t>1</w:t>
            </w:r>
          </w:p>
        </w:tc>
        <w:tc>
          <w:tcPr>
            <w:tcW w:w="2130" w:type="dxa"/>
          </w:tcPr>
          <w:p w14:paraId="73B18925">
            <w:pPr>
              <w:pStyle w:val="14"/>
              <w:widowControl w:val="0"/>
              <w:jc w:val="center"/>
              <w:outlineLvl w:val="2"/>
              <w:rPr>
                <w:rFonts w:hint="default"/>
                <w:b/>
                <w:color w:val="auto"/>
                <w:sz w:val="28"/>
                <w:vertAlign w:val="baseline"/>
                <w:lang w:val="en-US" w:eastAsia="zh-CN"/>
              </w:rPr>
            </w:pPr>
            <w:r>
              <w:rPr>
                <w:rFonts w:hint="default"/>
                <w:b/>
                <w:color w:val="auto"/>
                <w:sz w:val="28"/>
                <w:vertAlign w:val="baseline"/>
                <w:lang w:val="en-US" w:eastAsia="zh-CN"/>
              </w:rPr>
              <w:t>混合型环保塑胶地面</w:t>
            </w:r>
          </w:p>
        </w:tc>
        <w:tc>
          <w:tcPr>
            <w:tcW w:w="2131" w:type="dxa"/>
          </w:tcPr>
          <w:p w14:paraId="34423A27">
            <w:pPr>
              <w:pStyle w:val="14"/>
              <w:widowControl w:val="0"/>
              <w:jc w:val="center"/>
              <w:outlineLvl w:val="2"/>
              <w:rPr>
                <w:rFonts w:hint="default"/>
                <w:b/>
                <w:color w:val="auto"/>
                <w:sz w:val="28"/>
                <w:vertAlign w:val="baseline"/>
                <w:lang w:val="en-US" w:eastAsia="zh-CN"/>
              </w:rPr>
            </w:pPr>
            <w:r>
              <w:rPr>
                <w:rFonts w:hint="eastAsia"/>
                <w:b/>
                <w:color w:val="auto"/>
                <w:sz w:val="28"/>
                <w:vertAlign w:val="baseline"/>
                <w:lang w:val="en-US" w:eastAsia="zh-CN"/>
              </w:rPr>
              <w:t>厚度13毫米</w:t>
            </w:r>
          </w:p>
        </w:tc>
        <w:tc>
          <w:tcPr>
            <w:tcW w:w="2131" w:type="dxa"/>
          </w:tcPr>
          <w:p w14:paraId="5D2CDB9F">
            <w:pPr>
              <w:pStyle w:val="14"/>
              <w:widowControl w:val="0"/>
              <w:jc w:val="center"/>
              <w:outlineLvl w:val="2"/>
              <w:rPr>
                <w:rFonts w:hint="default"/>
                <w:b/>
                <w:color w:val="auto"/>
                <w:sz w:val="28"/>
                <w:vertAlign w:val="baseline"/>
                <w:lang w:val="en-US" w:eastAsia="zh-CN"/>
              </w:rPr>
            </w:pPr>
            <w:r>
              <w:rPr>
                <w:rFonts w:hint="eastAsia"/>
                <w:b/>
                <w:color w:val="auto"/>
                <w:sz w:val="28"/>
                <w:vertAlign w:val="baseline"/>
                <w:lang w:val="en-US" w:eastAsia="zh-CN"/>
              </w:rPr>
              <w:t>4438.53㎡</w:t>
            </w:r>
          </w:p>
        </w:tc>
      </w:tr>
      <w:tr w14:paraId="7D417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C7649CB">
            <w:pPr>
              <w:pStyle w:val="14"/>
              <w:widowControl w:val="0"/>
              <w:jc w:val="center"/>
              <w:outlineLvl w:val="2"/>
              <w:rPr>
                <w:rFonts w:hint="default"/>
                <w:b/>
                <w:color w:val="auto"/>
                <w:sz w:val="28"/>
                <w:vertAlign w:val="baseline"/>
                <w:lang w:val="en-US" w:eastAsia="zh-CN"/>
              </w:rPr>
            </w:pPr>
            <w:r>
              <w:rPr>
                <w:rFonts w:hint="eastAsia"/>
                <w:b/>
                <w:color w:val="auto"/>
                <w:sz w:val="28"/>
                <w:vertAlign w:val="baseline"/>
                <w:lang w:val="en-US" w:eastAsia="zh-CN"/>
              </w:rPr>
              <w:t>2</w:t>
            </w:r>
          </w:p>
        </w:tc>
        <w:tc>
          <w:tcPr>
            <w:tcW w:w="2130" w:type="dxa"/>
          </w:tcPr>
          <w:p w14:paraId="16814427">
            <w:pPr>
              <w:pStyle w:val="14"/>
              <w:widowControl w:val="0"/>
              <w:jc w:val="center"/>
              <w:outlineLvl w:val="2"/>
              <w:rPr>
                <w:rFonts w:hint="default"/>
                <w:b/>
                <w:color w:val="auto"/>
                <w:sz w:val="28"/>
                <w:vertAlign w:val="baseline"/>
                <w:lang w:val="en-US" w:eastAsia="zh-CN"/>
              </w:rPr>
            </w:pPr>
            <w:r>
              <w:rPr>
                <w:rFonts w:hint="default"/>
                <w:b/>
                <w:color w:val="auto"/>
                <w:sz w:val="28"/>
                <w:vertAlign w:val="baseline"/>
                <w:lang w:val="en-US" w:eastAsia="zh-CN"/>
              </w:rPr>
              <w:t>混合型环保塑胶地面</w:t>
            </w:r>
          </w:p>
        </w:tc>
        <w:tc>
          <w:tcPr>
            <w:tcW w:w="2131" w:type="dxa"/>
          </w:tcPr>
          <w:p w14:paraId="46BD15B4">
            <w:pPr>
              <w:pStyle w:val="14"/>
              <w:widowControl w:val="0"/>
              <w:jc w:val="center"/>
              <w:outlineLvl w:val="2"/>
              <w:rPr>
                <w:rFonts w:hint="default"/>
                <w:b/>
                <w:color w:val="auto"/>
                <w:sz w:val="28"/>
                <w:vertAlign w:val="baseline"/>
                <w:lang w:val="en-US" w:eastAsia="zh-CN"/>
              </w:rPr>
            </w:pPr>
            <w:r>
              <w:rPr>
                <w:rFonts w:hint="eastAsia"/>
                <w:b/>
                <w:color w:val="auto"/>
                <w:sz w:val="28"/>
                <w:vertAlign w:val="baseline"/>
                <w:lang w:val="en-US" w:eastAsia="zh-CN"/>
              </w:rPr>
              <w:t>厚度9毫米</w:t>
            </w:r>
          </w:p>
        </w:tc>
        <w:tc>
          <w:tcPr>
            <w:tcW w:w="2131" w:type="dxa"/>
          </w:tcPr>
          <w:p w14:paraId="7537E4B9">
            <w:pPr>
              <w:pStyle w:val="14"/>
              <w:widowControl w:val="0"/>
              <w:jc w:val="center"/>
              <w:outlineLvl w:val="2"/>
              <w:rPr>
                <w:rFonts w:hint="default"/>
                <w:b/>
                <w:color w:val="auto"/>
                <w:sz w:val="28"/>
                <w:vertAlign w:val="baseline"/>
                <w:lang w:val="en-US" w:eastAsia="zh-CN"/>
              </w:rPr>
            </w:pPr>
            <w:r>
              <w:rPr>
                <w:rFonts w:hint="eastAsia"/>
                <w:b/>
                <w:color w:val="auto"/>
                <w:sz w:val="28"/>
                <w:vertAlign w:val="baseline"/>
                <w:lang w:val="en-US" w:eastAsia="zh-CN"/>
              </w:rPr>
              <w:t>2578.34㎡</w:t>
            </w:r>
          </w:p>
        </w:tc>
      </w:tr>
      <w:tr w14:paraId="19039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A7F4F97">
            <w:pPr>
              <w:pStyle w:val="14"/>
              <w:widowControl w:val="0"/>
              <w:jc w:val="center"/>
              <w:outlineLvl w:val="2"/>
              <w:rPr>
                <w:rFonts w:hint="default"/>
                <w:b/>
                <w:color w:val="auto"/>
                <w:sz w:val="28"/>
                <w:vertAlign w:val="baseline"/>
                <w:lang w:val="en-US" w:eastAsia="zh-CN"/>
              </w:rPr>
            </w:pPr>
            <w:r>
              <w:rPr>
                <w:rFonts w:hint="eastAsia"/>
                <w:b/>
                <w:color w:val="auto"/>
                <w:sz w:val="28"/>
                <w:vertAlign w:val="baseline"/>
                <w:lang w:val="en-US" w:eastAsia="zh-CN"/>
              </w:rPr>
              <w:t>3</w:t>
            </w:r>
          </w:p>
        </w:tc>
        <w:tc>
          <w:tcPr>
            <w:tcW w:w="2130" w:type="dxa"/>
          </w:tcPr>
          <w:p w14:paraId="3F4A3752">
            <w:pPr>
              <w:pStyle w:val="14"/>
              <w:widowControl w:val="0"/>
              <w:jc w:val="center"/>
              <w:outlineLvl w:val="2"/>
              <w:rPr>
                <w:rFonts w:hint="eastAsia" w:eastAsia="宋体"/>
                <w:b/>
                <w:color w:val="auto"/>
                <w:sz w:val="28"/>
                <w:vertAlign w:val="baseline"/>
                <w:lang w:val="en-US" w:eastAsia="zh-CN"/>
              </w:rPr>
            </w:pPr>
            <w:r>
              <w:rPr>
                <w:rFonts w:hint="eastAsia"/>
                <w:b/>
                <w:color w:val="auto"/>
                <w:sz w:val="28"/>
                <w:vertAlign w:val="baseline"/>
                <w:lang w:val="en-US" w:eastAsia="zh-CN"/>
              </w:rPr>
              <w:t>人造草坪地面</w:t>
            </w:r>
          </w:p>
        </w:tc>
        <w:tc>
          <w:tcPr>
            <w:tcW w:w="2131" w:type="dxa"/>
          </w:tcPr>
          <w:p w14:paraId="5A128B3A">
            <w:pPr>
              <w:pStyle w:val="14"/>
              <w:widowControl w:val="0"/>
              <w:jc w:val="center"/>
              <w:outlineLvl w:val="2"/>
              <w:rPr>
                <w:rFonts w:hint="eastAsia"/>
                <w:b/>
                <w:color w:val="auto"/>
                <w:sz w:val="28"/>
                <w:vertAlign w:val="baseline"/>
                <w:lang w:val="en-US" w:eastAsia="zh-CN"/>
              </w:rPr>
            </w:pPr>
            <w:r>
              <w:rPr>
                <w:rFonts w:hint="eastAsia"/>
                <w:b/>
                <w:color w:val="auto"/>
                <w:sz w:val="28"/>
                <w:vertAlign w:val="baseline"/>
                <w:lang w:val="en-US" w:eastAsia="zh-CN"/>
              </w:rPr>
              <w:t>50厚高密度足球场 专用人造草坪面层(草 坪参数：行距5/8英 寸，针距16.7针 /10cm，磅重≥8800， 密度10500簇/m3，深绿 色和翠绿双色间隔，内 填40-80目石英砂 25kg/m2，人造草环保</w:t>
            </w:r>
          </w:p>
        </w:tc>
        <w:tc>
          <w:tcPr>
            <w:tcW w:w="2131" w:type="dxa"/>
          </w:tcPr>
          <w:p w14:paraId="418CB196">
            <w:pPr>
              <w:pStyle w:val="14"/>
              <w:widowControl w:val="0"/>
              <w:jc w:val="center"/>
              <w:outlineLvl w:val="2"/>
              <w:rPr>
                <w:rFonts w:hint="default"/>
                <w:b/>
                <w:color w:val="auto"/>
                <w:sz w:val="28"/>
                <w:vertAlign w:val="baseline"/>
                <w:lang w:val="en-US" w:eastAsia="zh-CN"/>
              </w:rPr>
            </w:pPr>
            <w:r>
              <w:rPr>
                <w:rFonts w:hint="eastAsia"/>
                <w:b/>
                <w:color w:val="auto"/>
                <w:sz w:val="28"/>
                <w:vertAlign w:val="baseline"/>
                <w:lang w:val="en-US" w:eastAsia="zh-CN"/>
              </w:rPr>
              <w:t>7765.98㎡</w:t>
            </w:r>
          </w:p>
        </w:tc>
      </w:tr>
    </w:tbl>
    <w:p w14:paraId="29C69FA5">
      <w:pPr>
        <w:pStyle w:val="14"/>
        <w:jc w:val="left"/>
        <w:outlineLvl w:val="2"/>
        <w:rPr>
          <w:rFonts w:hint="default"/>
          <w:b/>
          <w:color w:val="auto"/>
          <w:sz w:val="28"/>
          <w:lang w:val="en-US" w:eastAsia="zh-CN"/>
        </w:rPr>
      </w:pPr>
    </w:p>
    <w:p w14:paraId="626A1AD3">
      <w:pPr>
        <w:pStyle w:val="14"/>
        <w:jc w:val="left"/>
        <w:outlineLvl w:val="2"/>
        <w:rPr>
          <w:color w:val="auto"/>
        </w:rPr>
      </w:pPr>
      <w:r>
        <w:rPr>
          <w:b/>
          <w:color w:val="auto"/>
          <w:sz w:val="28"/>
        </w:rPr>
        <w:t>二、技术要求</w:t>
      </w:r>
      <w:r>
        <w:rPr>
          <w:rFonts w:ascii="宋体" w:hAnsi="宋体" w:eastAsia="宋体" w:cs="宋体"/>
          <w:b/>
          <w:color w:val="auto"/>
        </w:rPr>
        <w:t>（以“★”标示的内容为不允许负偏离的实质性要求）</w:t>
      </w:r>
    </w:p>
    <w:p w14:paraId="64A6C874">
      <w:pPr>
        <w:pStyle w:val="8"/>
        <w:keepNext w:val="0"/>
        <w:keepLines w:val="0"/>
        <w:widowControl/>
        <w:suppressLineNumbers w:val="0"/>
        <w:spacing w:line="360" w:lineRule="atLeast"/>
        <w:ind w:left="0" w:firstLine="0"/>
        <w:textAlignment w:val="baseline"/>
        <w:rPr>
          <w:color w:val="auto"/>
        </w:rPr>
      </w:pPr>
      <w:r>
        <w:rPr>
          <w:rFonts w:ascii="微软雅黑" w:hAnsi="微软雅黑" w:eastAsia="微软雅黑" w:cs="微软雅黑"/>
          <w:color w:val="auto"/>
          <w:spacing w:val="0"/>
          <w:sz w:val="28"/>
          <w:szCs w:val="28"/>
          <w:vertAlign w:val="baseline"/>
        </w:rPr>
        <w:t>★</w:t>
      </w:r>
      <w:r>
        <w:rPr>
          <w:rStyle w:val="12"/>
          <w:rFonts w:hint="eastAsia" w:ascii="宋体" w:hAnsi="宋体" w:eastAsia="宋体" w:cs="宋体"/>
          <w:color w:val="auto"/>
          <w:spacing w:val="0"/>
          <w:kern w:val="2"/>
          <w:sz w:val="28"/>
          <w:szCs w:val="28"/>
          <w:vertAlign w:val="baseline"/>
          <w:lang w:bidi="ar-SA"/>
        </w:rPr>
        <w:t>1、技术标准</w:t>
      </w:r>
    </w:p>
    <w:p w14:paraId="466233CB">
      <w:pPr>
        <w:pStyle w:val="8"/>
        <w:keepNext w:val="0"/>
        <w:keepLines w:val="0"/>
        <w:widowControl/>
        <w:suppressLineNumbers w:val="0"/>
        <w:spacing w:line="360" w:lineRule="atLeast"/>
        <w:ind w:left="0" w:firstLine="480"/>
        <w:textAlignment w:val="baseline"/>
        <w:rPr>
          <w:color w:val="auto"/>
        </w:rPr>
      </w:pPr>
      <w:r>
        <w:rPr>
          <w:rFonts w:hint="eastAsia" w:ascii="宋体" w:hAnsi="宋体" w:eastAsia="宋体" w:cs="宋体"/>
          <w:color w:val="auto"/>
          <w:spacing w:val="0"/>
          <w:sz w:val="28"/>
          <w:szCs w:val="28"/>
          <w:vertAlign w:val="baseline"/>
        </w:rPr>
        <w:t>依据设计文件要求，本项目的材料、设备、施工必须</w:t>
      </w:r>
      <w:r>
        <w:rPr>
          <w:rFonts w:hint="eastAsia" w:ascii="宋体" w:hAnsi="宋体" w:cs="宋体"/>
          <w:color w:val="auto"/>
          <w:spacing w:val="0"/>
          <w:sz w:val="28"/>
          <w:szCs w:val="28"/>
          <w:vertAlign w:val="baseline"/>
          <w:lang w:val="en-US" w:eastAsia="zh-CN"/>
        </w:rPr>
        <w:t>符合</w:t>
      </w:r>
      <w:r>
        <w:rPr>
          <w:rFonts w:hint="eastAsia" w:ascii="宋体" w:hAnsi="宋体" w:eastAsia="宋体" w:cs="宋体"/>
          <w:color w:val="auto"/>
          <w:spacing w:val="0"/>
          <w:sz w:val="28"/>
          <w:szCs w:val="28"/>
          <w:vertAlign w:val="baseline"/>
        </w:rPr>
        <w:t>现行的中华人民共和国的国家、行业和地方的一切与采购项目相关的工程建设标准强制性条文。</w:t>
      </w:r>
    </w:p>
    <w:p w14:paraId="0C7E470A">
      <w:pPr>
        <w:pStyle w:val="8"/>
        <w:keepNext w:val="0"/>
        <w:keepLines w:val="0"/>
        <w:widowControl/>
        <w:suppressLineNumbers w:val="0"/>
        <w:spacing w:before="75" w:beforeAutospacing="0" w:after="75" w:afterAutospacing="0" w:line="360" w:lineRule="atLeast"/>
        <w:ind w:left="0" w:right="0" w:firstLine="0"/>
        <w:textAlignment w:val="baseline"/>
        <w:rPr>
          <w:color w:val="auto"/>
        </w:rPr>
      </w:pPr>
      <w:r>
        <w:rPr>
          <w:rStyle w:val="12"/>
          <w:rFonts w:hint="eastAsia" w:ascii="宋体" w:hAnsi="宋体" w:eastAsia="宋体" w:cs="宋体"/>
          <w:color w:val="auto"/>
          <w:spacing w:val="0"/>
          <w:kern w:val="2"/>
          <w:sz w:val="28"/>
          <w:szCs w:val="28"/>
          <w:vertAlign w:val="baseline"/>
          <w:lang w:bidi="ar-SA"/>
        </w:rPr>
        <w:t>2、施工要求</w:t>
      </w:r>
    </w:p>
    <w:p w14:paraId="01D661F4">
      <w:pPr>
        <w:pStyle w:val="8"/>
        <w:keepNext w:val="0"/>
        <w:keepLines w:val="0"/>
        <w:widowControl/>
        <w:suppressLineNumbers w:val="0"/>
        <w:spacing w:line="360" w:lineRule="atLeast"/>
        <w:ind w:left="0" w:firstLine="480"/>
        <w:textAlignment w:val="baseline"/>
        <w:rPr>
          <w:color w:val="auto"/>
        </w:rPr>
      </w:pPr>
      <w:r>
        <w:rPr>
          <w:rFonts w:hint="eastAsia" w:ascii="宋体" w:hAnsi="宋体" w:eastAsia="宋体" w:cs="宋体"/>
          <w:color w:val="auto"/>
          <w:spacing w:val="0"/>
          <w:sz w:val="28"/>
          <w:szCs w:val="28"/>
          <w:vertAlign w:val="baseline"/>
        </w:rPr>
        <w:t>2.1成交方必须精心做好各项施工前的准备工作。</w:t>
      </w:r>
    </w:p>
    <w:p w14:paraId="55FBD773">
      <w:pPr>
        <w:pStyle w:val="8"/>
        <w:keepNext w:val="0"/>
        <w:keepLines w:val="0"/>
        <w:widowControl/>
        <w:suppressLineNumbers w:val="0"/>
        <w:spacing w:line="360" w:lineRule="atLeast"/>
        <w:ind w:left="0" w:firstLine="480"/>
        <w:textAlignment w:val="baseline"/>
        <w:rPr>
          <w:color w:val="auto"/>
        </w:rPr>
      </w:pPr>
      <w:r>
        <w:rPr>
          <w:rFonts w:hint="eastAsia" w:ascii="宋体" w:hAnsi="宋体" w:eastAsia="宋体" w:cs="宋体"/>
          <w:color w:val="auto"/>
          <w:spacing w:val="0"/>
          <w:sz w:val="28"/>
          <w:szCs w:val="28"/>
          <w:vertAlign w:val="baseline"/>
        </w:rPr>
        <w:t>2.2成交方必须服从采购人的所有工程管理的规定。</w:t>
      </w:r>
    </w:p>
    <w:p w14:paraId="7F0DC2AB">
      <w:pPr>
        <w:pStyle w:val="8"/>
        <w:keepNext w:val="0"/>
        <w:keepLines w:val="0"/>
        <w:widowControl/>
        <w:suppressLineNumbers w:val="0"/>
        <w:spacing w:line="360" w:lineRule="atLeast"/>
        <w:ind w:left="0" w:firstLine="480"/>
        <w:textAlignment w:val="baseline"/>
        <w:rPr>
          <w:color w:val="auto"/>
        </w:rPr>
      </w:pPr>
      <w:r>
        <w:rPr>
          <w:rFonts w:hint="eastAsia" w:ascii="宋体" w:hAnsi="宋体" w:eastAsia="宋体" w:cs="宋体"/>
          <w:color w:val="auto"/>
          <w:spacing w:val="0"/>
          <w:sz w:val="28"/>
          <w:szCs w:val="28"/>
          <w:vertAlign w:val="baseline"/>
        </w:rPr>
        <w:t>2.3成交方必须在保证工期的前提下合理安排施工设施。成交方进入工地必须保证工地四邻建筑物的安全。由施工引起的工地四邻建筑物受到影响由施工方负责。</w:t>
      </w:r>
    </w:p>
    <w:p w14:paraId="2D383DE3">
      <w:pPr>
        <w:pStyle w:val="8"/>
        <w:keepNext w:val="0"/>
        <w:keepLines w:val="0"/>
        <w:widowControl/>
        <w:suppressLineNumbers w:val="0"/>
        <w:spacing w:line="360" w:lineRule="atLeast"/>
        <w:ind w:left="0" w:firstLine="480"/>
        <w:textAlignment w:val="baseline"/>
        <w:rPr>
          <w:color w:val="auto"/>
        </w:rPr>
      </w:pPr>
      <w:r>
        <w:rPr>
          <w:rFonts w:hint="eastAsia" w:ascii="宋体" w:hAnsi="宋体" w:eastAsia="宋体" w:cs="宋体"/>
          <w:color w:val="auto"/>
          <w:spacing w:val="0"/>
          <w:sz w:val="28"/>
          <w:szCs w:val="28"/>
          <w:vertAlign w:val="baseline"/>
        </w:rPr>
        <w:t>2.4本工程安全文明施工必须达到合格工程要求。成交方应遵守国家《建设工程安全生产管理条例》（国务院令第393号）以及政府有关工程建设安全生产管理规定，严格按安全标准组织施工，并随时接受行业安全检查人员依法实施的监督检查，采取必要的安全防护措施，消除事故隐患。由于成交方安全措施不力造成事故的责任和因此发生的费用，由成交方承担。</w:t>
      </w:r>
    </w:p>
    <w:p w14:paraId="2AD47BCB">
      <w:pPr>
        <w:pStyle w:val="8"/>
        <w:keepNext w:val="0"/>
        <w:keepLines w:val="0"/>
        <w:widowControl/>
        <w:suppressLineNumbers w:val="0"/>
        <w:spacing w:line="360" w:lineRule="atLeast"/>
        <w:ind w:left="0" w:firstLine="480"/>
        <w:textAlignment w:val="baseline"/>
        <w:rPr>
          <w:color w:val="auto"/>
        </w:rPr>
      </w:pPr>
      <w:r>
        <w:rPr>
          <w:rFonts w:hint="eastAsia" w:ascii="宋体" w:hAnsi="宋体" w:eastAsia="宋体" w:cs="宋体"/>
          <w:color w:val="auto"/>
          <w:spacing w:val="0"/>
          <w:sz w:val="28"/>
          <w:szCs w:val="28"/>
          <w:vertAlign w:val="baseline"/>
        </w:rPr>
        <w:t>2.5发生伤亡及其他安全事故，成交方应按有关规定立即上报有关部门并通知监理和采购人，同时按政府有关部门要求处理，由事故责任方承担发生的费用。</w:t>
      </w:r>
    </w:p>
    <w:p w14:paraId="66225E13">
      <w:pPr>
        <w:pStyle w:val="8"/>
        <w:keepNext w:val="0"/>
        <w:keepLines w:val="0"/>
        <w:widowControl/>
        <w:suppressLineNumbers w:val="0"/>
        <w:spacing w:line="360" w:lineRule="atLeast"/>
        <w:ind w:left="0" w:firstLine="480"/>
        <w:textAlignment w:val="baseline"/>
        <w:rPr>
          <w:color w:val="auto"/>
        </w:rPr>
      </w:pPr>
      <w:r>
        <w:rPr>
          <w:rFonts w:hint="eastAsia" w:ascii="宋体" w:hAnsi="宋体" w:eastAsia="宋体" w:cs="宋体"/>
          <w:color w:val="auto"/>
          <w:spacing w:val="0"/>
          <w:sz w:val="28"/>
          <w:szCs w:val="28"/>
          <w:vertAlign w:val="baseline"/>
        </w:rPr>
        <w:t>2.6成交方负责安排好临时设施的规划和临时设施的搭设，负责对施工及生活临时水电、排水排污的规划及管理。对施工区、生活区、材料堆场、材料加工场进行合理的规划，要求悬挂各类警示、标示牌，必须做到标示明显整齐。所有临时设施必须达到环保部门要求、建管部门制订的强制性行业标准。</w:t>
      </w:r>
    </w:p>
    <w:p w14:paraId="227F88FF">
      <w:pPr>
        <w:pStyle w:val="8"/>
        <w:keepNext w:val="0"/>
        <w:keepLines w:val="0"/>
        <w:widowControl/>
        <w:suppressLineNumbers w:val="0"/>
        <w:spacing w:line="360" w:lineRule="atLeast"/>
        <w:ind w:left="0" w:firstLine="480"/>
        <w:textAlignment w:val="baseline"/>
        <w:rPr>
          <w:color w:val="auto"/>
        </w:rPr>
      </w:pPr>
      <w:r>
        <w:rPr>
          <w:rFonts w:hint="eastAsia" w:ascii="宋体" w:hAnsi="宋体" w:eastAsia="宋体" w:cs="宋体"/>
          <w:color w:val="auto"/>
          <w:spacing w:val="0"/>
          <w:sz w:val="28"/>
          <w:szCs w:val="28"/>
          <w:vertAlign w:val="baseline"/>
        </w:rPr>
        <w:t>2.7必须做到文明施工。各种材料必须在指 定的地方堆放；车辆进出所带来的泥土成交方须及时清理。</w:t>
      </w:r>
    </w:p>
    <w:p w14:paraId="3D609005">
      <w:pPr>
        <w:pStyle w:val="8"/>
        <w:keepNext w:val="0"/>
        <w:keepLines w:val="0"/>
        <w:widowControl/>
        <w:suppressLineNumbers w:val="0"/>
        <w:spacing w:line="360" w:lineRule="atLeast"/>
        <w:ind w:left="0" w:firstLine="480"/>
        <w:textAlignment w:val="baseline"/>
        <w:rPr>
          <w:color w:val="auto"/>
        </w:rPr>
      </w:pPr>
      <w:r>
        <w:rPr>
          <w:rFonts w:hint="eastAsia" w:ascii="宋体" w:hAnsi="宋体" w:eastAsia="宋体" w:cs="宋体"/>
          <w:color w:val="auto"/>
          <w:spacing w:val="0"/>
          <w:sz w:val="28"/>
          <w:szCs w:val="28"/>
          <w:vertAlign w:val="baseline"/>
        </w:rPr>
        <w:t>2.8成交方在施工过程中有任何异议问题，均按采购人的要求施工。</w:t>
      </w:r>
    </w:p>
    <w:p w14:paraId="5D5ECA97">
      <w:pPr>
        <w:pStyle w:val="8"/>
        <w:keepNext w:val="0"/>
        <w:keepLines w:val="0"/>
        <w:widowControl/>
        <w:suppressLineNumbers w:val="0"/>
        <w:spacing w:line="360" w:lineRule="atLeast"/>
        <w:ind w:left="0" w:firstLine="555"/>
        <w:textAlignment w:val="baseline"/>
        <w:rPr>
          <w:color w:val="auto"/>
        </w:rPr>
      </w:pPr>
      <w:r>
        <w:rPr>
          <w:rStyle w:val="12"/>
          <w:rFonts w:hint="eastAsia" w:ascii="宋体" w:hAnsi="宋体" w:eastAsia="宋体" w:cs="宋体"/>
          <w:color w:val="auto"/>
          <w:spacing w:val="0"/>
          <w:kern w:val="2"/>
          <w:sz w:val="28"/>
          <w:szCs w:val="28"/>
          <w:vertAlign w:val="baseline"/>
          <w:lang w:bidi="ar-SA"/>
        </w:rPr>
        <w:t>3、施工现场管理要求</w:t>
      </w:r>
    </w:p>
    <w:p w14:paraId="3FDD0563">
      <w:pPr>
        <w:pStyle w:val="8"/>
        <w:keepNext w:val="0"/>
        <w:keepLines w:val="0"/>
        <w:widowControl/>
        <w:suppressLineNumbers w:val="0"/>
        <w:spacing w:line="360" w:lineRule="atLeast"/>
        <w:ind w:left="0" w:firstLine="510"/>
        <w:textAlignment w:val="baseline"/>
        <w:rPr>
          <w:color w:val="auto"/>
        </w:rPr>
      </w:pPr>
      <w:r>
        <w:rPr>
          <w:rFonts w:hint="eastAsia" w:ascii="宋体" w:hAnsi="宋体" w:eastAsia="宋体" w:cs="宋体"/>
          <w:color w:val="auto"/>
          <w:spacing w:val="0"/>
          <w:sz w:val="28"/>
          <w:szCs w:val="28"/>
          <w:vertAlign w:val="baseline"/>
        </w:rPr>
        <w:t>3.1现场安全防护设施要求</w:t>
      </w:r>
    </w:p>
    <w:p w14:paraId="2ED99D81">
      <w:pPr>
        <w:pStyle w:val="8"/>
        <w:keepNext w:val="0"/>
        <w:keepLines w:val="0"/>
        <w:widowControl/>
        <w:suppressLineNumbers w:val="0"/>
        <w:spacing w:line="360" w:lineRule="atLeast"/>
        <w:ind w:left="0" w:firstLine="510"/>
        <w:textAlignment w:val="baseline"/>
        <w:rPr>
          <w:color w:val="auto"/>
        </w:rPr>
      </w:pPr>
      <w:r>
        <w:rPr>
          <w:rFonts w:hint="eastAsia" w:ascii="宋体" w:hAnsi="宋体" w:eastAsia="宋体" w:cs="宋体"/>
          <w:color w:val="auto"/>
          <w:spacing w:val="0"/>
          <w:sz w:val="28"/>
          <w:szCs w:val="28"/>
          <w:vertAlign w:val="baseline"/>
        </w:rPr>
        <w:t>3.1.1达到有关规定文明安全施工要求。</w:t>
      </w:r>
    </w:p>
    <w:p w14:paraId="3AEF6253">
      <w:pPr>
        <w:pStyle w:val="8"/>
        <w:keepNext w:val="0"/>
        <w:keepLines w:val="0"/>
        <w:widowControl/>
        <w:suppressLineNumbers w:val="0"/>
        <w:spacing w:line="360" w:lineRule="atLeast"/>
        <w:ind w:left="0" w:firstLine="510"/>
        <w:textAlignment w:val="baseline"/>
        <w:rPr>
          <w:color w:val="auto"/>
        </w:rPr>
      </w:pPr>
      <w:r>
        <w:rPr>
          <w:rFonts w:hint="eastAsia" w:ascii="宋体" w:hAnsi="宋体" w:eastAsia="宋体" w:cs="宋体"/>
          <w:color w:val="auto"/>
          <w:spacing w:val="0"/>
          <w:sz w:val="28"/>
          <w:szCs w:val="28"/>
          <w:vertAlign w:val="baseline"/>
        </w:rPr>
        <w:t>3.1.2投标人应按安全施工管理有关规定，配备安全管理机构，配备合格的专职安全管理人员，负责处理全体工作人员和劳务人员的安全保护和防止事故等问题。</w:t>
      </w:r>
    </w:p>
    <w:p w14:paraId="64660D9A">
      <w:pPr>
        <w:pStyle w:val="8"/>
        <w:keepNext w:val="0"/>
        <w:keepLines w:val="0"/>
        <w:widowControl/>
        <w:suppressLineNumbers w:val="0"/>
        <w:spacing w:line="360" w:lineRule="atLeast"/>
        <w:ind w:left="0" w:firstLine="510"/>
        <w:textAlignment w:val="baseline"/>
        <w:rPr>
          <w:color w:val="auto"/>
        </w:rPr>
      </w:pPr>
      <w:r>
        <w:rPr>
          <w:rFonts w:hint="eastAsia" w:ascii="宋体" w:hAnsi="宋体" w:eastAsia="宋体" w:cs="宋体"/>
          <w:color w:val="auto"/>
          <w:spacing w:val="0"/>
          <w:sz w:val="28"/>
          <w:szCs w:val="28"/>
          <w:vertAlign w:val="baseline"/>
        </w:rPr>
        <w:t>3.1.3投标人应采取合理的施工组织及安全措施，严格现场管理制度，加大安全设施投入以确保施工安全，若因施工组织不合理、安全措施不合理、安全管理不到位、安全设施投入不足引起的一切后果，由供 应 商自行承担。投标人应加强安全管理，采取有效的安全措施，以确保第三者人身安全不受到伤害，若因投标人安全管理不到位、安全措施不合理等引起的一切后果，由投标人自行承担。同时，投标人应保障采购人免于承担由此可能引起的索赔、诉讼和其他一切费用等。</w:t>
      </w:r>
    </w:p>
    <w:p w14:paraId="6AC4071B">
      <w:pPr>
        <w:pStyle w:val="8"/>
        <w:keepNext w:val="0"/>
        <w:keepLines w:val="0"/>
        <w:widowControl/>
        <w:suppressLineNumbers w:val="0"/>
        <w:spacing w:line="360" w:lineRule="atLeast"/>
        <w:ind w:left="0" w:firstLine="510"/>
        <w:textAlignment w:val="baseline"/>
        <w:rPr>
          <w:color w:val="auto"/>
        </w:rPr>
      </w:pPr>
      <w:r>
        <w:rPr>
          <w:rFonts w:hint="eastAsia" w:ascii="宋体" w:hAnsi="宋体" w:eastAsia="宋体" w:cs="宋体"/>
          <w:color w:val="auto"/>
          <w:spacing w:val="0"/>
          <w:sz w:val="28"/>
          <w:szCs w:val="28"/>
          <w:vertAlign w:val="baseline"/>
        </w:rPr>
        <w:t>3.2 环境要求</w:t>
      </w:r>
    </w:p>
    <w:p w14:paraId="2B13142E">
      <w:pPr>
        <w:pStyle w:val="8"/>
        <w:keepNext w:val="0"/>
        <w:keepLines w:val="0"/>
        <w:widowControl/>
        <w:suppressLineNumbers w:val="0"/>
        <w:spacing w:line="360" w:lineRule="atLeast"/>
        <w:ind w:left="0" w:firstLine="510"/>
        <w:textAlignment w:val="baseline"/>
        <w:rPr>
          <w:color w:val="auto"/>
        </w:rPr>
      </w:pPr>
      <w:r>
        <w:rPr>
          <w:rFonts w:hint="eastAsia" w:ascii="宋体" w:hAnsi="宋体" w:eastAsia="宋体" w:cs="宋体"/>
          <w:color w:val="auto"/>
          <w:spacing w:val="0"/>
          <w:sz w:val="28"/>
          <w:szCs w:val="28"/>
          <w:vertAlign w:val="baseline"/>
        </w:rPr>
        <w:t>按现行国家环保文件有关规定执行，投标人有责任采取有效措施以预防和消除因施工造成的环境污染，投标人应通过有效的技术手段和管理措施将施工噪音控制到最低程度。临时设施修建应经采购人认可，建筑垃圾不得随意倾倒在临近的区域，夜间应尽量减少噪音对周边的影响，相关费用视为已包含在磋商报价中。</w:t>
      </w:r>
    </w:p>
    <w:p w14:paraId="76C029A7">
      <w:pPr>
        <w:pStyle w:val="8"/>
        <w:keepNext w:val="0"/>
        <w:keepLines w:val="0"/>
        <w:widowControl/>
        <w:suppressLineNumbers w:val="0"/>
        <w:spacing w:line="360" w:lineRule="atLeast"/>
        <w:ind w:left="0" w:firstLine="510"/>
        <w:textAlignment w:val="baseline"/>
        <w:rPr>
          <w:color w:val="auto"/>
        </w:rPr>
      </w:pPr>
      <w:r>
        <w:rPr>
          <w:rFonts w:hint="eastAsia" w:ascii="宋体" w:hAnsi="宋体" w:eastAsia="宋体" w:cs="宋体"/>
          <w:color w:val="auto"/>
          <w:spacing w:val="0"/>
          <w:sz w:val="28"/>
          <w:szCs w:val="28"/>
          <w:vertAlign w:val="baseline"/>
        </w:rPr>
        <w:t>3.3 文明施工要求</w:t>
      </w:r>
    </w:p>
    <w:p w14:paraId="2237BD6B">
      <w:pPr>
        <w:pStyle w:val="8"/>
        <w:keepNext w:val="0"/>
        <w:keepLines w:val="0"/>
        <w:widowControl/>
        <w:suppressLineNumbers w:val="0"/>
        <w:spacing w:line="360" w:lineRule="atLeast"/>
        <w:ind w:left="0" w:firstLine="510"/>
        <w:textAlignment w:val="baseline"/>
        <w:rPr>
          <w:color w:val="auto"/>
        </w:rPr>
      </w:pPr>
      <w:r>
        <w:rPr>
          <w:rFonts w:hint="eastAsia" w:ascii="宋体" w:hAnsi="宋体" w:eastAsia="宋体" w:cs="宋体"/>
          <w:color w:val="auto"/>
          <w:spacing w:val="0"/>
          <w:sz w:val="28"/>
          <w:szCs w:val="28"/>
          <w:vertAlign w:val="baseline"/>
        </w:rPr>
        <w:t>按合同相关条款规定及有关安全生产、文明施工和城市管理的规定执行。施工机具进场要求，按进度计划进场。</w:t>
      </w:r>
    </w:p>
    <w:p w14:paraId="70CF0406">
      <w:pPr>
        <w:pStyle w:val="8"/>
        <w:keepNext w:val="0"/>
        <w:keepLines w:val="0"/>
        <w:widowControl/>
        <w:suppressLineNumbers w:val="0"/>
        <w:spacing w:line="360" w:lineRule="atLeast"/>
        <w:ind w:left="0" w:firstLine="555"/>
        <w:textAlignment w:val="baseline"/>
        <w:rPr>
          <w:color w:val="auto"/>
        </w:rPr>
      </w:pPr>
      <w:r>
        <w:rPr>
          <w:rStyle w:val="12"/>
          <w:rFonts w:hint="eastAsia" w:ascii="宋体" w:hAnsi="宋体" w:eastAsia="宋体" w:cs="宋体"/>
          <w:color w:val="auto"/>
          <w:spacing w:val="0"/>
          <w:kern w:val="2"/>
          <w:sz w:val="28"/>
          <w:szCs w:val="28"/>
          <w:vertAlign w:val="baseline"/>
          <w:lang w:bidi="ar-SA"/>
        </w:rPr>
        <w:t>4、材料设备供应</w:t>
      </w:r>
    </w:p>
    <w:p w14:paraId="56679C14">
      <w:pPr>
        <w:pStyle w:val="8"/>
        <w:keepNext w:val="0"/>
        <w:keepLines w:val="0"/>
        <w:widowControl/>
        <w:suppressLineNumbers w:val="0"/>
        <w:spacing w:line="360" w:lineRule="atLeast"/>
        <w:ind w:left="0" w:firstLine="480"/>
        <w:textAlignment w:val="baseline"/>
        <w:rPr>
          <w:color w:val="auto"/>
        </w:rPr>
      </w:pPr>
      <w:r>
        <w:rPr>
          <w:rFonts w:hint="eastAsia" w:ascii="宋体" w:hAnsi="宋体" w:eastAsia="宋体" w:cs="宋体"/>
          <w:color w:val="auto"/>
          <w:spacing w:val="0"/>
          <w:sz w:val="28"/>
          <w:szCs w:val="28"/>
          <w:vertAlign w:val="baseline"/>
        </w:rPr>
        <w:t>4.1本工程所需的材料设备采购，应根据本招标文件、设计技术文件和国家有关规定的具体要求进行采购，所有材料均应有合格证和质保书，符合国家规定的技术标准，并且须首先经采购人委托的具有相应资质的检测机构出具的检测合格证，然后报采购人批准后才能使用，否则采购人有权拒付此部分材料价款。当成交方选定的材料质量达不到预期质量目标要求时，采购人保留更换的权利。若使用劣质材料施工，一经发现，采购人有权制止使用，直至停工、返工或终止合同。无论采购人是否发现和制止，由于使用劣质材料施工所引起的一切责任及所发生的费用经工程师确认后，均由成交方自负。</w:t>
      </w:r>
    </w:p>
    <w:p w14:paraId="5924E4B9">
      <w:pPr>
        <w:pStyle w:val="8"/>
        <w:keepNext w:val="0"/>
        <w:keepLines w:val="0"/>
        <w:widowControl/>
        <w:suppressLineNumbers w:val="0"/>
        <w:spacing w:line="360" w:lineRule="atLeast"/>
        <w:ind w:left="0" w:firstLine="480"/>
        <w:textAlignment w:val="baseline"/>
        <w:rPr>
          <w:color w:val="auto"/>
        </w:rPr>
      </w:pPr>
      <w:r>
        <w:rPr>
          <w:rFonts w:hint="eastAsia" w:ascii="宋体" w:hAnsi="宋体" w:eastAsia="宋体" w:cs="宋体"/>
          <w:color w:val="auto"/>
          <w:spacing w:val="0"/>
          <w:sz w:val="28"/>
          <w:szCs w:val="28"/>
          <w:vertAlign w:val="baseline"/>
        </w:rPr>
        <w:t>4.2进场的所有产品必须是优质、全新、未用、配套齐全、无损的，且主要技术参数符合要求。经发包方人员检验其颜色、规格、质量和数量，签字认可后方可施工，检验不合格的，成交供 应商应予无条件调换。</w:t>
      </w:r>
    </w:p>
    <w:p w14:paraId="17FCE669">
      <w:pPr>
        <w:pStyle w:val="8"/>
        <w:keepNext w:val="0"/>
        <w:keepLines w:val="0"/>
        <w:widowControl/>
        <w:suppressLineNumbers w:val="0"/>
        <w:spacing w:line="360" w:lineRule="atLeast"/>
        <w:ind w:left="0" w:firstLine="480"/>
        <w:textAlignment w:val="baseline"/>
        <w:rPr>
          <w:rFonts w:hint="eastAsia" w:ascii="宋体" w:hAnsi="宋体" w:eastAsia="宋体" w:cs="宋体"/>
          <w:color w:val="auto"/>
          <w:spacing w:val="0"/>
          <w:sz w:val="28"/>
          <w:szCs w:val="28"/>
          <w:vertAlign w:val="baseline"/>
        </w:rPr>
      </w:pPr>
      <w:r>
        <w:rPr>
          <w:rFonts w:hint="eastAsia" w:ascii="微软雅黑" w:hAnsi="微软雅黑" w:eastAsia="微软雅黑" w:cs="微软雅黑"/>
          <w:color w:val="auto"/>
          <w:spacing w:val="0"/>
          <w:sz w:val="28"/>
          <w:szCs w:val="28"/>
          <w:vertAlign w:val="baseline"/>
        </w:rPr>
        <w:t>★</w:t>
      </w:r>
      <w:r>
        <w:rPr>
          <w:rFonts w:hint="eastAsia" w:ascii="宋体" w:hAnsi="宋体" w:eastAsia="宋体" w:cs="宋体"/>
          <w:color w:val="auto"/>
          <w:spacing w:val="0"/>
          <w:sz w:val="28"/>
          <w:szCs w:val="28"/>
          <w:vertAlign w:val="baseline"/>
        </w:rPr>
        <w:t>4.3主要建筑材料成交供应商采购前对相关颜色、规格等须经采购人确认后方可采购，施工中所有材料必须达到采购人要求，若未达要求造成的材料浪费等一切相关费用应由成交供应商自行承担。</w:t>
      </w:r>
    </w:p>
    <w:p w14:paraId="3A6FBF5D">
      <w:pPr>
        <w:pStyle w:val="8"/>
        <w:keepNext w:val="0"/>
        <w:keepLines w:val="0"/>
        <w:widowControl/>
        <w:suppressLineNumbers w:val="0"/>
        <w:spacing w:line="360" w:lineRule="atLeast"/>
        <w:ind w:left="0" w:firstLine="480"/>
        <w:textAlignment w:val="baseline"/>
        <w:rPr>
          <w:rFonts w:hint="eastAsia" w:ascii="宋体" w:hAnsi="宋体" w:eastAsia="宋体" w:cs="宋体"/>
          <w:color w:val="auto"/>
          <w:spacing w:val="0"/>
          <w:sz w:val="28"/>
          <w:szCs w:val="28"/>
          <w:vertAlign w:val="baseline"/>
        </w:rPr>
      </w:pPr>
    </w:p>
    <w:p w14:paraId="15BE3353">
      <w:pPr>
        <w:pStyle w:val="8"/>
        <w:keepNext w:val="0"/>
        <w:keepLines w:val="0"/>
        <w:widowControl/>
        <w:numPr>
          <w:ilvl w:val="0"/>
          <w:numId w:val="1"/>
        </w:numPr>
        <w:suppressLineNumbers w:val="0"/>
        <w:spacing w:line="360" w:lineRule="atLeast"/>
        <w:textAlignment w:val="baseline"/>
        <w:rPr>
          <w:rStyle w:val="12"/>
          <w:rFonts w:hint="default" w:ascii="宋体" w:hAnsi="宋体" w:eastAsia="宋体" w:cs="宋体"/>
          <w:b/>
          <w:bCs/>
          <w:color w:val="auto"/>
          <w:spacing w:val="0"/>
          <w:sz w:val="28"/>
          <w:szCs w:val="28"/>
          <w:vertAlign w:val="baseline"/>
          <w:lang w:val="en-US" w:eastAsia="zh-CN"/>
        </w:rPr>
      </w:pPr>
      <w:r>
        <w:rPr>
          <w:rFonts w:hint="eastAsia" w:ascii="宋体" w:hAnsi="宋体" w:cs="宋体"/>
          <w:b/>
          <w:bCs/>
          <w:color w:val="auto"/>
          <w:spacing w:val="0"/>
          <w:sz w:val="28"/>
          <w:szCs w:val="28"/>
          <w:vertAlign w:val="baseline"/>
          <w:lang w:val="en-US" w:eastAsia="zh-CN"/>
        </w:rPr>
        <w:t>塑胶跑道</w:t>
      </w:r>
      <w:r>
        <w:rPr>
          <w:rStyle w:val="12"/>
          <w:rFonts w:hint="eastAsia" w:ascii="宋体" w:hAnsi="宋体" w:eastAsia="宋体" w:cs="宋体"/>
          <w:b/>
          <w:bCs/>
          <w:color w:val="auto"/>
          <w:spacing w:val="0"/>
          <w:sz w:val="28"/>
          <w:szCs w:val="28"/>
          <w:vertAlign w:val="baseline"/>
        </w:rPr>
        <w:t>面层材料质量要求</w:t>
      </w:r>
    </w:p>
    <w:p w14:paraId="5A8900AF">
      <w:pPr>
        <w:pStyle w:val="8"/>
        <w:keepNext w:val="0"/>
        <w:keepLines w:val="0"/>
        <w:widowControl/>
        <w:numPr>
          <w:ilvl w:val="0"/>
          <w:numId w:val="0"/>
        </w:numPr>
        <w:suppressLineNumbers w:val="0"/>
        <w:spacing w:line="360" w:lineRule="atLeast"/>
        <w:ind w:right="0" w:rightChars="0"/>
        <w:textAlignment w:val="baseline"/>
        <w:rPr>
          <w:rStyle w:val="12"/>
          <w:rFonts w:hint="default" w:ascii="宋体" w:hAnsi="宋体" w:eastAsia="宋体" w:cs="宋体"/>
          <w:b/>
          <w:bCs/>
          <w:color w:val="auto"/>
          <w:spacing w:val="0"/>
          <w:sz w:val="28"/>
          <w:szCs w:val="28"/>
          <w:vertAlign w:val="baseline"/>
          <w:lang w:val="en-US" w:eastAsia="zh-CN"/>
        </w:rPr>
      </w:pPr>
      <w:r>
        <w:rPr>
          <w:rStyle w:val="12"/>
          <w:rFonts w:hint="eastAsia" w:ascii="宋体" w:hAnsi="宋体" w:eastAsia="宋体" w:cs="宋体"/>
          <w:color w:val="auto"/>
          <w:spacing w:val="0"/>
          <w:sz w:val="28"/>
          <w:szCs w:val="28"/>
          <w:vertAlign w:val="baseline"/>
          <w:lang w:val="en-US" w:eastAsia="zh-CN"/>
        </w:rPr>
        <w:t>5.1塑胶跑道成品符合下列要求</w:t>
      </w:r>
    </w:p>
    <w:p w14:paraId="0793F8E2">
      <w:pPr>
        <w:pStyle w:val="4"/>
        <w:widowControl/>
        <w:adjustRightInd w:val="0"/>
        <w:snapToGrid w:val="0"/>
        <w:ind w:firstLine="2319" w:firstLineChars="1100"/>
        <w:rPr>
          <w:rFonts w:hAnsi="宋体" w:cs="宋体"/>
          <w:b/>
          <w:color w:val="auto"/>
          <w:szCs w:val="22"/>
        </w:rPr>
      </w:pPr>
      <w:r>
        <w:rPr>
          <w:rFonts w:hAnsi="宋体" w:cs="宋体"/>
          <w:b/>
          <w:color w:val="auto"/>
          <w:szCs w:val="22"/>
        </w:rPr>
        <w:t>混合塑胶物理机械性能要求</w:t>
      </w:r>
    </w:p>
    <w:tbl>
      <w:tblPr>
        <w:tblStyle w:val="9"/>
        <w:tblW w:w="0" w:type="auto"/>
        <w:jc w:val="center"/>
        <w:tblLayout w:type="fixed"/>
        <w:tblCellMar>
          <w:top w:w="0" w:type="dxa"/>
          <w:left w:w="108" w:type="dxa"/>
          <w:bottom w:w="0" w:type="dxa"/>
          <w:right w:w="108" w:type="dxa"/>
        </w:tblCellMar>
      </w:tblPr>
      <w:tblGrid>
        <w:gridCol w:w="4005"/>
        <w:gridCol w:w="4306"/>
      </w:tblGrid>
      <w:tr w14:paraId="3A7B5C7C">
        <w:tblPrEx>
          <w:tblCellMar>
            <w:top w:w="0" w:type="dxa"/>
            <w:left w:w="108" w:type="dxa"/>
            <w:bottom w:w="0" w:type="dxa"/>
            <w:right w:w="108" w:type="dxa"/>
          </w:tblCellMar>
        </w:tblPrEx>
        <w:trPr>
          <w:trHeight w:val="404" w:hRule="exact"/>
          <w:jc w:val="center"/>
        </w:trPr>
        <w:tc>
          <w:tcPr>
            <w:tcW w:w="4005" w:type="dxa"/>
            <w:tcBorders>
              <w:top w:val="single" w:color="auto" w:sz="4" w:space="0"/>
              <w:left w:val="single" w:color="auto" w:sz="4" w:space="0"/>
              <w:bottom w:val="single" w:color="auto" w:sz="4" w:space="0"/>
              <w:right w:val="single" w:color="auto" w:sz="4" w:space="0"/>
            </w:tcBorders>
            <w:noWrap w:val="0"/>
            <w:vAlign w:val="center"/>
          </w:tcPr>
          <w:p w14:paraId="390E70DA">
            <w:pPr>
              <w:jc w:val="center"/>
              <w:rPr>
                <w:rFonts w:hint="eastAsia" w:ascii="宋体" w:hAnsi="宋体" w:cs="宋体"/>
                <w:color w:val="auto"/>
                <w:szCs w:val="22"/>
              </w:rPr>
            </w:pPr>
            <w:r>
              <w:rPr>
                <w:rFonts w:hint="eastAsia" w:ascii="宋体" w:hAnsi="宋体" w:cs="宋体"/>
                <w:color w:val="auto"/>
                <w:szCs w:val="22"/>
                <w:lang w:bidi="ar"/>
              </w:rPr>
              <w:t>项目</w:t>
            </w:r>
          </w:p>
        </w:tc>
        <w:tc>
          <w:tcPr>
            <w:tcW w:w="4306" w:type="dxa"/>
            <w:tcBorders>
              <w:top w:val="single" w:color="auto" w:sz="4" w:space="0"/>
              <w:left w:val="single" w:color="auto" w:sz="4" w:space="0"/>
              <w:bottom w:val="single" w:color="auto" w:sz="4" w:space="0"/>
              <w:right w:val="single" w:color="auto" w:sz="4" w:space="0"/>
            </w:tcBorders>
            <w:noWrap w:val="0"/>
            <w:vAlign w:val="center"/>
          </w:tcPr>
          <w:p w14:paraId="010CAC10">
            <w:pPr>
              <w:jc w:val="center"/>
              <w:rPr>
                <w:rFonts w:hint="eastAsia" w:ascii="宋体" w:hAnsi="宋体" w:cs="宋体"/>
                <w:color w:val="auto"/>
                <w:szCs w:val="22"/>
              </w:rPr>
            </w:pPr>
            <w:r>
              <w:rPr>
                <w:rFonts w:hint="eastAsia" w:ascii="宋体" w:hAnsi="宋体" w:cs="宋体"/>
                <w:color w:val="auto"/>
                <w:szCs w:val="22"/>
                <w:lang w:bidi="ar"/>
              </w:rPr>
              <w:t>要求</w:t>
            </w:r>
          </w:p>
        </w:tc>
      </w:tr>
      <w:tr w14:paraId="441C29EF">
        <w:tblPrEx>
          <w:tblCellMar>
            <w:top w:w="0" w:type="dxa"/>
            <w:left w:w="108" w:type="dxa"/>
            <w:bottom w:w="0" w:type="dxa"/>
            <w:right w:w="108" w:type="dxa"/>
          </w:tblCellMar>
        </w:tblPrEx>
        <w:trPr>
          <w:trHeight w:val="340" w:hRule="atLeast"/>
          <w:jc w:val="center"/>
        </w:trPr>
        <w:tc>
          <w:tcPr>
            <w:tcW w:w="4005" w:type="dxa"/>
            <w:tcBorders>
              <w:top w:val="single" w:color="auto" w:sz="4" w:space="0"/>
              <w:left w:val="single" w:color="auto" w:sz="4" w:space="0"/>
              <w:bottom w:val="single" w:color="auto" w:sz="4" w:space="0"/>
              <w:right w:val="single" w:color="auto" w:sz="4" w:space="0"/>
            </w:tcBorders>
            <w:noWrap w:val="0"/>
            <w:vAlign w:val="center"/>
          </w:tcPr>
          <w:p w14:paraId="1B5BD51B">
            <w:pPr>
              <w:jc w:val="center"/>
              <w:rPr>
                <w:rFonts w:hint="eastAsia" w:ascii="宋体" w:hAnsi="宋体" w:cs="宋体"/>
                <w:color w:val="auto"/>
                <w:szCs w:val="22"/>
              </w:rPr>
            </w:pPr>
            <w:r>
              <w:rPr>
                <w:rFonts w:hint="eastAsia" w:ascii="宋体" w:hAnsi="宋体" w:cs="宋体"/>
                <w:color w:val="auto"/>
                <w:szCs w:val="22"/>
                <w:lang w:bidi="ar"/>
              </w:rPr>
              <w:t>冲击吸收/%</w:t>
            </w:r>
          </w:p>
          <w:p w14:paraId="39E8F9DE">
            <w:pPr>
              <w:jc w:val="center"/>
              <w:rPr>
                <w:rFonts w:hint="eastAsia" w:ascii="宋体" w:hAnsi="宋体" w:cs="宋体"/>
                <w:color w:val="auto"/>
                <w:szCs w:val="22"/>
              </w:rPr>
            </w:pPr>
            <w:r>
              <w:rPr>
                <w:rFonts w:hint="eastAsia" w:ascii="宋体" w:hAnsi="宋体" w:cs="宋体"/>
                <w:color w:val="auto"/>
                <w:szCs w:val="22"/>
                <w:lang w:bidi="ar"/>
              </w:rPr>
              <w:t>田径场地</w:t>
            </w:r>
          </w:p>
        </w:tc>
        <w:tc>
          <w:tcPr>
            <w:tcW w:w="4306" w:type="dxa"/>
            <w:tcBorders>
              <w:top w:val="single" w:color="auto" w:sz="4" w:space="0"/>
              <w:left w:val="single" w:color="auto" w:sz="4" w:space="0"/>
              <w:bottom w:val="single" w:color="auto" w:sz="4" w:space="0"/>
              <w:right w:val="single" w:color="auto" w:sz="4" w:space="0"/>
            </w:tcBorders>
            <w:noWrap w:val="0"/>
            <w:vAlign w:val="center"/>
          </w:tcPr>
          <w:p w14:paraId="77162204">
            <w:pPr>
              <w:jc w:val="center"/>
              <w:rPr>
                <w:rFonts w:hint="eastAsia" w:ascii="宋体" w:hAnsi="宋体" w:cs="宋体"/>
                <w:color w:val="auto"/>
                <w:szCs w:val="22"/>
              </w:rPr>
            </w:pPr>
            <w:r>
              <w:rPr>
                <w:rFonts w:hint="eastAsia" w:ascii="宋体" w:hAnsi="宋体" w:cs="宋体"/>
                <w:color w:val="auto"/>
                <w:szCs w:val="22"/>
                <w:lang w:bidi="ar"/>
              </w:rPr>
              <w:t>35~50</w:t>
            </w:r>
          </w:p>
        </w:tc>
      </w:tr>
      <w:tr w14:paraId="2E7BEDA6">
        <w:tblPrEx>
          <w:tblCellMar>
            <w:top w:w="0" w:type="dxa"/>
            <w:left w:w="108" w:type="dxa"/>
            <w:bottom w:w="0" w:type="dxa"/>
            <w:right w:w="108" w:type="dxa"/>
          </w:tblCellMar>
        </w:tblPrEx>
        <w:trPr>
          <w:trHeight w:val="340" w:hRule="atLeast"/>
          <w:jc w:val="center"/>
        </w:trPr>
        <w:tc>
          <w:tcPr>
            <w:tcW w:w="4005" w:type="dxa"/>
            <w:tcBorders>
              <w:top w:val="single" w:color="auto" w:sz="4" w:space="0"/>
              <w:left w:val="single" w:color="auto" w:sz="4" w:space="0"/>
              <w:bottom w:val="single" w:color="auto" w:sz="4" w:space="0"/>
              <w:right w:val="single" w:color="auto" w:sz="4" w:space="0"/>
            </w:tcBorders>
            <w:noWrap w:val="0"/>
            <w:vAlign w:val="center"/>
          </w:tcPr>
          <w:p w14:paraId="7D3FBF39">
            <w:pPr>
              <w:jc w:val="center"/>
              <w:rPr>
                <w:rFonts w:hint="eastAsia" w:ascii="宋体" w:hAnsi="宋体" w:cs="宋体"/>
                <w:color w:val="auto"/>
                <w:szCs w:val="22"/>
              </w:rPr>
            </w:pPr>
            <w:r>
              <w:rPr>
                <w:rFonts w:hint="eastAsia" w:ascii="宋体" w:hAnsi="宋体" w:cs="宋体"/>
                <w:color w:val="auto"/>
                <w:szCs w:val="22"/>
                <w:lang w:bidi="ar"/>
              </w:rPr>
              <w:t>垂直变形/mm</w:t>
            </w:r>
          </w:p>
        </w:tc>
        <w:tc>
          <w:tcPr>
            <w:tcW w:w="4306" w:type="dxa"/>
            <w:tcBorders>
              <w:top w:val="single" w:color="auto" w:sz="4" w:space="0"/>
              <w:left w:val="single" w:color="auto" w:sz="4" w:space="0"/>
              <w:bottom w:val="single" w:color="auto" w:sz="4" w:space="0"/>
              <w:right w:val="single" w:color="auto" w:sz="4" w:space="0"/>
            </w:tcBorders>
            <w:noWrap w:val="0"/>
            <w:vAlign w:val="center"/>
          </w:tcPr>
          <w:p w14:paraId="56888995">
            <w:pPr>
              <w:jc w:val="center"/>
              <w:rPr>
                <w:rFonts w:hint="eastAsia" w:ascii="宋体" w:hAnsi="宋体" w:cs="宋体"/>
                <w:color w:val="auto"/>
                <w:szCs w:val="22"/>
              </w:rPr>
            </w:pPr>
            <w:r>
              <w:rPr>
                <w:rFonts w:hint="eastAsia" w:ascii="宋体" w:hAnsi="宋体" w:cs="宋体"/>
                <w:color w:val="auto"/>
                <w:szCs w:val="22"/>
                <w:lang w:bidi="ar"/>
              </w:rPr>
              <w:t>0.6~3.0</w:t>
            </w:r>
          </w:p>
        </w:tc>
      </w:tr>
      <w:tr w14:paraId="52B7FF46">
        <w:tblPrEx>
          <w:tblCellMar>
            <w:top w:w="0" w:type="dxa"/>
            <w:left w:w="108" w:type="dxa"/>
            <w:bottom w:w="0" w:type="dxa"/>
            <w:right w:w="108" w:type="dxa"/>
          </w:tblCellMar>
        </w:tblPrEx>
        <w:trPr>
          <w:trHeight w:val="340" w:hRule="atLeast"/>
          <w:jc w:val="center"/>
        </w:trPr>
        <w:tc>
          <w:tcPr>
            <w:tcW w:w="4005" w:type="dxa"/>
            <w:tcBorders>
              <w:top w:val="single" w:color="auto" w:sz="4" w:space="0"/>
              <w:left w:val="single" w:color="auto" w:sz="4" w:space="0"/>
              <w:bottom w:val="single" w:color="auto" w:sz="4" w:space="0"/>
              <w:right w:val="single" w:color="auto" w:sz="4" w:space="0"/>
            </w:tcBorders>
            <w:noWrap w:val="0"/>
            <w:vAlign w:val="center"/>
          </w:tcPr>
          <w:p w14:paraId="72F6CB22">
            <w:pPr>
              <w:jc w:val="center"/>
              <w:rPr>
                <w:rFonts w:hint="eastAsia" w:ascii="宋体" w:hAnsi="宋体" w:cs="宋体"/>
                <w:color w:val="auto"/>
                <w:szCs w:val="22"/>
              </w:rPr>
            </w:pPr>
            <w:r>
              <w:rPr>
                <w:rFonts w:hint="eastAsia" w:ascii="宋体" w:hAnsi="宋体" w:cs="宋体"/>
                <w:color w:val="auto"/>
                <w:szCs w:val="22"/>
                <w:lang w:bidi="ar"/>
              </w:rPr>
              <w:t>抗滑值（20℃）/BPN</w:t>
            </w:r>
          </w:p>
          <w:p w14:paraId="2E779CAA">
            <w:pPr>
              <w:jc w:val="center"/>
              <w:rPr>
                <w:rFonts w:hint="eastAsia" w:ascii="宋体" w:hAnsi="宋体" w:cs="宋体"/>
                <w:color w:val="auto"/>
                <w:szCs w:val="22"/>
              </w:rPr>
            </w:pPr>
            <w:r>
              <w:rPr>
                <w:rFonts w:hint="eastAsia" w:ascii="宋体" w:hAnsi="宋体" w:cs="宋体"/>
                <w:color w:val="auto"/>
                <w:szCs w:val="22"/>
                <w:lang w:bidi="ar"/>
              </w:rPr>
              <w:t>田径场地</w:t>
            </w:r>
          </w:p>
        </w:tc>
        <w:tc>
          <w:tcPr>
            <w:tcW w:w="4306" w:type="dxa"/>
            <w:tcBorders>
              <w:top w:val="single" w:color="auto" w:sz="4" w:space="0"/>
              <w:left w:val="single" w:color="auto" w:sz="4" w:space="0"/>
              <w:bottom w:val="single" w:color="auto" w:sz="4" w:space="0"/>
              <w:right w:val="single" w:color="auto" w:sz="4" w:space="0"/>
            </w:tcBorders>
            <w:noWrap w:val="0"/>
            <w:vAlign w:val="center"/>
          </w:tcPr>
          <w:p w14:paraId="35E2EABD">
            <w:pPr>
              <w:jc w:val="center"/>
              <w:rPr>
                <w:rFonts w:hint="eastAsia" w:ascii="宋体" w:hAnsi="宋体" w:cs="宋体"/>
                <w:color w:val="auto"/>
                <w:szCs w:val="22"/>
              </w:rPr>
            </w:pPr>
            <w:r>
              <w:rPr>
                <w:rFonts w:hint="eastAsia" w:ascii="宋体" w:hAnsi="宋体" w:cs="宋体"/>
                <w:color w:val="auto"/>
                <w:szCs w:val="22"/>
                <w:lang w:bidi="ar"/>
              </w:rPr>
              <w:t>≥47（湿测）</w:t>
            </w:r>
          </w:p>
        </w:tc>
      </w:tr>
      <w:tr w14:paraId="70B9DF46">
        <w:tblPrEx>
          <w:tblCellMar>
            <w:top w:w="0" w:type="dxa"/>
            <w:left w:w="108" w:type="dxa"/>
            <w:bottom w:w="0" w:type="dxa"/>
            <w:right w:w="108" w:type="dxa"/>
          </w:tblCellMar>
        </w:tblPrEx>
        <w:trPr>
          <w:trHeight w:val="340" w:hRule="atLeast"/>
          <w:jc w:val="center"/>
        </w:trPr>
        <w:tc>
          <w:tcPr>
            <w:tcW w:w="4005" w:type="dxa"/>
            <w:tcBorders>
              <w:top w:val="single" w:color="auto" w:sz="4" w:space="0"/>
              <w:left w:val="single" w:color="auto" w:sz="4" w:space="0"/>
              <w:bottom w:val="single" w:color="auto" w:sz="4" w:space="0"/>
              <w:right w:val="single" w:color="auto" w:sz="4" w:space="0"/>
            </w:tcBorders>
            <w:noWrap w:val="0"/>
            <w:vAlign w:val="center"/>
          </w:tcPr>
          <w:p w14:paraId="010D6474">
            <w:pPr>
              <w:jc w:val="center"/>
              <w:rPr>
                <w:rFonts w:hint="eastAsia" w:ascii="宋体" w:hAnsi="宋体" w:cs="宋体"/>
                <w:color w:val="auto"/>
                <w:szCs w:val="22"/>
              </w:rPr>
            </w:pPr>
            <w:r>
              <w:rPr>
                <w:rFonts w:hint="eastAsia" w:ascii="宋体" w:hAnsi="宋体" w:cs="宋体"/>
                <w:color w:val="auto"/>
                <w:szCs w:val="22"/>
                <w:lang w:bidi="ar"/>
              </w:rPr>
              <w:t>拉伸强度/MPa</w:t>
            </w:r>
          </w:p>
        </w:tc>
        <w:tc>
          <w:tcPr>
            <w:tcW w:w="4306" w:type="dxa"/>
            <w:tcBorders>
              <w:top w:val="single" w:color="auto" w:sz="4" w:space="0"/>
              <w:left w:val="single" w:color="auto" w:sz="4" w:space="0"/>
              <w:bottom w:val="single" w:color="auto" w:sz="4" w:space="0"/>
              <w:right w:val="single" w:color="auto" w:sz="4" w:space="0"/>
            </w:tcBorders>
            <w:noWrap w:val="0"/>
            <w:vAlign w:val="center"/>
          </w:tcPr>
          <w:p w14:paraId="14E1116A">
            <w:pPr>
              <w:jc w:val="center"/>
              <w:rPr>
                <w:rFonts w:hint="eastAsia" w:ascii="宋体" w:hAnsi="宋体" w:cs="宋体"/>
                <w:color w:val="auto"/>
                <w:szCs w:val="22"/>
              </w:rPr>
            </w:pPr>
            <w:r>
              <w:rPr>
                <w:rFonts w:hint="eastAsia" w:ascii="宋体" w:hAnsi="宋体" w:cs="宋体"/>
                <w:color w:val="auto"/>
                <w:szCs w:val="22"/>
                <w:lang w:bidi="ar"/>
              </w:rPr>
              <w:t>≥0.5</w:t>
            </w:r>
          </w:p>
        </w:tc>
      </w:tr>
      <w:tr w14:paraId="753642C1">
        <w:tblPrEx>
          <w:tblCellMar>
            <w:top w:w="0" w:type="dxa"/>
            <w:left w:w="108" w:type="dxa"/>
            <w:bottom w:w="0" w:type="dxa"/>
            <w:right w:w="108" w:type="dxa"/>
          </w:tblCellMar>
        </w:tblPrEx>
        <w:trPr>
          <w:trHeight w:val="340" w:hRule="atLeast"/>
          <w:jc w:val="center"/>
        </w:trPr>
        <w:tc>
          <w:tcPr>
            <w:tcW w:w="4005" w:type="dxa"/>
            <w:tcBorders>
              <w:top w:val="single" w:color="auto" w:sz="4" w:space="0"/>
              <w:left w:val="single" w:color="auto" w:sz="4" w:space="0"/>
              <w:bottom w:val="single" w:color="auto" w:sz="4" w:space="0"/>
              <w:right w:val="single" w:color="auto" w:sz="4" w:space="0"/>
            </w:tcBorders>
            <w:noWrap w:val="0"/>
            <w:vAlign w:val="center"/>
          </w:tcPr>
          <w:p w14:paraId="381DB5EC">
            <w:pPr>
              <w:jc w:val="center"/>
              <w:rPr>
                <w:rFonts w:hint="eastAsia" w:ascii="宋体" w:hAnsi="宋体" w:cs="宋体"/>
                <w:color w:val="auto"/>
                <w:szCs w:val="22"/>
              </w:rPr>
            </w:pPr>
            <w:r>
              <w:rPr>
                <w:rFonts w:hint="eastAsia" w:ascii="宋体" w:hAnsi="宋体" w:cs="宋体"/>
                <w:color w:val="auto"/>
                <w:szCs w:val="22"/>
                <w:lang w:bidi="ar"/>
              </w:rPr>
              <w:t>拉断伸长率/%</w:t>
            </w:r>
          </w:p>
        </w:tc>
        <w:tc>
          <w:tcPr>
            <w:tcW w:w="4306" w:type="dxa"/>
            <w:tcBorders>
              <w:top w:val="single" w:color="auto" w:sz="4" w:space="0"/>
              <w:left w:val="single" w:color="auto" w:sz="4" w:space="0"/>
              <w:bottom w:val="single" w:color="auto" w:sz="4" w:space="0"/>
              <w:right w:val="single" w:color="auto" w:sz="4" w:space="0"/>
            </w:tcBorders>
            <w:noWrap w:val="0"/>
            <w:vAlign w:val="center"/>
          </w:tcPr>
          <w:p w14:paraId="5142A345">
            <w:pPr>
              <w:jc w:val="center"/>
              <w:rPr>
                <w:rFonts w:hint="eastAsia" w:ascii="宋体" w:hAnsi="宋体" w:cs="宋体"/>
                <w:color w:val="auto"/>
                <w:szCs w:val="22"/>
              </w:rPr>
            </w:pPr>
            <w:r>
              <w:rPr>
                <w:rFonts w:hint="eastAsia" w:ascii="宋体" w:hAnsi="宋体" w:cs="宋体"/>
                <w:color w:val="auto"/>
                <w:szCs w:val="22"/>
                <w:lang w:bidi="ar"/>
              </w:rPr>
              <w:t>≥40</w:t>
            </w:r>
          </w:p>
        </w:tc>
      </w:tr>
      <w:tr w14:paraId="2869CB06">
        <w:tblPrEx>
          <w:tblCellMar>
            <w:top w:w="0" w:type="dxa"/>
            <w:left w:w="108" w:type="dxa"/>
            <w:bottom w:w="0" w:type="dxa"/>
            <w:right w:w="108" w:type="dxa"/>
          </w:tblCellMar>
        </w:tblPrEx>
        <w:trPr>
          <w:trHeight w:val="340" w:hRule="atLeast"/>
          <w:jc w:val="center"/>
        </w:trPr>
        <w:tc>
          <w:tcPr>
            <w:tcW w:w="4005" w:type="dxa"/>
            <w:tcBorders>
              <w:top w:val="single" w:color="auto" w:sz="4" w:space="0"/>
              <w:left w:val="single" w:color="auto" w:sz="4" w:space="0"/>
              <w:bottom w:val="single" w:color="auto" w:sz="4" w:space="0"/>
              <w:right w:val="single" w:color="auto" w:sz="4" w:space="0"/>
            </w:tcBorders>
            <w:noWrap w:val="0"/>
            <w:vAlign w:val="center"/>
          </w:tcPr>
          <w:p w14:paraId="7C15E128">
            <w:pPr>
              <w:jc w:val="center"/>
              <w:rPr>
                <w:rFonts w:hint="eastAsia" w:ascii="宋体" w:hAnsi="宋体" w:cs="宋体"/>
                <w:color w:val="auto"/>
                <w:szCs w:val="22"/>
              </w:rPr>
            </w:pPr>
            <w:r>
              <w:rPr>
                <w:rFonts w:hint="eastAsia" w:ascii="宋体" w:hAnsi="宋体" w:cs="宋体"/>
                <w:color w:val="auto"/>
                <w:szCs w:val="22"/>
                <w:lang w:bidi="ar"/>
              </w:rPr>
              <w:t>阻燃性能/级</w:t>
            </w:r>
          </w:p>
        </w:tc>
        <w:tc>
          <w:tcPr>
            <w:tcW w:w="4306" w:type="dxa"/>
            <w:tcBorders>
              <w:top w:val="single" w:color="auto" w:sz="4" w:space="0"/>
              <w:left w:val="single" w:color="auto" w:sz="4" w:space="0"/>
              <w:bottom w:val="single" w:color="auto" w:sz="4" w:space="0"/>
              <w:right w:val="single" w:color="auto" w:sz="4" w:space="0"/>
            </w:tcBorders>
            <w:noWrap w:val="0"/>
            <w:vAlign w:val="center"/>
          </w:tcPr>
          <w:p w14:paraId="5250F487">
            <w:pPr>
              <w:jc w:val="center"/>
              <w:rPr>
                <w:rFonts w:hint="eastAsia" w:ascii="宋体" w:hAnsi="宋体" w:cs="宋体"/>
                <w:color w:val="auto"/>
                <w:szCs w:val="22"/>
              </w:rPr>
            </w:pPr>
            <w:r>
              <w:rPr>
                <w:rFonts w:hint="eastAsia" w:ascii="宋体" w:hAnsi="宋体" w:cs="宋体"/>
                <w:color w:val="auto"/>
                <w:szCs w:val="22"/>
                <w:lang w:bidi="ar"/>
              </w:rPr>
              <w:t>Ⅰ</w:t>
            </w:r>
          </w:p>
        </w:tc>
      </w:tr>
    </w:tbl>
    <w:p w14:paraId="6EDAC58D">
      <w:pPr>
        <w:jc w:val="center"/>
        <w:rPr>
          <w:rFonts w:hint="eastAsia" w:ascii="宋体" w:hAnsi="宋体" w:cs="宋体"/>
          <w:b/>
          <w:color w:val="auto"/>
          <w:szCs w:val="22"/>
          <w:lang w:bidi="ar"/>
        </w:rPr>
      </w:pPr>
    </w:p>
    <w:p w14:paraId="64C4D97E">
      <w:pPr>
        <w:jc w:val="center"/>
        <w:rPr>
          <w:rFonts w:hint="eastAsia" w:ascii="宋体" w:hAnsi="宋体" w:cs="宋体"/>
          <w:b/>
          <w:color w:val="auto"/>
          <w:szCs w:val="22"/>
          <w:lang w:bidi="ar"/>
        </w:rPr>
      </w:pPr>
    </w:p>
    <w:p w14:paraId="17CD3FAD">
      <w:pPr>
        <w:jc w:val="center"/>
        <w:rPr>
          <w:rFonts w:hint="default"/>
          <w:color w:val="auto"/>
          <w:lang w:val="en-US" w:eastAsia="zh-CN"/>
        </w:rPr>
      </w:pPr>
      <w:r>
        <w:rPr>
          <w:rFonts w:hint="eastAsia" w:ascii="宋体" w:hAnsi="宋体" w:cs="宋体"/>
          <w:b/>
          <w:color w:val="auto"/>
          <w:szCs w:val="22"/>
          <w:lang w:bidi="ar"/>
        </w:rPr>
        <w:t>混合型塑胶面层成品中有害物质限量及气味要求</w:t>
      </w:r>
    </w:p>
    <w:tbl>
      <w:tblPr>
        <w:tblStyle w:val="9"/>
        <w:tblW w:w="8339" w:type="dxa"/>
        <w:jc w:val="center"/>
        <w:tblLayout w:type="fixed"/>
        <w:tblCellMar>
          <w:top w:w="0" w:type="dxa"/>
          <w:left w:w="108" w:type="dxa"/>
          <w:bottom w:w="0" w:type="dxa"/>
          <w:right w:w="108" w:type="dxa"/>
        </w:tblCellMar>
      </w:tblPr>
      <w:tblGrid>
        <w:gridCol w:w="1196"/>
        <w:gridCol w:w="724"/>
        <w:gridCol w:w="4965"/>
        <w:gridCol w:w="1454"/>
      </w:tblGrid>
      <w:tr w14:paraId="13E7F507">
        <w:tblPrEx>
          <w:tblCellMar>
            <w:top w:w="0" w:type="dxa"/>
            <w:left w:w="108" w:type="dxa"/>
            <w:bottom w:w="0" w:type="dxa"/>
            <w:right w:w="108" w:type="dxa"/>
          </w:tblCellMar>
        </w:tblPrEx>
        <w:trPr>
          <w:trHeight w:val="465" w:hRule="atLeast"/>
          <w:jc w:val="center"/>
        </w:trPr>
        <w:tc>
          <w:tcPr>
            <w:tcW w:w="6885" w:type="dxa"/>
            <w:gridSpan w:val="3"/>
            <w:tcBorders>
              <w:top w:val="single" w:color="auto" w:sz="4" w:space="0"/>
              <w:left w:val="single" w:color="auto" w:sz="4" w:space="0"/>
              <w:bottom w:val="single" w:color="auto" w:sz="4" w:space="0"/>
              <w:right w:val="single" w:color="000000" w:sz="4" w:space="0"/>
            </w:tcBorders>
            <w:noWrap w:val="0"/>
            <w:vAlign w:val="center"/>
          </w:tcPr>
          <w:p w14:paraId="2536A3A7">
            <w:pPr>
              <w:pageBreakBefore w:val="0"/>
              <w:widowControl/>
              <w:kinsoku/>
              <w:overflowPunct/>
              <w:topLinePunct w:val="0"/>
              <w:bidi w:val="0"/>
              <w:snapToGrid/>
              <w:ind w:firstLine="412" w:firstLineChars="200"/>
              <w:jc w:val="center"/>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 xml:space="preserve">检测项目 </w:t>
            </w:r>
          </w:p>
        </w:tc>
        <w:tc>
          <w:tcPr>
            <w:tcW w:w="1454" w:type="dxa"/>
            <w:tcBorders>
              <w:top w:val="single" w:color="auto" w:sz="4" w:space="0"/>
              <w:left w:val="nil"/>
              <w:bottom w:val="single" w:color="auto" w:sz="4" w:space="0"/>
              <w:right w:val="single" w:color="auto" w:sz="4" w:space="0"/>
            </w:tcBorders>
            <w:noWrap w:val="0"/>
            <w:vAlign w:val="center"/>
          </w:tcPr>
          <w:p w14:paraId="4BF51193">
            <w:pPr>
              <w:pageBreakBefore w:val="0"/>
              <w:widowControl/>
              <w:kinsoku/>
              <w:overflowPunct/>
              <w:topLinePunct w:val="0"/>
              <w:bidi w:val="0"/>
              <w:snapToGrid/>
              <w:ind w:firstLine="412" w:firstLineChars="200"/>
              <w:jc w:val="center"/>
              <w:rPr>
                <w:rFonts w:hint="default"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要求</w:t>
            </w:r>
          </w:p>
        </w:tc>
      </w:tr>
      <w:tr w14:paraId="48A79B6D">
        <w:tblPrEx>
          <w:tblCellMar>
            <w:top w:w="0" w:type="dxa"/>
            <w:left w:w="108" w:type="dxa"/>
            <w:bottom w:w="0" w:type="dxa"/>
            <w:right w:w="108" w:type="dxa"/>
          </w:tblCellMar>
        </w:tblPrEx>
        <w:trPr>
          <w:trHeight w:val="660" w:hRule="atLeast"/>
          <w:jc w:val="center"/>
        </w:trPr>
        <w:tc>
          <w:tcPr>
            <w:tcW w:w="1196" w:type="dxa"/>
            <w:vMerge w:val="restart"/>
            <w:tcBorders>
              <w:top w:val="single" w:color="auto" w:sz="4" w:space="0"/>
              <w:left w:val="single" w:color="auto" w:sz="4" w:space="0"/>
              <w:right w:val="single" w:color="auto" w:sz="4" w:space="0"/>
            </w:tcBorders>
            <w:noWrap w:val="0"/>
            <w:vAlign w:val="center"/>
          </w:tcPr>
          <w:p w14:paraId="6E83BE85">
            <w:pPr>
              <w:pageBreakBefore w:val="0"/>
              <w:widowControl/>
              <w:kinsoku/>
              <w:overflowPunct/>
              <w:topLinePunct w:val="0"/>
              <w:bidi w:val="0"/>
              <w:snapToGrid/>
              <w:jc w:val="both"/>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lang w:eastAsia="zh-CN"/>
              </w:rPr>
              <w:t>有害物质含量</w:t>
            </w:r>
            <w:r>
              <w:rPr>
                <w:rFonts w:hint="eastAsia" w:ascii="宋体" w:hAnsi="宋体" w:eastAsia="宋体" w:cs="宋体"/>
                <w:color w:val="auto"/>
                <w:spacing w:val="-2"/>
                <w:sz w:val="21"/>
                <w:szCs w:val="21"/>
              </w:rPr>
              <w:t xml:space="preserve"> </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19B5302D">
            <w:pPr>
              <w:pageBreakBefore w:val="0"/>
              <w:widowControl/>
              <w:kinsoku/>
              <w:overflowPunct/>
              <w:topLinePunct w:val="0"/>
              <w:bidi w:val="0"/>
              <w:snapToGrid/>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1</w:t>
            </w:r>
          </w:p>
        </w:tc>
        <w:tc>
          <w:tcPr>
            <w:tcW w:w="4965" w:type="dxa"/>
            <w:tcBorders>
              <w:top w:val="single" w:color="auto" w:sz="4" w:space="0"/>
              <w:left w:val="single" w:color="auto" w:sz="4" w:space="0"/>
              <w:bottom w:val="single" w:color="auto" w:sz="4" w:space="0"/>
              <w:right w:val="single" w:color="auto" w:sz="4" w:space="0"/>
            </w:tcBorders>
            <w:noWrap w:val="0"/>
            <w:vAlign w:val="center"/>
          </w:tcPr>
          <w:p w14:paraId="5E2B2457">
            <w:pPr>
              <w:pageBreakBefore w:val="0"/>
              <w:widowControl/>
              <w:kinsoku/>
              <w:overflowPunct/>
              <w:topLinePunct w:val="0"/>
              <w:bidi w:val="0"/>
              <w:snapToGrid/>
              <w:ind w:firstLine="420" w:firstLineChars="200"/>
              <w:jc w:val="center"/>
              <w:rPr>
                <w:rFonts w:hint="eastAsia" w:ascii="宋体" w:hAnsi="宋体" w:eastAsia="宋体" w:cs="宋体"/>
                <w:color w:val="auto"/>
                <w:spacing w:val="-50"/>
                <w:w w:val="100"/>
                <w:sz w:val="21"/>
                <w:szCs w:val="21"/>
                <w:lang w:val="en-US" w:eastAsia="zh-CN"/>
              </w:rPr>
            </w:pPr>
            <w:r>
              <w:rPr>
                <w:rFonts w:hint="eastAsia" w:ascii="宋体" w:hAnsi="宋体" w:eastAsia="宋体" w:cs="宋体"/>
                <w:color w:val="auto"/>
                <w:spacing w:val="0"/>
                <w:sz w:val="21"/>
                <w:szCs w:val="21"/>
              </w:rPr>
              <w:t>3</w:t>
            </w:r>
            <w:r>
              <w:rPr>
                <w:rFonts w:hint="eastAsia" w:ascii="宋体" w:hAnsi="宋体" w:eastAsia="宋体" w:cs="宋体"/>
                <w:color w:val="auto"/>
                <w:spacing w:val="-54"/>
                <w:sz w:val="21"/>
                <w:szCs w:val="21"/>
              </w:rPr>
              <w:t xml:space="preserve"> </w:t>
            </w:r>
            <w:r>
              <w:rPr>
                <w:rFonts w:hint="eastAsia" w:ascii="宋体" w:hAnsi="宋体" w:eastAsia="宋体" w:cs="宋体"/>
                <w:color w:val="auto"/>
                <w:spacing w:val="0"/>
                <w:w w:val="100"/>
                <w:sz w:val="21"/>
                <w:szCs w:val="21"/>
              </w:rPr>
              <w:t>种</w:t>
            </w:r>
            <w:r>
              <w:rPr>
                <w:rFonts w:hint="eastAsia" w:ascii="宋体" w:hAnsi="宋体" w:eastAsia="宋体" w:cs="宋体"/>
                <w:color w:val="auto"/>
                <w:spacing w:val="-2"/>
                <w:w w:val="100"/>
                <w:sz w:val="21"/>
                <w:szCs w:val="21"/>
              </w:rPr>
              <w:t>邻</w:t>
            </w:r>
            <w:r>
              <w:rPr>
                <w:rFonts w:hint="eastAsia" w:ascii="宋体" w:hAnsi="宋体" w:eastAsia="宋体" w:cs="宋体"/>
                <w:color w:val="auto"/>
                <w:spacing w:val="0"/>
                <w:w w:val="100"/>
                <w:sz w:val="21"/>
                <w:szCs w:val="21"/>
              </w:rPr>
              <w:t>苯</w:t>
            </w:r>
            <w:r>
              <w:rPr>
                <w:rFonts w:hint="eastAsia" w:ascii="宋体" w:hAnsi="宋体" w:eastAsia="宋体" w:cs="宋体"/>
                <w:color w:val="auto"/>
                <w:spacing w:val="-2"/>
                <w:w w:val="100"/>
                <w:sz w:val="21"/>
                <w:szCs w:val="21"/>
              </w:rPr>
              <w:t>二</w:t>
            </w:r>
            <w:r>
              <w:rPr>
                <w:rFonts w:hint="eastAsia" w:ascii="宋体" w:hAnsi="宋体" w:eastAsia="宋体" w:cs="宋体"/>
                <w:color w:val="auto"/>
                <w:spacing w:val="0"/>
                <w:w w:val="100"/>
                <w:sz w:val="21"/>
                <w:szCs w:val="21"/>
              </w:rPr>
              <w:t>甲</w:t>
            </w:r>
            <w:r>
              <w:rPr>
                <w:rFonts w:hint="eastAsia" w:ascii="宋体" w:hAnsi="宋体" w:eastAsia="宋体" w:cs="宋体"/>
                <w:color w:val="auto"/>
                <w:spacing w:val="-2"/>
                <w:w w:val="100"/>
                <w:sz w:val="21"/>
                <w:szCs w:val="21"/>
              </w:rPr>
              <w:t>酸</w:t>
            </w:r>
            <w:r>
              <w:rPr>
                <w:rFonts w:hint="eastAsia" w:ascii="宋体" w:hAnsi="宋体" w:eastAsia="宋体" w:cs="宋体"/>
                <w:color w:val="auto"/>
                <w:spacing w:val="0"/>
                <w:w w:val="100"/>
                <w:sz w:val="21"/>
                <w:szCs w:val="21"/>
              </w:rPr>
              <w:t>酯</w:t>
            </w:r>
            <w:r>
              <w:rPr>
                <w:rFonts w:hint="eastAsia" w:ascii="宋体" w:hAnsi="宋体" w:eastAsia="宋体" w:cs="宋体"/>
                <w:color w:val="auto"/>
                <w:spacing w:val="-2"/>
                <w:w w:val="100"/>
                <w:sz w:val="21"/>
                <w:szCs w:val="21"/>
              </w:rPr>
              <w:t>类</w:t>
            </w:r>
            <w:r>
              <w:rPr>
                <w:rFonts w:hint="eastAsia" w:ascii="宋体" w:hAnsi="宋体" w:eastAsia="宋体" w:cs="宋体"/>
                <w:color w:val="auto"/>
                <w:spacing w:val="-50"/>
                <w:w w:val="100"/>
                <w:sz w:val="21"/>
                <w:szCs w:val="21"/>
                <w:lang w:val="en-US" w:eastAsia="zh-CN"/>
              </w:rPr>
              <w:t xml:space="preserve">   </w:t>
            </w:r>
          </w:p>
          <w:p w14:paraId="6EFA1251">
            <w:pPr>
              <w:pageBreakBefore w:val="0"/>
              <w:widowControl/>
              <w:kinsoku/>
              <w:overflowPunct/>
              <w:topLinePunct w:val="0"/>
              <w:bidi w:val="0"/>
              <w:snapToGrid/>
              <w:ind w:firstLine="420" w:firstLineChars="200"/>
              <w:jc w:val="center"/>
              <w:rPr>
                <w:rFonts w:hint="eastAsia" w:ascii="宋体" w:hAnsi="宋体" w:eastAsia="宋体" w:cs="宋体"/>
                <w:b/>
                <w:bCs/>
                <w:color w:val="auto"/>
                <w:kern w:val="0"/>
                <w:sz w:val="21"/>
                <w:szCs w:val="21"/>
              </w:rPr>
            </w:pPr>
            <w:r>
              <w:rPr>
                <w:rFonts w:hint="eastAsia" w:ascii="宋体" w:hAnsi="宋体" w:eastAsia="宋体" w:cs="宋体"/>
                <w:color w:val="auto"/>
                <w:spacing w:val="0"/>
                <w:w w:val="100"/>
                <w:sz w:val="21"/>
                <w:szCs w:val="21"/>
              </w:rPr>
              <w:t>（DBP、BBP、DEHP）总和/（g/kg）</w:t>
            </w:r>
          </w:p>
        </w:tc>
        <w:tc>
          <w:tcPr>
            <w:tcW w:w="1454" w:type="dxa"/>
            <w:tcBorders>
              <w:top w:val="nil"/>
              <w:left w:val="nil"/>
              <w:bottom w:val="single" w:color="auto" w:sz="4" w:space="0"/>
              <w:right w:val="single" w:color="auto" w:sz="4" w:space="0"/>
            </w:tcBorders>
            <w:noWrap w:val="0"/>
            <w:vAlign w:val="center"/>
          </w:tcPr>
          <w:p w14:paraId="5F2D28DF">
            <w:pPr>
              <w:pageBreakBefore w:val="0"/>
              <w:widowControl/>
              <w:kinsoku/>
              <w:overflowPunct/>
              <w:topLinePunct w:val="0"/>
              <w:bidi w:val="0"/>
              <w:snapToGrid/>
              <w:jc w:val="center"/>
              <w:rPr>
                <w:rFonts w:hint="default" w:ascii="宋体" w:hAnsi="宋体" w:eastAsia="宋体" w:cs="宋体"/>
                <w:color w:val="auto"/>
                <w:kern w:val="0"/>
                <w:sz w:val="21"/>
                <w:szCs w:val="21"/>
                <w:lang w:val="en-US" w:eastAsia="zh-CN"/>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1.0</w:t>
            </w:r>
          </w:p>
        </w:tc>
      </w:tr>
      <w:tr w14:paraId="57EDA599">
        <w:tblPrEx>
          <w:tblCellMar>
            <w:top w:w="0" w:type="dxa"/>
            <w:left w:w="108" w:type="dxa"/>
            <w:bottom w:w="0" w:type="dxa"/>
            <w:right w:w="108" w:type="dxa"/>
          </w:tblCellMar>
        </w:tblPrEx>
        <w:trPr>
          <w:trHeight w:val="405" w:hRule="atLeast"/>
          <w:jc w:val="center"/>
        </w:trPr>
        <w:tc>
          <w:tcPr>
            <w:tcW w:w="1196" w:type="dxa"/>
            <w:vMerge w:val="continue"/>
            <w:tcBorders>
              <w:left w:val="single" w:color="auto" w:sz="4" w:space="0"/>
              <w:right w:val="single" w:color="auto" w:sz="4" w:space="0"/>
            </w:tcBorders>
            <w:noWrap w:val="0"/>
            <w:vAlign w:val="center"/>
          </w:tcPr>
          <w:p w14:paraId="70DE68B1">
            <w:pPr>
              <w:pageBreakBefore w:val="0"/>
              <w:widowControl/>
              <w:kinsoku/>
              <w:overflowPunct/>
              <w:topLinePunct w:val="0"/>
              <w:bidi w:val="0"/>
              <w:snapToGrid/>
              <w:ind w:firstLine="420" w:firstLineChars="200"/>
              <w:jc w:val="center"/>
              <w:rPr>
                <w:rFonts w:hint="eastAsia" w:ascii="宋体" w:hAnsi="宋体" w:eastAsia="宋体" w:cs="宋体"/>
                <w:color w:val="auto"/>
                <w:sz w:val="21"/>
                <w:szCs w:val="21"/>
              </w:rPr>
            </w:pPr>
          </w:p>
        </w:tc>
        <w:tc>
          <w:tcPr>
            <w:tcW w:w="724" w:type="dxa"/>
            <w:tcBorders>
              <w:top w:val="single" w:color="auto" w:sz="4" w:space="0"/>
              <w:left w:val="single" w:color="auto" w:sz="4" w:space="0"/>
              <w:bottom w:val="single" w:color="auto" w:sz="4" w:space="0"/>
              <w:right w:val="single" w:color="auto" w:sz="4" w:space="0"/>
            </w:tcBorders>
            <w:noWrap w:val="0"/>
            <w:vAlign w:val="center"/>
          </w:tcPr>
          <w:p w14:paraId="338C94F3">
            <w:pPr>
              <w:pageBreakBefore w:val="0"/>
              <w:widowControl/>
              <w:kinsoku/>
              <w:overflowPunct/>
              <w:topLinePunct w:val="0"/>
              <w:bidi w:val="0"/>
              <w:snapToGrid/>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2</w:t>
            </w:r>
          </w:p>
        </w:tc>
        <w:tc>
          <w:tcPr>
            <w:tcW w:w="4965" w:type="dxa"/>
            <w:tcBorders>
              <w:top w:val="single" w:color="auto" w:sz="4" w:space="0"/>
              <w:left w:val="single" w:color="auto" w:sz="4" w:space="0"/>
              <w:bottom w:val="single" w:color="auto" w:sz="4" w:space="0"/>
              <w:right w:val="single" w:color="auto" w:sz="4" w:space="0"/>
            </w:tcBorders>
            <w:noWrap w:val="0"/>
            <w:vAlign w:val="center"/>
          </w:tcPr>
          <w:p w14:paraId="516810C7">
            <w:pPr>
              <w:pageBreakBefore w:val="0"/>
              <w:widowControl/>
              <w:kinsoku/>
              <w:overflowPunct/>
              <w:topLinePunct w:val="0"/>
              <w:bidi w:val="0"/>
              <w:snapToGrid/>
              <w:ind w:firstLine="420" w:firstLineChars="200"/>
              <w:jc w:val="center"/>
              <w:rPr>
                <w:rFonts w:hint="eastAsia" w:ascii="宋体" w:hAnsi="宋体" w:eastAsia="宋体" w:cs="宋体"/>
                <w:color w:val="auto"/>
                <w:spacing w:val="-84"/>
                <w:w w:val="100"/>
                <w:sz w:val="21"/>
                <w:szCs w:val="21"/>
                <w:lang w:val="en-US" w:eastAsia="zh-CN"/>
              </w:rPr>
            </w:pPr>
            <w:r>
              <w:rPr>
                <w:rFonts w:hint="eastAsia" w:ascii="宋体" w:hAnsi="宋体" w:eastAsia="宋体" w:cs="宋体"/>
                <w:color w:val="auto"/>
                <w:spacing w:val="0"/>
                <w:sz w:val="21"/>
                <w:szCs w:val="21"/>
              </w:rPr>
              <w:t>3</w:t>
            </w:r>
            <w:r>
              <w:rPr>
                <w:rFonts w:hint="eastAsia" w:ascii="宋体" w:hAnsi="宋体" w:eastAsia="宋体" w:cs="宋体"/>
                <w:color w:val="auto"/>
                <w:spacing w:val="-54"/>
                <w:sz w:val="21"/>
                <w:szCs w:val="21"/>
              </w:rPr>
              <w:t xml:space="preserve"> </w:t>
            </w:r>
            <w:r>
              <w:rPr>
                <w:rFonts w:hint="eastAsia" w:ascii="宋体" w:hAnsi="宋体" w:eastAsia="宋体" w:cs="宋体"/>
                <w:color w:val="auto"/>
                <w:spacing w:val="0"/>
                <w:w w:val="100"/>
                <w:sz w:val="21"/>
                <w:szCs w:val="21"/>
              </w:rPr>
              <w:t>种</w:t>
            </w:r>
            <w:r>
              <w:rPr>
                <w:rFonts w:hint="eastAsia" w:ascii="宋体" w:hAnsi="宋体" w:eastAsia="宋体" w:cs="宋体"/>
                <w:color w:val="auto"/>
                <w:spacing w:val="-2"/>
                <w:w w:val="100"/>
                <w:sz w:val="21"/>
                <w:szCs w:val="21"/>
              </w:rPr>
              <w:t>邻</w:t>
            </w:r>
            <w:r>
              <w:rPr>
                <w:rFonts w:hint="eastAsia" w:ascii="宋体" w:hAnsi="宋体" w:eastAsia="宋体" w:cs="宋体"/>
                <w:color w:val="auto"/>
                <w:spacing w:val="0"/>
                <w:w w:val="100"/>
                <w:sz w:val="21"/>
                <w:szCs w:val="21"/>
              </w:rPr>
              <w:t>苯</w:t>
            </w:r>
            <w:r>
              <w:rPr>
                <w:rFonts w:hint="eastAsia" w:ascii="宋体" w:hAnsi="宋体" w:eastAsia="宋体" w:cs="宋体"/>
                <w:color w:val="auto"/>
                <w:spacing w:val="-2"/>
                <w:w w:val="100"/>
                <w:sz w:val="21"/>
                <w:szCs w:val="21"/>
              </w:rPr>
              <w:t>二</w:t>
            </w:r>
            <w:r>
              <w:rPr>
                <w:rFonts w:hint="eastAsia" w:ascii="宋体" w:hAnsi="宋体" w:eastAsia="宋体" w:cs="宋体"/>
                <w:color w:val="auto"/>
                <w:spacing w:val="0"/>
                <w:w w:val="100"/>
                <w:sz w:val="21"/>
                <w:szCs w:val="21"/>
              </w:rPr>
              <w:t>甲</w:t>
            </w:r>
            <w:r>
              <w:rPr>
                <w:rFonts w:hint="eastAsia" w:ascii="宋体" w:hAnsi="宋体" w:eastAsia="宋体" w:cs="宋体"/>
                <w:color w:val="auto"/>
                <w:spacing w:val="-2"/>
                <w:w w:val="100"/>
                <w:sz w:val="21"/>
                <w:szCs w:val="21"/>
              </w:rPr>
              <w:t>酸</w:t>
            </w:r>
            <w:r>
              <w:rPr>
                <w:rFonts w:hint="eastAsia" w:ascii="宋体" w:hAnsi="宋体" w:eastAsia="宋体" w:cs="宋体"/>
                <w:color w:val="auto"/>
                <w:spacing w:val="0"/>
                <w:w w:val="100"/>
                <w:sz w:val="21"/>
                <w:szCs w:val="21"/>
              </w:rPr>
              <w:t>酯</w:t>
            </w:r>
            <w:r>
              <w:rPr>
                <w:rFonts w:hint="eastAsia" w:ascii="宋体" w:hAnsi="宋体" w:eastAsia="宋体" w:cs="宋体"/>
                <w:color w:val="auto"/>
                <w:spacing w:val="-2"/>
                <w:w w:val="100"/>
                <w:sz w:val="21"/>
                <w:szCs w:val="21"/>
              </w:rPr>
              <w:t>类</w:t>
            </w:r>
          </w:p>
          <w:p w14:paraId="51C5721E">
            <w:pPr>
              <w:pageBreakBefore w:val="0"/>
              <w:widowControl/>
              <w:kinsoku/>
              <w:overflowPunct/>
              <w:topLinePunct w:val="0"/>
              <w:bidi w:val="0"/>
              <w:snapToGrid/>
              <w:ind w:firstLine="420" w:firstLineChars="200"/>
              <w:jc w:val="center"/>
              <w:rPr>
                <w:rFonts w:hint="eastAsia" w:ascii="宋体" w:hAnsi="宋体" w:eastAsia="宋体" w:cs="宋体"/>
                <w:b/>
                <w:bCs/>
                <w:color w:val="auto"/>
                <w:kern w:val="0"/>
                <w:sz w:val="21"/>
                <w:szCs w:val="21"/>
              </w:rPr>
            </w:pPr>
            <w:r>
              <w:rPr>
                <w:rFonts w:hint="eastAsia" w:ascii="宋体" w:hAnsi="宋体" w:eastAsia="宋体" w:cs="宋体"/>
                <w:color w:val="auto"/>
                <w:spacing w:val="0"/>
                <w:w w:val="100"/>
                <w:sz w:val="21"/>
                <w:szCs w:val="21"/>
              </w:rPr>
              <w:t>（DNOP、DINP、DIDP）总</w:t>
            </w:r>
            <w:r>
              <w:rPr>
                <w:rFonts w:hint="eastAsia" w:ascii="宋体" w:hAnsi="宋体" w:eastAsia="宋体" w:cs="宋体"/>
                <w:color w:val="auto"/>
                <w:spacing w:val="1"/>
                <w:w w:val="100"/>
                <w:sz w:val="21"/>
                <w:szCs w:val="21"/>
              </w:rPr>
              <w:t>和</w:t>
            </w:r>
            <w:r>
              <w:rPr>
                <w:rFonts w:hint="eastAsia" w:ascii="宋体" w:hAnsi="宋体" w:eastAsia="宋体" w:cs="宋体"/>
                <w:color w:val="auto"/>
                <w:spacing w:val="-84"/>
                <w:w w:val="100"/>
                <w:sz w:val="21"/>
                <w:szCs w:val="21"/>
              </w:rPr>
              <w:t>/</w:t>
            </w:r>
            <w:r>
              <w:rPr>
                <w:rFonts w:hint="eastAsia" w:ascii="宋体" w:hAnsi="宋体" w:eastAsia="宋体" w:cs="宋体"/>
                <w:color w:val="auto"/>
                <w:spacing w:val="0"/>
                <w:w w:val="100"/>
                <w:sz w:val="21"/>
                <w:szCs w:val="21"/>
              </w:rPr>
              <w:t>（</w:t>
            </w:r>
            <w:r>
              <w:rPr>
                <w:rFonts w:hint="eastAsia" w:ascii="宋体" w:hAnsi="宋体" w:eastAsia="宋体" w:cs="宋体"/>
                <w:color w:val="auto"/>
                <w:spacing w:val="-2"/>
                <w:w w:val="100"/>
                <w:sz w:val="21"/>
                <w:szCs w:val="21"/>
              </w:rPr>
              <w:t>g</w:t>
            </w:r>
            <w:r>
              <w:rPr>
                <w:rFonts w:hint="eastAsia" w:ascii="宋体" w:hAnsi="宋体" w:eastAsia="宋体" w:cs="宋体"/>
                <w:color w:val="auto"/>
                <w:spacing w:val="0"/>
                <w:w w:val="100"/>
                <w:sz w:val="21"/>
                <w:szCs w:val="21"/>
              </w:rPr>
              <w:t>/kg）</w:t>
            </w:r>
          </w:p>
        </w:tc>
        <w:tc>
          <w:tcPr>
            <w:tcW w:w="1454" w:type="dxa"/>
            <w:tcBorders>
              <w:top w:val="nil"/>
              <w:left w:val="nil"/>
              <w:bottom w:val="single" w:color="auto" w:sz="4" w:space="0"/>
              <w:right w:val="single" w:color="auto" w:sz="4" w:space="0"/>
            </w:tcBorders>
            <w:noWrap w:val="0"/>
            <w:vAlign w:val="center"/>
          </w:tcPr>
          <w:p w14:paraId="0AF5C244">
            <w:pPr>
              <w:pageBreakBefore w:val="0"/>
              <w:widowControl/>
              <w:kinsoku/>
              <w:overflowPunct/>
              <w:topLinePunct w:val="0"/>
              <w:bidi w:val="0"/>
              <w:snapToGrid/>
              <w:jc w:val="center"/>
              <w:rPr>
                <w:rFonts w:hint="eastAsia" w:ascii="宋体" w:hAnsi="宋体" w:eastAsia="宋体" w:cs="宋体"/>
                <w:color w:val="auto"/>
                <w:kern w:val="0"/>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1.0</w:t>
            </w:r>
          </w:p>
        </w:tc>
      </w:tr>
      <w:tr w14:paraId="540726C3">
        <w:tblPrEx>
          <w:tblCellMar>
            <w:top w:w="0" w:type="dxa"/>
            <w:left w:w="108" w:type="dxa"/>
            <w:bottom w:w="0" w:type="dxa"/>
            <w:right w:w="108" w:type="dxa"/>
          </w:tblCellMar>
        </w:tblPrEx>
        <w:trPr>
          <w:trHeight w:val="405" w:hRule="atLeast"/>
          <w:jc w:val="center"/>
        </w:trPr>
        <w:tc>
          <w:tcPr>
            <w:tcW w:w="1196" w:type="dxa"/>
            <w:vMerge w:val="continue"/>
            <w:tcBorders>
              <w:left w:val="single" w:color="auto" w:sz="4" w:space="0"/>
              <w:right w:val="single" w:color="auto" w:sz="4" w:space="0"/>
            </w:tcBorders>
            <w:noWrap w:val="0"/>
            <w:vAlign w:val="center"/>
          </w:tcPr>
          <w:p w14:paraId="3DC46476">
            <w:pPr>
              <w:pageBreakBefore w:val="0"/>
              <w:widowControl/>
              <w:kinsoku/>
              <w:overflowPunct/>
              <w:topLinePunct w:val="0"/>
              <w:bidi w:val="0"/>
              <w:snapToGrid/>
              <w:ind w:firstLine="412" w:firstLineChars="200"/>
              <w:jc w:val="center"/>
              <w:rPr>
                <w:rFonts w:hint="eastAsia" w:ascii="宋体" w:hAnsi="宋体" w:eastAsia="宋体" w:cs="宋体"/>
                <w:color w:val="auto"/>
                <w:spacing w:val="-2"/>
                <w:w w:val="100"/>
                <w:sz w:val="21"/>
                <w:szCs w:val="21"/>
              </w:rPr>
            </w:pPr>
          </w:p>
        </w:tc>
        <w:tc>
          <w:tcPr>
            <w:tcW w:w="724" w:type="dxa"/>
            <w:vMerge w:val="restart"/>
            <w:tcBorders>
              <w:top w:val="single" w:color="auto" w:sz="4" w:space="0"/>
              <w:left w:val="single" w:color="auto" w:sz="4" w:space="0"/>
              <w:right w:val="single" w:color="auto" w:sz="4" w:space="0"/>
            </w:tcBorders>
            <w:noWrap w:val="0"/>
            <w:vAlign w:val="center"/>
          </w:tcPr>
          <w:p w14:paraId="1E80E583">
            <w:pPr>
              <w:pageBreakBefore w:val="0"/>
              <w:widowControl/>
              <w:kinsoku/>
              <w:overflowPunct/>
              <w:topLinePunct w:val="0"/>
              <w:bidi w:val="0"/>
              <w:snapToGrid/>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3</w:t>
            </w:r>
          </w:p>
        </w:tc>
        <w:tc>
          <w:tcPr>
            <w:tcW w:w="4965" w:type="dxa"/>
            <w:vMerge w:val="restart"/>
            <w:tcBorders>
              <w:top w:val="single" w:color="auto" w:sz="4" w:space="0"/>
              <w:left w:val="single" w:color="auto" w:sz="4" w:space="0"/>
              <w:right w:val="single" w:color="auto" w:sz="4" w:space="0"/>
            </w:tcBorders>
            <w:noWrap w:val="0"/>
            <w:vAlign w:val="center"/>
          </w:tcPr>
          <w:p w14:paraId="25809BB4">
            <w:pPr>
              <w:pageBreakBefore w:val="0"/>
              <w:kinsoku/>
              <w:overflowPunct/>
              <w:topLinePunct w:val="0"/>
              <w:bidi w:val="0"/>
              <w:snapToGrid/>
              <w:spacing w:before="2" w:after="0" w:line="240" w:lineRule="auto"/>
              <w:ind w:left="628" w:right="-20" w:firstLine="420" w:firstLineChars="200"/>
              <w:jc w:val="center"/>
              <w:rPr>
                <w:rFonts w:hint="eastAsia" w:ascii="宋体" w:hAnsi="宋体" w:eastAsia="宋体" w:cs="宋体"/>
                <w:b/>
                <w:bCs/>
                <w:color w:val="auto"/>
                <w:kern w:val="0"/>
                <w:sz w:val="21"/>
                <w:szCs w:val="21"/>
              </w:rPr>
            </w:pPr>
            <w:r>
              <w:rPr>
                <w:rFonts w:hint="eastAsia" w:ascii="宋体" w:hAnsi="宋体" w:eastAsia="宋体" w:cs="宋体"/>
                <w:color w:val="auto"/>
                <w:spacing w:val="0"/>
                <w:sz w:val="21"/>
                <w:szCs w:val="21"/>
              </w:rPr>
              <w:t>18</w:t>
            </w:r>
            <w:r>
              <w:rPr>
                <w:rFonts w:hint="eastAsia" w:ascii="宋体" w:hAnsi="宋体" w:eastAsia="宋体" w:cs="宋体"/>
                <w:color w:val="auto"/>
                <w:spacing w:val="-54"/>
                <w:sz w:val="21"/>
                <w:szCs w:val="21"/>
              </w:rPr>
              <w:t xml:space="preserve"> </w:t>
            </w:r>
            <w:r>
              <w:rPr>
                <w:rFonts w:hint="eastAsia" w:ascii="宋体" w:hAnsi="宋体" w:eastAsia="宋体" w:cs="宋体"/>
                <w:color w:val="auto"/>
                <w:spacing w:val="0"/>
                <w:w w:val="100"/>
                <w:sz w:val="21"/>
                <w:szCs w:val="21"/>
              </w:rPr>
              <w:t>种</w:t>
            </w:r>
            <w:r>
              <w:rPr>
                <w:rFonts w:hint="eastAsia" w:ascii="宋体" w:hAnsi="宋体" w:eastAsia="宋体" w:cs="宋体"/>
                <w:color w:val="auto"/>
                <w:spacing w:val="-2"/>
                <w:w w:val="100"/>
                <w:sz w:val="21"/>
                <w:szCs w:val="21"/>
              </w:rPr>
              <w:t>多</w:t>
            </w:r>
            <w:r>
              <w:rPr>
                <w:rFonts w:hint="eastAsia" w:ascii="宋体" w:hAnsi="宋体" w:eastAsia="宋体" w:cs="宋体"/>
                <w:color w:val="auto"/>
                <w:spacing w:val="0"/>
                <w:w w:val="100"/>
                <w:sz w:val="21"/>
                <w:szCs w:val="21"/>
              </w:rPr>
              <w:t>环</w:t>
            </w:r>
            <w:r>
              <w:rPr>
                <w:rFonts w:hint="eastAsia" w:ascii="宋体" w:hAnsi="宋体" w:eastAsia="宋体" w:cs="宋体"/>
                <w:color w:val="auto"/>
                <w:spacing w:val="-2"/>
                <w:w w:val="100"/>
                <w:sz w:val="21"/>
                <w:szCs w:val="21"/>
              </w:rPr>
              <w:t>芳</w:t>
            </w:r>
            <w:r>
              <w:rPr>
                <w:rFonts w:hint="eastAsia" w:ascii="宋体" w:hAnsi="宋体" w:eastAsia="宋体" w:cs="宋体"/>
                <w:color w:val="auto"/>
                <w:spacing w:val="0"/>
                <w:w w:val="100"/>
                <w:sz w:val="21"/>
                <w:szCs w:val="21"/>
              </w:rPr>
              <w:t>烃</w:t>
            </w:r>
            <w:r>
              <w:rPr>
                <w:rFonts w:hint="eastAsia" w:ascii="宋体" w:hAnsi="宋体" w:eastAsia="宋体" w:cs="宋体"/>
                <w:color w:val="auto"/>
                <w:spacing w:val="-2"/>
                <w:w w:val="100"/>
                <w:sz w:val="21"/>
                <w:szCs w:val="21"/>
              </w:rPr>
              <w:t>总</w:t>
            </w:r>
            <w:r>
              <w:rPr>
                <w:rFonts w:hint="eastAsia" w:ascii="宋体" w:hAnsi="宋体" w:eastAsia="宋体" w:cs="宋体"/>
                <w:color w:val="auto"/>
                <w:spacing w:val="0"/>
                <w:w w:val="100"/>
                <w:sz w:val="21"/>
                <w:szCs w:val="21"/>
              </w:rPr>
              <w:t>和</w:t>
            </w:r>
            <w:r>
              <w:rPr>
                <w:rFonts w:hint="eastAsia" w:ascii="宋体" w:hAnsi="宋体" w:eastAsia="宋体" w:cs="宋体"/>
                <w:color w:val="auto"/>
                <w:spacing w:val="0"/>
                <w:w w:val="100"/>
                <w:sz w:val="21"/>
                <w:szCs w:val="21"/>
                <w:lang w:val="en-US" w:eastAsia="zh-CN"/>
              </w:rPr>
              <w:t>/</w:t>
            </w:r>
            <w:r>
              <w:rPr>
                <w:rFonts w:hint="eastAsia" w:ascii="宋体" w:hAnsi="宋体" w:eastAsia="宋体" w:cs="宋体"/>
                <w:color w:val="auto"/>
                <w:spacing w:val="0"/>
                <w:w w:val="100"/>
                <w:sz w:val="21"/>
                <w:szCs w:val="21"/>
              </w:rPr>
              <w:t>(m</w:t>
            </w:r>
            <w:r>
              <w:rPr>
                <w:rFonts w:hint="eastAsia" w:ascii="宋体" w:hAnsi="宋体" w:eastAsia="宋体" w:cs="宋体"/>
                <w:color w:val="auto"/>
                <w:spacing w:val="-2"/>
                <w:w w:val="100"/>
                <w:sz w:val="21"/>
                <w:szCs w:val="21"/>
              </w:rPr>
              <w:t>g/</w:t>
            </w:r>
            <w:r>
              <w:rPr>
                <w:rFonts w:hint="eastAsia" w:ascii="宋体" w:hAnsi="宋体" w:eastAsia="宋体" w:cs="宋体"/>
                <w:color w:val="auto"/>
                <w:spacing w:val="0"/>
                <w:w w:val="100"/>
                <w:sz w:val="21"/>
                <w:szCs w:val="21"/>
              </w:rPr>
              <w:t>kg)</w:t>
            </w:r>
          </w:p>
        </w:tc>
        <w:tc>
          <w:tcPr>
            <w:tcW w:w="1454" w:type="dxa"/>
            <w:tcBorders>
              <w:top w:val="nil"/>
              <w:left w:val="nil"/>
              <w:bottom w:val="single" w:color="auto" w:sz="4" w:space="0"/>
              <w:right w:val="single" w:color="auto" w:sz="4" w:space="0"/>
            </w:tcBorders>
            <w:noWrap w:val="0"/>
            <w:vAlign w:val="center"/>
          </w:tcPr>
          <w:p w14:paraId="07403123">
            <w:pPr>
              <w:pageBreakBefore w:val="0"/>
              <w:widowControl/>
              <w:kinsoku/>
              <w:overflowPunct/>
              <w:topLinePunct w:val="0"/>
              <w:bidi w:val="0"/>
              <w:snapToGrid/>
              <w:jc w:val="center"/>
              <w:rPr>
                <w:rFonts w:hint="default" w:ascii="宋体" w:hAnsi="宋体" w:eastAsia="宋体" w:cs="宋体"/>
                <w:color w:val="auto"/>
                <w:kern w:val="0"/>
                <w:sz w:val="21"/>
                <w:szCs w:val="21"/>
                <w:lang w:val="en-US"/>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50</w:t>
            </w:r>
          </w:p>
        </w:tc>
      </w:tr>
      <w:tr w14:paraId="55BF9EA6">
        <w:tblPrEx>
          <w:tblCellMar>
            <w:top w:w="0" w:type="dxa"/>
            <w:left w:w="108" w:type="dxa"/>
            <w:bottom w:w="0" w:type="dxa"/>
            <w:right w:w="108" w:type="dxa"/>
          </w:tblCellMar>
        </w:tblPrEx>
        <w:trPr>
          <w:trHeight w:val="405" w:hRule="atLeast"/>
          <w:jc w:val="center"/>
        </w:trPr>
        <w:tc>
          <w:tcPr>
            <w:tcW w:w="1196" w:type="dxa"/>
            <w:vMerge w:val="continue"/>
            <w:tcBorders>
              <w:left w:val="single" w:color="auto" w:sz="4" w:space="0"/>
              <w:right w:val="single" w:color="auto" w:sz="4" w:space="0"/>
            </w:tcBorders>
            <w:noWrap w:val="0"/>
            <w:vAlign w:val="center"/>
          </w:tcPr>
          <w:p w14:paraId="4749343A">
            <w:pPr>
              <w:pageBreakBefore w:val="0"/>
              <w:widowControl/>
              <w:kinsoku/>
              <w:overflowPunct/>
              <w:topLinePunct w:val="0"/>
              <w:bidi w:val="0"/>
              <w:snapToGrid/>
              <w:ind w:firstLine="412" w:firstLineChars="200"/>
              <w:jc w:val="center"/>
              <w:rPr>
                <w:rFonts w:hint="eastAsia" w:ascii="宋体" w:hAnsi="宋体" w:eastAsia="宋体" w:cs="宋体"/>
                <w:color w:val="auto"/>
                <w:spacing w:val="-2"/>
                <w:w w:val="100"/>
                <w:sz w:val="21"/>
                <w:szCs w:val="21"/>
              </w:rPr>
            </w:pPr>
          </w:p>
        </w:tc>
        <w:tc>
          <w:tcPr>
            <w:tcW w:w="724" w:type="dxa"/>
            <w:vMerge w:val="continue"/>
            <w:tcBorders>
              <w:left w:val="single" w:color="auto" w:sz="4" w:space="0"/>
              <w:bottom w:val="single" w:color="auto" w:sz="4" w:space="0"/>
              <w:right w:val="single" w:color="auto" w:sz="4" w:space="0"/>
            </w:tcBorders>
            <w:noWrap w:val="0"/>
            <w:vAlign w:val="center"/>
          </w:tcPr>
          <w:p w14:paraId="4491EC30">
            <w:pPr>
              <w:pageBreakBefore w:val="0"/>
              <w:widowControl/>
              <w:kinsoku/>
              <w:overflowPunct/>
              <w:topLinePunct w:val="0"/>
              <w:bidi w:val="0"/>
              <w:snapToGrid/>
              <w:jc w:val="center"/>
              <w:rPr>
                <w:rFonts w:hint="eastAsia" w:ascii="宋体" w:hAnsi="宋体" w:eastAsia="宋体" w:cs="宋体"/>
                <w:color w:val="auto"/>
                <w:spacing w:val="-2"/>
                <w:sz w:val="21"/>
                <w:szCs w:val="21"/>
                <w:lang w:val="en-US" w:eastAsia="zh-CN"/>
              </w:rPr>
            </w:pPr>
          </w:p>
        </w:tc>
        <w:tc>
          <w:tcPr>
            <w:tcW w:w="4965" w:type="dxa"/>
            <w:vMerge w:val="continue"/>
            <w:tcBorders>
              <w:left w:val="single" w:color="auto" w:sz="4" w:space="0"/>
              <w:bottom w:val="single" w:color="auto" w:sz="4" w:space="0"/>
              <w:right w:val="single" w:color="auto" w:sz="4" w:space="0"/>
            </w:tcBorders>
            <w:noWrap w:val="0"/>
            <w:vAlign w:val="center"/>
          </w:tcPr>
          <w:p w14:paraId="4CE9A58D">
            <w:pPr>
              <w:pageBreakBefore w:val="0"/>
              <w:kinsoku/>
              <w:overflowPunct/>
              <w:topLinePunct w:val="0"/>
              <w:bidi w:val="0"/>
              <w:snapToGrid/>
              <w:spacing w:before="2" w:after="0" w:line="240" w:lineRule="auto"/>
              <w:ind w:left="8" w:leftChars="0" w:right="-20" w:firstLine="412" w:firstLineChars="200"/>
              <w:jc w:val="center"/>
              <w:rPr>
                <w:rFonts w:hint="eastAsia" w:ascii="宋体" w:hAnsi="宋体" w:eastAsia="宋体" w:cs="宋体"/>
                <w:color w:val="auto"/>
                <w:spacing w:val="-2"/>
                <w:w w:val="100"/>
                <w:sz w:val="21"/>
                <w:szCs w:val="21"/>
                <w:highlight w:val="yellow"/>
              </w:rPr>
            </w:pPr>
          </w:p>
        </w:tc>
        <w:tc>
          <w:tcPr>
            <w:tcW w:w="1454" w:type="dxa"/>
            <w:tcBorders>
              <w:top w:val="nil"/>
              <w:left w:val="nil"/>
              <w:bottom w:val="single" w:color="auto" w:sz="4" w:space="0"/>
              <w:right w:val="single" w:color="auto" w:sz="4" w:space="0"/>
            </w:tcBorders>
            <w:noWrap w:val="0"/>
            <w:vAlign w:val="center"/>
          </w:tcPr>
          <w:p w14:paraId="19A439CE">
            <w:pPr>
              <w:pageBreakBefore w:val="0"/>
              <w:widowControl/>
              <w:kinsoku/>
              <w:overflowPunct/>
              <w:topLinePunct w:val="0"/>
              <w:bidi w:val="0"/>
              <w:snapToGrid/>
              <w:jc w:val="center"/>
              <w:rPr>
                <w:rFonts w:hint="default" w:ascii="宋体" w:hAnsi="宋体" w:eastAsia="宋体" w:cs="宋体"/>
                <w:color w:val="auto"/>
                <w:spacing w:val="-2"/>
                <w:w w:val="100"/>
                <w:sz w:val="21"/>
                <w:szCs w:val="21"/>
                <w:highlight w:val="yellow"/>
                <w:lang w:val="en-US" w:eastAsia="zh-CN"/>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20</w:t>
            </w:r>
          </w:p>
        </w:tc>
      </w:tr>
      <w:tr w14:paraId="2014631A">
        <w:tblPrEx>
          <w:tblCellMar>
            <w:top w:w="0" w:type="dxa"/>
            <w:left w:w="108" w:type="dxa"/>
            <w:bottom w:w="0" w:type="dxa"/>
            <w:right w:w="108" w:type="dxa"/>
          </w:tblCellMar>
        </w:tblPrEx>
        <w:trPr>
          <w:trHeight w:val="405" w:hRule="atLeast"/>
          <w:jc w:val="center"/>
        </w:trPr>
        <w:tc>
          <w:tcPr>
            <w:tcW w:w="1196" w:type="dxa"/>
            <w:vMerge w:val="continue"/>
            <w:tcBorders>
              <w:left w:val="single" w:color="auto" w:sz="4" w:space="0"/>
              <w:right w:val="single" w:color="auto" w:sz="4" w:space="0"/>
            </w:tcBorders>
            <w:noWrap w:val="0"/>
            <w:vAlign w:val="center"/>
          </w:tcPr>
          <w:p w14:paraId="44180B67">
            <w:pPr>
              <w:pageBreakBefore w:val="0"/>
              <w:widowControl/>
              <w:kinsoku/>
              <w:overflowPunct/>
              <w:topLinePunct w:val="0"/>
              <w:bidi w:val="0"/>
              <w:snapToGrid/>
              <w:ind w:firstLine="420" w:firstLineChars="200"/>
              <w:jc w:val="center"/>
              <w:rPr>
                <w:rFonts w:hint="eastAsia" w:ascii="宋体" w:hAnsi="宋体" w:eastAsia="宋体" w:cs="宋体"/>
                <w:color w:val="auto"/>
                <w:spacing w:val="0"/>
                <w:sz w:val="21"/>
                <w:szCs w:val="21"/>
              </w:rPr>
            </w:pPr>
          </w:p>
        </w:tc>
        <w:tc>
          <w:tcPr>
            <w:tcW w:w="724" w:type="dxa"/>
            <w:tcBorders>
              <w:top w:val="single" w:color="auto" w:sz="4" w:space="0"/>
              <w:left w:val="single" w:color="auto" w:sz="4" w:space="0"/>
              <w:bottom w:val="single" w:color="auto" w:sz="4" w:space="0"/>
              <w:right w:val="single" w:color="auto" w:sz="4" w:space="0"/>
            </w:tcBorders>
            <w:noWrap w:val="0"/>
            <w:vAlign w:val="center"/>
          </w:tcPr>
          <w:p w14:paraId="62FE8A0B">
            <w:pPr>
              <w:pageBreakBefore w:val="0"/>
              <w:widowControl/>
              <w:kinsoku/>
              <w:overflowPunct/>
              <w:topLinePunct w:val="0"/>
              <w:bidi w:val="0"/>
              <w:snapToGrid/>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4</w:t>
            </w:r>
          </w:p>
        </w:tc>
        <w:tc>
          <w:tcPr>
            <w:tcW w:w="4965" w:type="dxa"/>
            <w:tcBorders>
              <w:top w:val="single" w:color="auto" w:sz="4" w:space="0"/>
              <w:left w:val="single" w:color="auto" w:sz="4" w:space="0"/>
              <w:bottom w:val="single" w:color="auto" w:sz="4" w:space="0"/>
              <w:right w:val="single" w:color="auto" w:sz="4" w:space="0"/>
            </w:tcBorders>
            <w:noWrap w:val="0"/>
            <w:vAlign w:val="center"/>
          </w:tcPr>
          <w:p w14:paraId="0DE919D9">
            <w:pPr>
              <w:pageBreakBefore w:val="0"/>
              <w:widowControl/>
              <w:tabs>
                <w:tab w:val="left" w:pos="813"/>
                <w:tab w:val="center" w:pos="2640"/>
              </w:tabs>
              <w:kinsoku/>
              <w:overflowPunct/>
              <w:topLinePunct w:val="0"/>
              <w:bidi w:val="0"/>
              <w:snapToGrid/>
              <w:ind w:firstLine="412" w:firstLineChars="200"/>
              <w:jc w:val="left"/>
              <w:rPr>
                <w:rFonts w:hint="eastAsia" w:ascii="宋体" w:hAnsi="宋体" w:eastAsia="宋体" w:cs="宋体"/>
                <w:b/>
                <w:bCs/>
                <w:color w:val="auto"/>
                <w:kern w:val="0"/>
                <w:sz w:val="21"/>
                <w:szCs w:val="21"/>
              </w:rPr>
            </w:pPr>
            <w:r>
              <w:rPr>
                <w:rFonts w:hint="eastAsia" w:ascii="宋体" w:hAnsi="宋体" w:eastAsia="宋体" w:cs="宋体"/>
                <w:color w:val="auto"/>
                <w:spacing w:val="-2"/>
                <w:sz w:val="21"/>
                <w:szCs w:val="21"/>
                <w:lang w:eastAsia="zh-CN"/>
              </w:rPr>
              <w:tab/>
            </w:r>
            <w:r>
              <w:rPr>
                <w:rFonts w:hint="eastAsia" w:ascii="宋体" w:hAnsi="宋体" w:eastAsia="宋体" w:cs="宋体"/>
                <w:color w:val="auto"/>
                <w:spacing w:val="-2"/>
                <w:sz w:val="21"/>
                <w:szCs w:val="21"/>
                <w:lang w:eastAsia="zh-CN"/>
              </w:rPr>
              <w:tab/>
            </w:r>
            <w:r>
              <w:rPr>
                <w:rFonts w:hint="eastAsia" w:ascii="宋体" w:hAnsi="宋体" w:eastAsia="宋体" w:cs="宋体"/>
                <w:color w:val="auto"/>
                <w:spacing w:val="-2"/>
                <w:sz w:val="21"/>
                <w:szCs w:val="21"/>
              </w:rPr>
              <w:t>苯</w:t>
            </w:r>
            <w:r>
              <w:rPr>
                <w:rFonts w:hint="eastAsia" w:ascii="宋体" w:hAnsi="宋体" w:eastAsia="宋体" w:cs="宋体"/>
                <w:color w:val="auto"/>
                <w:spacing w:val="0"/>
                <w:sz w:val="21"/>
                <w:szCs w:val="21"/>
              </w:rPr>
              <w:t>并</w:t>
            </w:r>
            <w:r>
              <w:rPr>
                <w:rFonts w:hint="eastAsia" w:ascii="宋体" w:hAnsi="宋体" w:eastAsia="宋体" w:cs="宋体"/>
                <w:color w:val="auto"/>
                <w:spacing w:val="1"/>
                <w:sz w:val="21"/>
                <w:szCs w:val="21"/>
              </w:rPr>
              <w:t>［</w:t>
            </w:r>
            <w:r>
              <w:rPr>
                <w:rFonts w:hint="eastAsia" w:ascii="宋体" w:hAnsi="宋体" w:eastAsia="宋体" w:cs="宋体"/>
                <w:color w:val="auto"/>
                <w:spacing w:val="-2"/>
                <w:sz w:val="21"/>
                <w:szCs w:val="21"/>
              </w:rPr>
              <w:t>a</w:t>
            </w:r>
            <w:r>
              <w:rPr>
                <w:rFonts w:hint="eastAsia" w:ascii="宋体" w:hAnsi="宋体" w:eastAsia="宋体" w:cs="宋体"/>
                <w:color w:val="auto"/>
                <w:spacing w:val="0"/>
                <w:sz w:val="21"/>
                <w:szCs w:val="21"/>
              </w:rPr>
              <w:t>］</w:t>
            </w:r>
            <w:r>
              <w:rPr>
                <w:rFonts w:hint="eastAsia" w:ascii="宋体" w:hAnsi="宋体" w:eastAsia="宋体" w:cs="宋体"/>
                <w:color w:val="auto"/>
                <w:spacing w:val="-2"/>
                <w:sz w:val="21"/>
                <w:szCs w:val="21"/>
              </w:rPr>
              <w:t>芘</w:t>
            </w:r>
            <w:r>
              <w:rPr>
                <w:rFonts w:hint="eastAsia" w:ascii="宋体" w:hAnsi="宋体" w:eastAsia="宋体" w:cs="宋体"/>
                <w:color w:val="auto"/>
                <w:spacing w:val="0"/>
                <w:sz w:val="21"/>
                <w:szCs w:val="21"/>
              </w:rPr>
              <w:t>/（</w:t>
            </w:r>
            <w:r>
              <w:rPr>
                <w:rFonts w:hint="eastAsia" w:ascii="宋体" w:hAnsi="宋体" w:eastAsia="宋体" w:cs="宋体"/>
                <w:color w:val="auto"/>
                <w:spacing w:val="-2"/>
                <w:sz w:val="21"/>
                <w:szCs w:val="21"/>
              </w:rPr>
              <w:t>m</w:t>
            </w:r>
            <w:r>
              <w:rPr>
                <w:rFonts w:hint="eastAsia" w:ascii="宋体" w:hAnsi="宋体" w:eastAsia="宋体" w:cs="宋体"/>
                <w:color w:val="auto"/>
                <w:spacing w:val="0"/>
                <w:sz w:val="21"/>
                <w:szCs w:val="21"/>
              </w:rPr>
              <w:t>g/k</w:t>
            </w:r>
            <w:r>
              <w:rPr>
                <w:rFonts w:hint="eastAsia" w:ascii="宋体" w:hAnsi="宋体" w:eastAsia="宋体" w:cs="宋体"/>
                <w:color w:val="auto"/>
                <w:spacing w:val="-2"/>
                <w:sz w:val="21"/>
                <w:szCs w:val="21"/>
              </w:rPr>
              <w:t>g</w:t>
            </w:r>
            <w:r>
              <w:rPr>
                <w:rFonts w:hint="eastAsia" w:ascii="宋体" w:hAnsi="宋体" w:eastAsia="宋体" w:cs="宋体"/>
                <w:color w:val="auto"/>
                <w:spacing w:val="0"/>
                <w:sz w:val="21"/>
                <w:szCs w:val="21"/>
              </w:rPr>
              <w:t>）</w:t>
            </w:r>
          </w:p>
        </w:tc>
        <w:tc>
          <w:tcPr>
            <w:tcW w:w="1454" w:type="dxa"/>
            <w:tcBorders>
              <w:top w:val="nil"/>
              <w:left w:val="nil"/>
              <w:bottom w:val="single" w:color="auto" w:sz="4" w:space="0"/>
              <w:right w:val="single" w:color="auto" w:sz="4" w:space="0"/>
            </w:tcBorders>
            <w:noWrap w:val="0"/>
            <w:vAlign w:val="center"/>
          </w:tcPr>
          <w:p w14:paraId="5B17C58C">
            <w:pPr>
              <w:pageBreakBefore w:val="0"/>
              <w:widowControl/>
              <w:kinsoku/>
              <w:overflowPunct/>
              <w:topLinePunct w:val="0"/>
              <w:bidi w:val="0"/>
              <w:snapToGrid/>
              <w:jc w:val="center"/>
              <w:rPr>
                <w:rFonts w:hint="eastAsia" w:ascii="宋体" w:hAnsi="宋体" w:eastAsia="宋体" w:cs="宋体"/>
                <w:color w:val="auto"/>
                <w:kern w:val="0"/>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1.0</w:t>
            </w:r>
          </w:p>
        </w:tc>
      </w:tr>
      <w:tr w14:paraId="79382290">
        <w:tblPrEx>
          <w:tblCellMar>
            <w:top w:w="0" w:type="dxa"/>
            <w:left w:w="108" w:type="dxa"/>
            <w:bottom w:w="0" w:type="dxa"/>
            <w:right w:w="108" w:type="dxa"/>
          </w:tblCellMar>
        </w:tblPrEx>
        <w:trPr>
          <w:trHeight w:val="285" w:hRule="atLeast"/>
          <w:jc w:val="center"/>
        </w:trPr>
        <w:tc>
          <w:tcPr>
            <w:tcW w:w="1196" w:type="dxa"/>
            <w:vMerge w:val="continue"/>
            <w:tcBorders>
              <w:left w:val="single" w:color="auto" w:sz="4" w:space="0"/>
              <w:right w:val="single" w:color="auto" w:sz="4" w:space="0"/>
            </w:tcBorders>
            <w:noWrap w:val="0"/>
            <w:vAlign w:val="center"/>
          </w:tcPr>
          <w:p w14:paraId="7A9BBCA1">
            <w:pPr>
              <w:pageBreakBefore w:val="0"/>
              <w:widowControl/>
              <w:kinsoku/>
              <w:overflowPunct/>
              <w:topLinePunct w:val="0"/>
              <w:bidi w:val="0"/>
              <w:snapToGrid/>
              <w:ind w:firstLine="420" w:firstLineChars="200"/>
              <w:jc w:val="center"/>
              <w:rPr>
                <w:rFonts w:hint="eastAsia" w:ascii="宋体" w:hAnsi="宋体" w:eastAsia="宋体" w:cs="宋体"/>
                <w:color w:val="auto"/>
                <w:spacing w:val="0"/>
                <w:sz w:val="21"/>
                <w:szCs w:val="21"/>
              </w:rPr>
            </w:pPr>
          </w:p>
        </w:tc>
        <w:tc>
          <w:tcPr>
            <w:tcW w:w="724" w:type="dxa"/>
            <w:tcBorders>
              <w:top w:val="single" w:color="auto" w:sz="4" w:space="0"/>
              <w:left w:val="single" w:color="auto" w:sz="4" w:space="0"/>
              <w:bottom w:val="single" w:color="auto" w:sz="4" w:space="0"/>
              <w:right w:val="single" w:color="auto" w:sz="4" w:space="0"/>
            </w:tcBorders>
            <w:noWrap w:val="0"/>
            <w:vAlign w:val="center"/>
          </w:tcPr>
          <w:p w14:paraId="62369DE1">
            <w:pPr>
              <w:pageBreakBefore w:val="0"/>
              <w:widowControl/>
              <w:kinsoku/>
              <w:overflowPunct/>
              <w:topLinePunct w:val="0"/>
              <w:bidi w:val="0"/>
              <w:snapToGrid/>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5</w:t>
            </w:r>
          </w:p>
        </w:tc>
        <w:tc>
          <w:tcPr>
            <w:tcW w:w="4965" w:type="dxa"/>
            <w:tcBorders>
              <w:top w:val="single" w:color="auto" w:sz="4" w:space="0"/>
              <w:left w:val="single" w:color="auto" w:sz="4" w:space="0"/>
              <w:bottom w:val="single" w:color="auto" w:sz="4" w:space="0"/>
              <w:right w:val="single" w:color="000000" w:sz="4" w:space="0"/>
            </w:tcBorders>
            <w:noWrap w:val="0"/>
            <w:vAlign w:val="center"/>
          </w:tcPr>
          <w:p w14:paraId="18D993D7">
            <w:pPr>
              <w:pageBreakBefore w:val="0"/>
              <w:widowControl/>
              <w:kinsoku/>
              <w:overflowPunct/>
              <w:topLinePunct w:val="0"/>
              <w:bidi w:val="0"/>
              <w:snapToGrid/>
              <w:ind w:firstLine="412" w:firstLineChars="200"/>
              <w:jc w:val="center"/>
              <w:rPr>
                <w:rFonts w:hint="eastAsia" w:ascii="宋体" w:hAnsi="宋体" w:eastAsia="宋体" w:cs="宋体"/>
                <w:b/>
                <w:bCs/>
                <w:color w:val="auto"/>
                <w:kern w:val="0"/>
                <w:sz w:val="21"/>
                <w:szCs w:val="21"/>
              </w:rPr>
            </w:pPr>
            <w:r>
              <w:rPr>
                <w:rFonts w:hint="eastAsia" w:ascii="宋体" w:hAnsi="宋体" w:eastAsia="宋体" w:cs="宋体"/>
                <w:color w:val="auto"/>
                <w:spacing w:val="-2"/>
                <w:sz w:val="21"/>
                <w:szCs w:val="21"/>
              </w:rPr>
              <w:t>短</w:t>
            </w:r>
            <w:r>
              <w:rPr>
                <w:rFonts w:hint="eastAsia" w:ascii="宋体" w:hAnsi="宋体" w:eastAsia="宋体" w:cs="宋体"/>
                <w:color w:val="auto"/>
                <w:spacing w:val="0"/>
                <w:sz w:val="21"/>
                <w:szCs w:val="21"/>
              </w:rPr>
              <w:t>链</w:t>
            </w:r>
            <w:r>
              <w:rPr>
                <w:rFonts w:hint="eastAsia" w:ascii="宋体" w:hAnsi="宋体" w:eastAsia="宋体" w:cs="宋体"/>
                <w:color w:val="auto"/>
                <w:spacing w:val="-2"/>
                <w:sz w:val="21"/>
                <w:szCs w:val="21"/>
              </w:rPr>
              <w:t>氯</w:t>
            </w:r>
            <w:r>
              <w:rPr>
                <w:rFonts w:hint="eastAsia" w:ascii="宋体" w:hAnsi="宋体" w:eastAsia="宋体" w:cs="宋体"/>
                <w:color w:val="auto"/>
                <w:spacing w:val="0"/>
                <w:sz w:val="21"/>
                <w:szCs w:val="21"/>
              </w:rPr>
              <w:t>化</w:t>
            </w:r>
            <w:r>
              <w:rPr>
                <w:rFonts w:hint="eastAsia" w:ascii="宋体" w:hAnsi="宋体" w:eastAsia="宋体" w:cs="宋体"/>
                <w:color w:val="auto"/>
                <w:spacing w:val="-2"/>
                <w:sz w:val="21"/>
                <w:szCs w:val="21"/>
              </w:rPr>
              <w:t>石</w:t>
            </w:r>
            <w:r>
              <w:rPr>
                <w:rFonts w:hint="eastAsia" w:ascii="宋体" w:hAnsi="宋体" w:eastAsia="宋体" w:cs="宋体"/>
                <w:color w:val="auto"/>
                <w:spacing w:val="0"/>
                <w:sz w:val="21"/>
                <w:szCs w:val="21"/>
              </w:rPr>
              <w:t>蜡</w:t>
            </w:r>
            <w:r>
              <w:rPr>
                <w:rFonts w:hint="eastAsia" w:ascii="宋体" w:hAnsi="宋体" w:eastAsia="宋体" w:cs="宋体"/>
                <w:color w:val="auto"/>
                <w:spacing w:val="0"/>
                <w:sz w:val="21"/>
                <w:szCs w:val="21"/>
                <w:lang w:eastAsia="zh-CN"/>
              </w:rPr>
              <w:t>（</w:t>
            </w:r>
            <w:r>
              <w:rPr>
                <w:rFonts w:hint="eastAsia" w:ascii="宋体" w:hAnsi="宋体" w:eastAsia="宋体" w:cs="宋体"/>
                <w:color w:val="auto"/>
                <w:spacing w:val="0"/>
                <w:sz w:val="21"/>
                <w:szCs w:val="21"/>
                <w:lang w:val="en-US" w:eastAsia="zh-CN"/>
              </w:rPr>
              <w:t>C</w:t>
            </w:r>
            <w:r>
              <w:rPr>
                <w:rFonts w:hint="eastAsia" w:ascii="宋体" w:hAnsi="宋体" w:eastAsia="宋体" w:cs="宋体"/>
                <w:color w:val="auto"/>
                <w:spacing w:val="0"/>
                <w:sz w:val="21"/>
                <w:szCs w:val="21"/>
                <w:vertAlign w:val="subscript"/>
                <w:lang w:val="en-US" w:eastAsia="zh-CN"/>
              </w:rPr>
              <w:t>10</w:t>
            </w:r>
            <w:r>
              <w:rPr>
                <w:rFonts w:hint="eastAsia" w:ascii="宋体" w:hAnsi="宋体" w:eastAsia="宋体" w:cs="宋体"/>
                <w:color w:val="auto"/>
                <w:spacing w:val="0"/>
                <w:sz w:val="21"/>
                <w:szCs w:val="21"/>
                <w:lang w:val="en-US" w:eastAsia="zh-CN"/>
              </w:rPr>
              <w:t>-C</w:t>
            </w:r>
            <w:r>
              <w:rPr>
                <w:rFonts w:hint="eastAsia" w:ascii="宋体" w:hAnsi="宋体" w:eastAsia="宋体" w:cs="宋体"/>
                <w:color w:val="auto"/>
                <w:spacing w:val="0"/>
                <w:sz w:val="21"/>
                <w:szCs w:val="21"/>
                <w:vertAlign w:val="subscript"/>
                <w:lang w:val="en-US" w:eastAsia="zh-CN"/>
              </w:rPr>
              <w:t>13</w:t>
            </w:r>
            <w:r>
              <w:rPr>
                <w:rFonts w:hint="eastAsia" w:ascii="宋体" w:hAnsi="宋体" w:eastAsia="宋体" w:cs="宋体"/>
                <w:color w:val="auto"/>
                <w:spacing w:val="0"/>
                <w:sz w:val="21"/>
                <w:szCs w:val="21"/>
                <w:lang w:eastAsia="zh-CN"/>
              </w:rPr>
              <w:t>）</w:t>
            </w:r>
            <w:r>
              <w:rPr>
                <w:rFonts w:hint="eastAsia" w:ascii="宋体" w:hAnsi="宋体" w:eastAsia="宋体" w:cs="宋体"/>
                <w:color w:val="auto"/>
                <w:spacing w:val="0"/>
                <w:sz w:val="21"/>
                <w:szCs w:val="21"/>
                <w:lang w:val="en-US" w:eastAsia="zh-CN"/>
              </w:rPr>
              <w:t>/</w:t>
            </w:r>
            <w:r>
              <w:rPr>
                <w:rFonts w:hint="eastAsia" w:ascii="宋体" w:hAnsi="宋体" w:eastAsia="宋体" w:cs="宋体"/>
                <w:color w:val="auto"/>
                <w:spacing w:val="0"/>
                <w:sz w:val="21"/>
                <w:szCs w:val="21"/>
              </w:rPr>
              <w:t>（</w:t>
            </w:r>
            <w:r>
              <w:rPr>
                <w:rFonts w:hint="eastAsia" w:ascii="宋体" w:hAnsi="宋体" w:eastAsia="宋体" w:cs="宋体"/>
                <w:color w:val="auto"/>
                <w:spacing w:val="-2"/>
                <w:sz w:val="21"/>
                <w:szCs w:val="21"/>
              </w:rPr>
              <w:t>g</w:t>
            </w:r>
            <w:r>
              <w:rPr>
                <w:rFonts w:hint="eastAsia" w:ascii="宋体" w:hAnsi="宋体" w:eastAsia="宋体" w:cs="宋体"/>
                <w:color w:val="auto"/>
                <w:spacing w:val="0"/>
                <w:sz w:val="21"/>
                <w:szCs w:val="21"/>
              </w:rPr>
              <w:t>/k</w:t>
            </w:r>
            <w:r>
              <w:rPr>
                <w:rFonts w:hint="eastAsia" w:ascii="宋体" w:hAnsi="宋体" w:eastAsia="宋体" w:cs="宋体"/>
                <w:color w:val="auto"/>
                <w:spacing w:val="-2"/>
                <w:sz w:val="21"/>
                <w:szCs w:val="21"/>
              </w:rPr>
              <w:t>g）</w:t>
            </w:r>
          </w:p>
        </w:tc>
        <w:tc>
          <w:tcPr>
            <w:tcW w:w="1454" w:type="dxa"/>
            <w:tcBorders>
              <w:top w:val="nil"/>
              <w:left w:val="nil"/>
              <w:bottom w:val="single" w:color="auto" w:sz="4" w:space="0"/>
              <w:right w:val="single" w:color="auto" w:sz="4" w:space="0"/>
            </w:tcBorders>
            <w:noWrap w:val="0"/>
            <w:vAlign w:val="center"/>
          </w:tcPr>
          <w:p w14:paraId="2096FB77">
            <w:pPr>
              <w:pageBreakBefore w:val="0"/>
              <w:widowControl/>
              <w:kinsoku/>
              <w:overflowPunct/>
              <w:topLinePunct w:val="0"/>
              <w:bidi w:val="0"/>
              <w:snapToGrid/>
              <w:jc w:val="center"/>
              <w:rPr>
                <w:rFonts w:hint="default" w:ascii="宋体" w:hAnsi="宋体" w:eastAsia="宋体" w:cs="宋体"/>
                <w:color w:val="auto"/>
                <w:kern w:val="0"/>
                <w:sz w:val="21"/>
                <w:szCs w:val="21"/>
                <w:lang w:val="en-US"/>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1.5</w:t>
            </w:r>
          </w:p>
        </w:tc>
      </w:tr>
      <w:tr w14:paraId="65FCFCA8">
        <w:tblPrEx>
          <w:tblCellMar>
            <w:top w:w="0" w:type="dxa"/>
            <w:left w:w="108" w:type="dxa"/>
            <w:bottom w:w="0" w:type="dxa"/>
            <w:right w:w="108" w:type="dxa"/>
          </w:tblCellMar>
        </w:tblPrEx>
        <w:trPr>
          <w:trHeight w:val="645" w:hRule="atLeast"/>
          <w:jc w:val="center"/>
        </w:trPr>
        <w:tc>
          <w:tcPr>
            <w:tcW w:w="1196" w:type="dxa"/>
            <w:vMerge w:val="continue"/>
            <w:tcBorders>
              <w:left w:val="single" w:color="auto" w:sz="4" w:space="0"/>
              <w:right w:val="single" w:color="auto" w:sz="4" w:space="0"/>
            </w:tcBorders>
            <w:noWrap w:val="0"/>
            <w:vAlign w:val="center"/>
          </w:tcPr>
          <w:p w14:paraId="15A0CF8B">
            <w:pPr>
              <w:pageBreakBefore w:val="0"/>
              <w:kinsoku/>
              <w:overflowPunct/>
              <w:topLinePunct w:val="0"/>
              <w:bidi w:val="0"/>
              <w:snapToGrid/>
              <w:spacing w:before="2" w:after="0" w:line="240" w:lineRule="auto"/>
              <w:ind w:left="628" w:right="-20" w:firstLine="324" w:firstLineChars="200"/>
              <w:jc w:val="left"/>
              <w:rPr>
                <w:rFonts w:hint="eastAsia" w:ascii="宋体" w:hAnsi="宋体" w:eastAsia="宋体" w:cs="宋体"/>
                <w:color w:val="auto"/>
                <w:spacing w:val="-24"/>
                <w:w w:val="100"/>
                <w:sz w:val="21"/>
                <w:szCs w:val="21"/>
              </w:rPr>
            </w:pPr>
          </w:p>
        </w:tc>
        <w:tc>
          <w:tcPr>
            <w:tcW w:w="724" w:type="dxa"/>
            <w:tcBorders>
              <w:top w:val="single" w:color="auto" w:sz="4" w:space="0"/>
              <w:left w:val="single" w:color="auto" w:sz="4" w:space="0"/>
              <w:bottom w:val="single" w:color="auto" w:sz="4" w:space="0"/>
              <w:right w:val="single" w:color="auto" w:sz="4" w:space="0"/>
            </w:tcBorders>
            <w:noWrap w:val="0"/>
            <w:vAlign w:val="center"/>
          </w:tcPr>
          <w:p w14:paraId="79DDFBD6">
            <w:pPr>
              <w:pageBreakBefore w:val="0"/>
              <w:widowControl/>
              <w:kinsoku/>
              <w:overflowPunct/>
              <w:topLinePunct w:val="0"/>
              <w:bidi w:val="0"/>
              <w:snapToGrid/>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6</w:t>
            </w:r>
          </w:p>
        </w:tc>
        <w:tc>
          <w:tcPr>
            <w:tcW w:w="4965" w:type="dxa"/>
            <w:tcBorders>
              <w:top w:val="single" w:color="auto" w:sz="4" w:space="0"/>
              <w:left w:val="single" w:color="auto" w:sz="4" w:space="0"/>
              <w:bottom w:val="single" w:color="auto" w:sz="4" w:space="0"/>
              <w:right w:val="single" w:color="000000" w:sz="4" w:space="0"/>
            </w:tcBorders>
            <w:noWrap w:val="0"/>
            <w:vAlign w:val="center"/>
          </w:tcPr>
          <w:p w14:paraId="71C34463">
            <w:pPr>
              <w:pageBreakBefore w:val="0"/>
              <w:widowControl/>
              <w:kinsoku/>
              <w:overflowPunct/>
              <w:topLinePunct w:val="0"/>
              <w:bidi w:val="0"/>
              <w:snapToGrid/>
              <w:ind w:firstLine="420" w:firstLineChars="200"/>
              <w:jc w:val="center"/>
              <w:rPr>
                <w:rFonts w:hint="eastAsia" w:ascii="宋体" w:hAnsi="宋体" w:eastAsia="宋体" w:cs="宋体"/>
                <w:b/>
                <w:bCs/>
                <w:color w:val="auto"/>
                <w:kern w:val="0"/>
                <w:sz w:val="21"/>
                <w:szCs w:val="21"/>
              </w:rPr>
            </w:pPr>
            <w:r>
              <w:rPr>
                <w:rFonts w:hint="eastAsia" w:ascii="宋体" w:hAnsi="宋体" w:eastAsia="宋体" w:cs="宋体"/>
                <w:color w:val="auto"/>
                <w:spacing w:val="0"/>
                <w:w w:val="100"/>
                <w:sz w:val="21"/>
                <w:szCs w:val="21"/>
              </w:rPr>
              <w:t>4,4′－二氨基一 3,3′－二氯二苯甲烷（MOCA）</w:t>
            </w:r>
            <w:r>
              <w:rPr>
                <w:rFonts w:hint="eastAsia" w:ascii="宋体" w:hAnsi="宋体" w:eastAsia="宋体" w:cs="宋体"/>
                <w:color w:val="auto"/>
                <w:spacing w:val="0"/>
                <w:w w:val="100"/>
                <w:sz w:val="21"/>
                <w:szCs w:val="21"/>
                <w:lang w:val="en-US" w:eastAsia="zh-CN"/>
              </w:rPr>
              <w:t>/</w:t>
            </w:r>
            <w:r>
              <w:rPr>
                <w:rFonts w:hint="eastAsia" w:ascii="宋体" w:hAnsi="宋体" w:eastAsia="宋体" w:cs="宋体"/>
                <w:color w:val="auto"/>
                <w:spacing w:val="0"/>
                <w:w w:val="100"/>
                <w:sz w:val="21"/>
                <w:szCs w:val="21"/>
              </w:rPr>
              <w:t>（g/kg）</w:t>
            </w:r>
          </w:p>
        </w:tc>
        <w:tc>
          <w:tcPr>
            <w:tcW w:w="1454" w:type="dxa"/>
            <w:tcBorders>
              <w:top w:val="nil"/>
              <w:left w:val="nil"/>
              <w:bottom w:val="single" w:color="auto" w:sz="4" w:space="0"/>
              <w:right w:val="single" w:color="auto" w:sz="4" w:space="0"/>
            </w:tcBorders>
            <w:noWrap w:val="0"/>
            <w:vAlign w:val="center"/>
          </w:tcPr>
          <w:p w14:paraId="5BAC4124">
            <w:pPr>
              <w:pageBreakBefore w:val="0"/>
              <w:kinsoku/>
              <w:overflowPunct/>
              <w:topLinePunct w:val="0"/>
              <w:bidi w:val="0"/>
              <w:snapToGrid/>
              <w:spacing w:before="2" w:after="0" w:line="240" w:lineRule="auto"/>
              <w:ind w:right="-20"/>
              <w:jc w:val="center"/>
              <w:rPr>
                <w:rFonts w:hint="eastAsia" w:ascii="宋体" w:hAnsi="宋体" w:eastAsia="宋体" w:cs="宋体"/>
                <w:color w:val="auto"/>
                <w:kern w:val="0"/>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1.0</w:t>
            </w:r>
          </w:p>
        </w:tc>
      </w:tr>
      <w:tr w14:paraId="1DA42599">
        <w:tblPrEx>
          <w:tblCellMar>
            <w:top w:w="0" w:type="dxa"/>
            <w:left w:w="108" w:type="dxa"/>
            <w:bottom w:w="0" w:type="dxa"/>
            <w:right w:w="108" w:type="dxa"/>
          </w:tblCellMar>
        </w:tblPrEx>
        <w:trPr>
          <w:trHeight w:val="465" w:hRule="atLeast"/>
          <w:jc w:val="center"/>
        </w:trPr>
        <w:tc>
          <w:tcPr>
            <w:tcW w:w="1196" w:type="dxa"/>
            <w:vMerge w:val="continue"/>
            <w:tcBorders>
              <w:left w:val="single" w:color="auto" w:sz="4" w:space="0"/>
              <w:right w:val="single" w:color="auto" w:sz="4" w:space="0"/>
            </w:tcBorders>
            <w:noWrap w:val="0"/>
            <w:vAlign w:val="center"/>
          </w:tcPr>
          <w:p w14:paraId="7B13FC7D">
            <w:pPr>
              <w:pageBreakBefore w:val="0"/>
              <w:widowControl/>
              <w:kinsoku/>
              <w:overflowPunct/>
              <w:topLinePunct w:val="0"/>
              <w:bidi w:val="0"/>
              <w:snapToGrid/>
              <w:ind w:firstLine="420" w:firstLineChars="200"/>
              <w:jc w:val="center"/>
              <w:rPr>
                <w:rFonts w:hint="eastAsia" w:ascii="宋体" w:hAnsi="宋体" w:eastAsia="宋体" w:cs="宋体"/>
                <w:color w:val="auto"/>
                <w:spacing w:val="0"/>
                <w:w w:val="100"/>
                <w:sz w:val="21"/>
                <w:szCs w:val="21"/>
              </w:rPr>
            </w:pPr>
          </w:p>
        </w:tc>
        <w:tc>
          <w:tcPr>
            <w:tcW w:w="724" w:type="dxa"/>
            <w:tcBorders>
              <w:top w:val="single" w:color="auto" w:sz="4" w:space="0"/>
              <w:left w:val="single" w:color="auto" w:sz="4" w:space="0"/>
              <w:bottom w:val="single" w:color="auto" w:sz="4" w:space="0"/>
              <w:right w:val="single" w:color="auto" w:sz="4" w:space="0"/>
            </w:tcBorders>
            <w:noWrap w:val="0"/>
            <w:vAlign w:val="center"/>
          </w:tcPr>
          <w:p w14:paraId="5E6A22F6">
            <w:pPr>
              <w:pageBreakBefore w:val="0"/>
              <w:widowControl/>
              <w:kinsoku/>
              <w:overflowPunct/>
              <w:topLinePunct w:val="0"/>
              <w:bidi w:val="0"/>
              <w:snapToGrid/>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7</w:t>
            </w:r>
          </w:p>
        </w:tc>
        <w:tc>
          <w:tcPr>
            <w:tcW w:w="4965" w:type="dxa"/>
            <w:tcBorders>
              <w:top w:val="single" w:color="auto" w:sz="4" w:space="0"/>
              <w:left w:val="single" w:color="auto" w:sz="4" w:space="0"/>
              <w:bottom w:val="single" w:color="auto" w:sz="4" w:space="0"/>
              <w:right w:val="single" w:color="auto" w:sz="4" w:space="0"/>
            </w:tcBorders>
            <w:noWrap w:val="0"/>
            <w:vAlign w:val="center"/>
          </w:tcPr>
          <w:p w14:paraId="7BADB3AC">
            <w:pPr>
              <w:pageBreakBefore w:val="0"/>
              <w:widowControl/>
              <w:kinsoku/>
              <w:overflowPunct/>
              <w:topLinePunct w:val="0"/>
              <w:bidi w:val="0"/>
              <w:snapToGrid/>
              <w:ind w:firstLine="420" w:firstLineChars="200"/>
              <w:jc w:val="center"/>
              <w:rPr>
                <w:rFonts w:hint="eastAsia" w:ascii="宋体" w:hAnsi="宋体" w:eastAsia="宋体" w:cs="宋体"/>
                <w:b/>
                <w:bCs/>
                <w:color w:val="auto"/>
                <w:kern w:val="0"/>
                <w:sz w:val="21"/>
                <w:szCs w:val="21"/>
              </w:rPr>
            </w:pPr>
            <w:r>
              <w:rPr>
                <w:rFonts w:hint="eastAsia" w:ascii="宋体" w:hAnsi="宋体" w:eastAsia="宋体" w:cs="宋体"/>
                <w:color w:val="auto"/>
                <w:spacing w:val="0"/>
                <w:w w:val="100"/>
                <w:sz w:val="21"/>
                <w:szCs w:val="21"/>
              </w:rPr>
              <w:t>游离甲苯二异氰酸酯（TDI）和游离六亚甲基二异氰酸酯（HDI）总和</w:t>
            </w:r>
            <w:r>
              <w:rPr>
                <w:rFonts w:hint="eastAsia" w:ascii="宋体" w:hAnsi="宋体" w:eastAsia="宋体" w:cs="宋体"/>
                <w:color w:val="auto"/>
                <w:spacing w:val="0"/>
                <w:w w:val="100"/>
                <w:sz w:val="21"/>
                <w:szCs w:val="21"/>
                <w:lang w:val="en-US" w:eastAsia="zh-CN"/>
              </w:rPr>
              <w:t>/</w:t>
            </w:r>
            <w:r>
              <w:rPr>
                <w:rFonts w:hint="eastAsia" w:ascii="宋体" w:hAnsi="宋体" w:eastAsia="宋体" w:cs="宋体"/>
                <w:color w:val="auto"/>
                <w:spacing w:val="0"/>
                <w:w w:val="100"/>
                <w:sz w:val="21"/>
                <w:szCs w:val="21"/>
              </w:rPr>
              <w:t>（g/kg）</w:t>
            </w:r>
          </w:p>
        </w:tc>
        <w:tc>
          <w:tcPr>
            <w:tcW w:w="1454" w:type="dxa"/>
            <w:tcBorders>
              <w:top w:val="nil"/>
              <w:left w:val="nil"/>
              <w:bottom w:val="single" w:color="auto" w:sz="4" w:space="0"/>
              <w:right w:val="single" w:color="auto" w:sz="4" w:space="0"/>
            </w:tcBorders>
            <w:noWrap w:val="0"/>
            <w:vAlign w:val="center"/>
          </w:tcPr>
          <w:p w14:paraId="5C747714">
            <w:pPr>
              <w:pageBreakBefore w:val="0"/>
              <w:widowControl/>
              <w:kinsoku/>
              <w:overflowPunct/>
              <w:topLinePunct w:val="0"/>
              <w:bidi w:val="0"/>
              <w:snapToGrid/>
              <w:jc w:val="center"/>
              <w:rPr>
                <w:rFonts w:hint="default" w:ascii="宋体" w:hAnsi="宋体" w:eastAsia="宋体" w:cs="宋体"/>
                <w:color w:val="auto"/>
                <w:kern w:val="0"/>
                <w:sz w:val="21"/>
                <w:szCs w:val="21"/>
                <w:lang w:val="en-US"/>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0.2</w:t>
            </w:r>
          </w:p>
        </w:tc>
      </w:tr>
      <w:tr w14:paraId="36221313">
        <w:tblPrEx>
          <w:tblCellMar>
            <w:top w:w="0" w:type="dxa"/>
            <w:left w:w="108" w:type="dxa"/>
            <w:bottom w:w="0" w:type="dxa"/>
            <w:right w:w="108" w:type="dxa"/>
          </w:tblCellMar>
        </w:tblPrEx>
        <w:trPr>
          <w:trHeight w:val="480" w:hRule="atLeast"/>
          <w:jc w:val="center"/>
        </w:trPr>
        <w:tc>
          <w:tcPr>
            <w:tcW w:w="1196" w:type="dxa"/>
            <w:vMerge w:val="continue"/>
            <w:tcBorders>
              <w:left w:val="single" w:color="auto" w:sz="4" w:space="0"/>
              <w:right w:val="single" w:color="auto" w:sz="4" w:space="0"/>
            </w:tcBorders>
            <w:noWrap w:val="0"/>
            <w:vAlign w:val="center"/>
          </w:tcPr>
          <w:p w14:paraId="6D819A7C">
            <w:pPr>
              <w:pageBreakBefore w:val="0"/>
              <w:widowControl/>
              <w:kinsoku/>
              <w:overflowPunct/>
              <w:topLinePunct w:val="0"/>
              <w:bidi w:val="0"/>
              <w:snapToGrid/>
              <w:ind w:firstLine="420" w:firstLineChars="200"/>
              <w:jc w:val="center"/>
              <w:rPr>
                <w:rFonts w:hint="eastAsia" w:ascii="宋体" w:hAnsi="宋体" w:eastAsia="宋体" w:cs="宋体"/>
                <w:color w:val="auto"/>
                <w:spacing w:val="0"/>
                <w:sz w:val="21"/>
                <w:szCs w:val="21"/>
              </w:rPr>
            </w:pPr>
          </w:p>
        </w:tc>
        <w:tc>
          <w:tcPr>
            <w:tcW w:w="724" w:type="dxa"/>
            <w:tcBorders>
              <w:top w:val="single" w:color="auto" w:sz="4" w:space="0"/>
              <w:left w:val="single" w:color="auto" w:sz="4" w:space="0"/>
              <w:bottom w:val="single" w:color="auto" w:sz="4" w:space="0"/>
              <w:right w:val="single" w:color="auto" w:sz="4" w:space="0"/>
            </w:tcBorders>
            <w:noWrap w:val="0"/>
            <w:vAlign w:val="center"/>
          </w:tcPr>
          <w:p w14:paraId="3070E459">
            <w:pPr>
              <w:pageBreakBefore w:val="0"/>
              <w:widowControl/>
              <w:kinsoku/>
              <w:overflowPunct/>
              <w:topLinePunct w:val="0"/>
              <w:bidi w:val="0"/>
              <w:snapToGrid/>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8</w:t>
            </w:r>
          </w:p>
        </w:tc>
        <w:tc>
          <w:tcPr>
            <w:tcW w:w="4965" w:type="dxa"/>
            <w:tcBorders>
              <w:top w:val="single" w:color="auto" w:sz="4" w:space="0"/>
              <w:left w:val="single" w:color="auto" w:sz="4" w:space="0"/>
              <w:bottom w:val="single" w:color="auto" w:sz="4" w:space="0"/>
              <w:right w:val="single" w:color="auto" w:sz="4" w:space="0"/>
            </w:tcBorders>
            <w:noWrap w:val="0"/>
            <w:vAlign w:val="center"/>
          </w:tcPr>
          <w:p w14:paraId="6CFDB366">
            <w:pPr>
              <w:pageBreakBefore w:val="0"/>
              <w:widowControl/>
              <w:kinsoku/>
              <w:overflowPunct/>
              <w:topLinePunct w:val="0"/>
              <w:bidi w:val="0"/>
              <w:snapToGrid/>
              <w:ind w:firstLine="412" w:firstLineChars="200"/>
              <w:jc w:val="center"/>
              <w:rPr>
                <w:rFonts w:hint="eastAsia" w:ascii="宋体" w:hAnsi="宋体" w:eastAsia="宋体" w:cs="宋体"/>
                <w:b/>
                <w:bCs/>
                <w:color w:val="auto"/>
                <w:kern w:val="0"/>
                <w:sz w:val="21"/>
                <w:szCs w:val="21"/>
              </w:rPr>
            </w:pPr>
            <w:r>
              <w:rPr>
                <w:rFonts w:hint="eastAsia" w:ascii="宋体" w:hAnsi="宋体" w:eastAsia="宋体" w:cs="宋体"/>
                <w:color w:val="auto"/>
                <w:spacing w:val="-2"/>
                <w:sz w:val="21"/>
                <w:szCs w:val="21"/>
              </w:rPr>
              <w:t>游</w:t>
            </w:r>
            <w:r>
              <w:rPr>
                <w:rFonts w:hint="eastAsia" w:ascii="宋体" w:hAnsi="宋体" w:eastAsia="宋体" w:cs="宋体"/>
                <w:color w:val="auto"/>
                <w:spacing w:val="0"/>
                <w:sz w:val="21"/>
                <w:szCs w:val="21"/>
              </w:rPr>
              <w:t>离</w:t>
            </w:r>
            <w:r>
              <w:rPr>
                <w:rFonts w:hint="eastAsia" w:ascii="宋体" w:hAnsi="宋体" w:eastAsia="宋体" w:cs="宋体"/>
                <w:color w:val="auto"/>
                <w:spacing w:val="-2"/>
                <w:sz w:val="21"/>
                <w:szCs w:val="21"/>
              </w:rPr>
              <w:t>二</w:t>
            </w:r>
            <w:r>
              <w:rPr>
                <w:rFonts w:hint="eastAsia" w:ascii="宋体" w:hAnsi="宋体" w:eastAsia="宋体" w:cs="宋体"/>
                <w:color w:val="auto"/>
                <w:spacing w:val="0"/>
                <w:sz w:val="21"/>
                <w:szCs w:val="21"/>
              </w:rPr>
              <w:t>苯</w:t>
            </w:r>
            <w:r>
              <w:rPr>
                <w:rFonts w:hint="eastAsia" w:ascii="宋体" w:hAnsi="宋体" w:eastAsia="宋体" w:cs="宋体"/>
                <w:color w:val="auto"/>
                <w:spacing w:val="-2"/>
                <w:sz w:val="21"/>
                <w:szCs w:val="21"/>
              </w:rPr>
              <w:t>基</w:t>
            </w:r>
            <w:r>
              <w:rPr>
                <w:rFonts w:hint="eastAsia" w:ascii="宋体" w:hAnsi="宋体" w:eastAsia="宋体" w:cs="宋体"/>
                <w:color w:val="auto"/>
                <w:spacing w:val="0"/>
                <w:sz w:val="21"/>
                <w:szCs w:val="21"/>
              </w:rPr>
              <w:t>甲</w:t>
            </w:r>
            <w:r>
              <w:rPr>
                <w:rFonts w:hint="eastAsia" w:ascii="宋体" w:hAnsi="宋体" w:eastAsia="宋体" w:cs="宋体"/>
                <w:color w:val="auto"/>
                <w:spacing w:val="-2"/>
                <w:sz w:val="21"/>
                <w:szCs w:val="21"/>
              </w:rPr>
              <w:t>烷</w:t>
            </w:r>
            <w:r>
              <w:rPr>
                <w:rFonts w:hint="eastAsia" w:ascii="宋体" w:hAnsi="宋体" w:eastAsia="宋体" w:cs="宋体"/>
                <w:color w:val="auto"/>
                <w:spacing w:val="0"/>
                <w:sz w:val="21"/>
                <w:szCs w:val="21"/>
              </w:rPr>
              <w:t>二</w:t>
            </w:r>
            <w:r>
              <w:rPr>
                <w:rFonts w:hint="eastAsia" w:ascii="宋体" w:hAnsi="宋体" w:eastAsia="宋体" w:cs="宋体"/>
                <w:color w:val="auto"/>
                <w:spacing w:val="-2"/>
                <w:sz w:val="21"/>
                <w:szCs w:val="21"/>
              </w:rPr>
              <w:t>异氰</w:t>
            </w:r>
            <w:r>
              <w:rPr>
                <w:rFonts w:hint="eastAsia" w:ascii="宋体" w:hAnsi="宋体" w:eastAsia="宋体" w:cs="宋体"/>
                <w:color w:val="auto"/>
                <w:spacing w:val="0"/>
                <w:sz w:val="21"/>
                <w:szCs w:val="21"/>
              </w:rPr>
              <w:t>酸酯</w:t>
            </w:r>
            <w:r>
              <w:rPr>
                <w:rFonts w:hint="eastAsia" w:ascii="宋体" w:hAnsi="宋体" w:eastAsia="宋体" w:cs="宋体"/>
                <w:color w:val="auto"/>
                <w:spacing w:val="-2"/>
                <w:sz w:val="21"/>
                <w:szCs w:val="21"/>
              </w:rPr>
              <w:t>（</w:t>
            </w:r>
            <w:r>
              <w:rPr>
                <w:rFonts w:hint="eastAsia" w:ascii="宋体" w:hAnsi="宋体" w:eastAsia="宋体" w:cs="宋体"/>
                <w:color w:val="auto"/>
                <w:spacing w:val="0"/>
                <w:sz w:val="21"/>
                <w:szCs w:val="21"/>
              </w:rPr>
              <w:t>MD</w:t>
            </w:r>
            <w:r>
              <w:rPr>
                <w:rFonts w:hint="eastAsia" w:ascii="宋体" w:hAnsi="宋体" w:eastAsia="宋体" w:cs="宋体"/>
                <w:color w:val="auto"/>
                <w:spacing w:val="-2"/>
                <w:sz w:val="21"/>
                <w:szCs w:val="21"/>
              </w:rPr>
              <w:t>I</w:t>
            </w:r>
            <w:r>
              <w:rPr>
                <w:rFonts w:hint="eastAsia" w:ascii="宋体" w:hAnsi="宋体" w:eastAsia="宋体" w:cs="宋体"/>
                <w:color w:val="auto"/>
                <w:spacing w:val="0"/>
                <w:sz w:val="21"/>
                <w:szCs w:val="21"/>
              </w:rPr>
              <w:t>）</w:t>
            </w:r>
            <w:r>
              <w:rPr>
                <w:rFonts w:hint="eastAsia" w:ascii="宋体" w:hAnsi="宋体" w:eastAsia="宋体" w:cs="宋体"/>
                <w:color w:val="auto"/>
                <w:spacing w:val="0"/>
                <w:sz w:val="21"/>
                <w:szCs w:val="21"/>
                <w:lang w:val="en-US" w:eastAsia="zh-CN"/>
              </w:rPr>
              <w:t>/</w:t>
            </w:r>
            <w:r>
              <w:rPr>
                <w:rFonts w:hint="eastAsia" w:ascii="宋体" w:hAnsi="宋体" w:eastAsia="宋体" w:cs="宋体"/>
                <w:color w:val="auto"/>
                <w:spacing w:val="0"/>
                <w:w w:val="100"/>
                <w:sz w:val="21"/>
                <w:szCs w:val="21"/>
              </w:rPr>
              <w:t>（g/kg）</w:t>
            </w:r>
          </w:p>
        </w:tc>
        <w:tc>
          <w:tcPr>
            <w:tcW w:w="1454" w:type="dxa"/>
            <w:tcBorders>
              <w:top w:val="nil"/>
              <w:left w:val="nil"/>
              <w:bottom w:val="single" w:color="auto" w:sz="4" w:space="0"/>
              <w:right w:val="single" w:color="auto" w:sz="4" w:space="0"/>
            </w:tcBorders>
            <w:noWrap w:val="0"/>
            <w:vAlign w:val="center"/>
          </w:tcPr>
          <w:p w14:paraId="14254105">
            <w:pPr>
              <w:pageBreakBefore w:val="0"/>
              <w:widowControl/>
              <w:kinsoku/>
              <w:overflowPunct/>
              <w:topLinePunct w:val="0"/>
              <w:bidi w:val="0"/>
              <w:snapToGrid/>
              <w:jc w:val="center"/>
              <w:rPr>
                <w:rFonts w:hint="eastAsia" w:ascii="宋体" w:hAnsi="宋体" w:eastAsia="宋体" w:cs="宋体"/>
                <w:color w:val="auto"/>
                <w:kern w:val="0"/>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1.0</w:t>
            </w:r>
          </w:p>
        </w:tc>
      </w:tr>
      <w:tr w14:paraId="26D1D5AF">
        <w:tblPrEx>
          <w:tblCellMar>
            <w:top w:w="0" w:type="dxa"/>
            <w:left w:w="108" w:type="dxa"/>
            <w:bottom w:w="0" w:type="dxa"/>
            <w:right w:w="108" w:type="dxa"/>
          </w:tblCellMar>
        </w:tblPrEx>
        <w:trPr>
          <w:trHeight w:val="390" w:hRule="atLeast"/>
          <w:jc w:val="center"/>
        </w:trPr>
        <w:tc>
          <w:tcPr>
            <w:tcW w:w="1196" w:type="dxa"/>
            <w:vMerge w:val="continue"/>
            <w:tcBorders>
              <w:left w:val="single" w:color="auto" w:sz="4" w:space="0"/>
              <w:right w:val="single" w:color="auto" w:sz="4" w:space="0"/>
            </w:tcBorders>
            <w:noWrap w:val="0"/>
            <w:vAlign w:val="center"/>
          </w:tcPr>
          <w:p w14:paraId="568097B3">
            <w:pPr>
              <w:pageBreakBefore w:val="0"/>
              <w:widowControl/>
              <w:kinsoku/>
              <w:overflowPunct/>
              <w:topLinePunct w:val="0"/>
              <w:bidi w:val="0"/>
              <w:snapToGrid/>
              <w:ind w:firstLine="412" w:firstLineChars="200"/>
              <w:jc w:val="center"/>
              <w:rPr>
                <w:rFonts w:hint="eastAsia" w:ascii="宋体" w:hAnsi="宋体" w:eastAsia="宋体" w:cs="宋体"/>
                <w:color w:val="auto"/>
                <w:spacing w:val="-2"/>
                <w:sz w:val="21"/>
                <w:szCs w:val="21"/>
              </w:rPr>
            </w:pPr>
          </w:p>
        </w:tc>
        <w:tc>
          <w:tcPr>
            <w:tcW w:w="724" w:type="dxa"/>
            <w:tcBorders>
              <w:top w:val="single" w:color="auto" w:sz="4" w:space="0"/>
              <w:left w:val="single" w:color="auto" w:sz="4" w:space="0"/>
              <w:bottom w:val="single" w:color="auto" w:sz="4" w:space="0"/>
              <w:right w:val="single" w:color="auto" w:sz="4" w:space="0"/>
            </w:tcBorders>
            <w:noWrap w:val="0"/>
            <w:vAlign w:val="center"/>
          </w:tcPr>
          <w:p w14:paraId="6F6450DB">
            <w:pPr>
              <w:pageBreakBefore w:val="0"/>
              <w:widowControl/>
              <w:kinsoku/>
              <w:overflowPunct/>
              <w:topLinePunct w:val="0"/>
              <w:bidi w:val="0"/>
              <w:snapToGrid/>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9</w:t>
            </w:r>
          </w:p>
        </w:tc>
        <w:tc>
          <w:tcPr>
            <w:tcW w:w="4965" w:type="dxa"/>
            <w:tcBorders>
              <w:top w:val="single" w:color="auto" w:sz="4" w:space="0"/>
              <w:left w:val="single" w:color="auto" w:sz="4" w:space="0"/>
              <w:bottom w:val="single" w:color="auto" w:sz="4" w:space="0"/>
              <w:right w:val="single" w:color="auto" w:sz="4" w:space="0"/>
            </w:tcBorders>
            <w:noWrap w:val="0"/>
            <w:vAlign w:val="center"/>
          </w:tcPr>
          <w:p w14:paraId="59668941">
            <w:pPr>
              <w:pageBreakBefore w:val="0"/>
              <w:widowControl/>
              <w:kinsoku/>
              <w:overflowPunct/>
              <w:topLinePunct w:val="0"/>
              <w:bidi w:val="0"/>
              <w:snapToGrid/>
              <w:ind w:firstLine="412" w:firstLineChars="200"/>
              <w:jc w:val="center"/>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可溶性铅</w:t>
            </w:r>
            <w:r>
              <w:rPr>
                <w:rFonts w:hint="eastAsia" w:ascii="宋体" w:hAnsi="宋体" w:eastAsia="宋体" w:cs="宋体"/>
                <w:color w:val="auto"/>
                <w:spacing w:val="-2"/>
                <w:sz w:val="21"/>
                <w:szCs w:val="21"/>
                <w:lang w:val="en-US" w:eastAsia="zh-CN"/>
              </w:rPr>
              <w:t xml:space="preserve"> /</w:t>
            </w:r>
            <w:r>
              <w:rPr>
                <w:rFonts w:hint="eastAsia" w:ascii="宋体" w:hAnsi="宋体" w:eastAsia="宋体" w:cs="宋体"/>
                <w:color w:val="auto"/>
                <w:spacing w:val="-2"/>
                <w:sz w:val="21"/>
                <w:szCs w:val="21"/>
              </w:rPr>
              <w:t>(</w:t>
            </w:r>
            <w:r>
              <w:rPr>
                <w:rFonts w:hint="eastAsia" w:ascii="宋体" w:hAnsi="宋体" w:eastAsia="宋体" w:cs="宋体"/>
                <w:color w:val="auto"/>
                <w:spacing w:val="-2"/>
                <w:sz w:val="21"/>
                <w:szCs w:val="21"/>
                <w:lang w:val="en-US" w:eastAsia="zh-CN"/>
              </w:rPr>
              <w:t>m</w:t>
            </w:r>
            <w:r>
              <w:rPr>
                <w:rFonts w:hint="eastAsia" w:ascii="宋体" w:hAnsi="宋体" w:eastAsia="宋体" w:cs="宋体"/>
                <w:color w:val="auto"/>
                <w:spacing w:val="-2"/>
                <w:sz w:val="21"/>
                <w:szCs w:val="21"/>
              </w:rPr>
              <w:t>g/kg)</w:t>
            </w:r>
          </w:p>
        </w:tc>
        <w:tc>
          <w:tcPr>
            <w:tcW w:w="1454" w:type="dxa"/>
            <w:tcBorders>
              <w:top w:val="nil"/>
              <w:left w:val="nil"/>
              <w:bottom w:val="single" w:color="auto" w:sz="4" w:space="0"/>
              <w:right w:val="single" w:color="auto" w:sz="4" w:space="0"/>
            </w:tcBorders>
            <w:noWrap w:val="0"/>
            <w:vAlign w:val="center"/>
          </w:tcPr>
          <w:p w14:paraId="6D510311">
            <w:pPr>
              <w:pageBreakBefore w:val="0"/>
              <w:widowControl/>
              <w:kinsoku/>
              <w:overflowPunct/>
              <w:topLinePunct w:val="0"/>
              <w:bidi w:val="0"/>
              <w:snapToGrid/>
              <w:jc w:val="center"/>
              <w:rPr>
                <w:rFonts w:hint="default" w:ascii="宋体" w:hAnsi="宋体" w:eastAsia="宋体" w:cs="宋体"/>
                <w:color w:val="auto"/>
                <w:spacing w:val="-2"/>
                <w:sz w:val="21"/>
                <w:szCs w:val="21"/>
                <w:lang w:val="en-US"/>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50</w:t>
            </w:r>
          </w:p>
        </w:tc>
      </w:tr>
      <w:tr w14:paraId="3448433F">
        <w:tblPrEx>
          <w:tblCellMar>
            <w:top w:w="0" w:type="dxa"/>
            <w:left w:w="108" w:type="dxa"/>
            <w:bottom w:w="0" w:type="dxa"/>
            <w:right w:w="108" w:type="dxa"/>
          </w:tblCellMar>
        </w:tblPrEx>
        <w:trPr>
          <w:trHeight w:val="390" w:hRule="atLeast"/>
          <w:jc w:val="center"/>
        </w:trPr>
        <w:tc>
          <w:tcPr>
            <w:tcW w:w="1196" w:type="dxa"/>
            <w:vMerge w:val="continue"/>
            <w:tcBorders>
              <w:left w:val="single" w:color="auto" w:sz="4" w:space="0"/>
              <w:right w:val="single" w:color="auto" w:sz="4" w:space="0"/>
            </w:tcBorders>
            <w:noWrap w:val="0"/>
            <w:vAlign w:val="center"/>
          </w:tcPr>
          <w:p w14:paraId="36C41B0B">
            <w:pPr>
              <w:pageBreakBefore w:val="0"/>
              <w:widowControl/>
              <w:kinsoku/>
              <w:overflowPunct/>
              <w:topLinePunct w:val="0"/>
              <w:bidi w:val="0"/>
              <w:snapToGrid/>
              <w:ind w:firstLine="412" w:firstLineChars="200"/>
              <w:jc w:val="center"/>
              <w:rPr>
                <w:rFonts w:hint="eastAsia" w:ascii="宋体" w:hAnsi="宋体" w:eastAsia="宋体" w:cs="宋体"/>
                <w:color w:val="auto"/>
                <w:spacing w:val="-2"/>
                <w:sz w:val="21"/>
                <w:szCs w:val="21"/>
              </w:rPr>
            </w:pPr>
          </w:p>
        </w:tc>
        <w:tc>
          <w:tcPr>
            <w:tcW w:w="724" w:type="dxa"/>
            <w:tcBorders>
              <w:top w:val="single" w:color="auto" w:sz="4" w:space="0"/>
              <w:left w:val="single" w:color="auto" w:sz="4" w:space="0"/>
              <w:bottom w:val="single" w:color="auto" w:sz="4" w:space="0"/>
              <w:right w:val="single" w:color="auto" w:sz="4" w:space="0"/>
            </w:tcBorders>
            <w:noWrap w:val="0"/>
            <w:vAlign w:val="center"/>
          </w:tcPr>
          <w:p w14:paraId="670D17FA">
            <w:pPr>
              <w:pageBreakBefore w:val="0"/>
              <w:widowControl/>
              <w:kinsoku/>
              <w:overflowPunct/>
              <w:topLinePunct w:val="0"/>
              <w:bidi w:val="0"/>
              <w:snapToGrid/>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10</w:t>
            </w:r>
          </w:p>
        </w:tc>
        <w:tc>
          <w:tcPr>
            <w:tcW w:w="4965" w:type="dxa"/>
            <w:tcBorders>
              <w:top w:val="single" w:color="auto" w:sz="4" w:space="0"/>
              <w:left w:val="single" w:color="auto" w:sz="4" w:space="0"/>
              <w:bottom w:val="single" w:color="auto" w:sz="4" w:space="0"/>
              <w:right w:val="single" w:color="auto" w:sz="4" w:space="0"/>
            </w:tcBorders>
            <w:noWrap w:val="0"/>
            <w:vAlign w:val="center"/>
          </w:tcPr>
          <w:p w14:paraId="7B5458B9">
            <w:pPr>
              <w:pageBreakBefore w:val="0"/>
              <w:widowControl/>
              <w:kinsoku/>
              <w:overflowPunct/>
              <w:topLinePunct w:val="0"/>
              <w:bidi w:val="0"/>
              <w:snapToGrid/>
              <w:ind w:firstLine="412" w:firstLineChars="200"/>
              <w:jc w:val="center"/>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可溶性镉</w:t>
            </w:r>
            <w:r>
              <w:rPr>
                <w:rFonts w:hint="eastAsia" w:ascii="宋体" w:hAnsi="宋体" w:eastAsia="宋体" w:cs="宋体"/>
                <w:color w:val="auto"/>
                <w:spacing w:val="-2"/>
                <w:sz w:val="21"/>
                <w:szCs w:val="21"/>
                <w:lang w:val="en-US" w:eastAsia="zh-CN"/>
              </w:rPr>
              <w:t xml:space="preserve"> /</w:t>
            </w:r>
            <w:r>
              <w:rPr>
                <w:rFonts w:hint="eastAsia" w:ascii="宋体" w:hAnsi="宋体" w:eastAsia="宋体" w:cs="宋体"/>
                <w:color w:val="auto"/>
                <w:spacing w:val="-2"/>
                <w:sz w:val="21"/>
                <w:szCs w:val="21"/>
              </w:rPr>
              <w:t>(</w:t>
            </w:r>
            <w:r>
              <w:rPr>
                <w:rFonts w:hint="eastAsia" w:ascii="宋体" w:hAnsi="宋体" w:eastAsia="宋体" w:cs="宋体"/>
                <w:color w:val="auto"/>
                <w:spacing w:val="-2"/>
                <w:sz w:val="21"/>
                <w:szCs w:val="21"/>
                <w:lang w:val="en-US" w:eastAsia="zh-CN"/>
              </w:rPr>
              <w:t>m</w:t>
            </w:r>
            <w:r>
              <w:rPr>
                <w:rFonts w:hint="eastAsia" w:ascii="宋体" w:hAnsi="宋体" w:eastAsia="宋体" w:cs="宋体"/>
                <w:color w:val="auto"/>
                <w:spacing w:val="-2"/>
                <w:sz w:val="21"/>
                <w:szCs w:val="21"/>
              </w:rPr>
              <w:t>g/kg)</w:t>
            </w:r>
          </w:p>
        </w:tc>
        <w:tc>
          <w:tcPr>
            <w:tcW w:w="1454" w:type="dxa"/>
            <w:tcBorders>
              <w:top w:val="nil"/>
              <w:left w:val="nil"/>
              <w:bottom w:val="single" w:color="auto" w:sz="4" w:space="0"/>
              <w:right w:val="single" w:color="auto" w:sz="4" w:space="0"/>
            </w:tcBorders>
            <w:noWrap w:val="0"/>
            <w:vAlign w:val="center"/>
          </w:tcPr>
          <w:p w14:paraId="31FBAD3C">
            <w:pPr>
              <w:pageBreakBefore w:val="0"/>
              <w:widowControl/>
              <w:kinsoku/>
              <w:overflowPunct/>
              <w:topLinePunct w:val="0"/>
              <w:bidi w:val="0"/>
              <w:snapToGrid/>
              <w:jc w:val="center"/>
              <w:rPr>
                <w:rFonts w:hint="default" w:ascii="宋体" w:hAnsi="宋体" w:eastAsia="宋体" w:cs="宋体"/>
                <w:color w:val="auto"/>
                <w:spacing w:val="-2"/>
                <w:sz w:val="21"/>
                <w:szCs w:val="21"/>
                <w:lang w:val="en-US" w:eastAsia="zh-CN"/>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10</w:t>
            </w:r>
          </w:p>
        </w:tc>
      </w:tr>
      <w:tr w14:paraId="6EF779AF">
        <w:tblPrEx>
          <w:tblCellMar>
            <w:top w:w="0" w:type="dxa"/>
            <w:left w:w="108" w:type="dxa"/>
            <w:bottom w:w="0" w:type="dxa"/>
            <w:right w:w="108" w:type="dxa"/>
          </w:tblCellMar>
        </w:tblPrEx>
        <w:trPr>
          <w:trHeight w:val="390" w:hRule="atLeast"/>
          <w:jc w:val="center"/>
        </w:trPr>
        <w:tc>
          <w:tcPr>
            <w:tcW w:w="1196" w:type="dxa"/>
            <w:vMerge w:val="continue"/>
            <w:tcBorders>
              <w:left w:val="single" w:color="auto" w:sz="4" w:space="0"/>
              <w:right w:val="single" w:color="auto" w:sz="4" w:space="0"/>
            </w:tcBorders>
            <w:noWrap w:val="0"/>
            <w:vAlign w:val="center"/>
          </w:tcPr>
          <w:p w14:paraId="4F5D5F61">
            <w:pPr>
              <w:pageBreakBefore w:val="0"/>
              <w:widowControl/>
              <w:kinsoku/>
              <w:overflowPunct/>
              <w:topLinePunct w:val="0"/>
              <w:bidi w:val="0"/>
              <w:snapToGrid/>
              <w:ind w:firstLine="412" w:firstLineChars="200"/>
              <w:jc w:val="center"/>
              <w:rPr>
                <w:rFonts w:hint="eastAsia" w:ascii="宋体" w:hAnsi="宋体" w:eastAsia="宋体" w:cs="宋体"/>
                <w:color w:val="auto"/>
                <w:spacing w:val="-2"/>
                <w:sz w:val="21"/>
                <w:szCs w:val="21"/>
              </w:rPr>
            </w:pPr>
          </w:p>
        </w:tc>
        <w:tc>
          <w:tcPr>
            <w:tcW w:w="724" w:type="dxa"/>
            <w:tcBorders>
              <w:top w:val="single" w:color="auto" w:sz="4" w:space="0"/>
              <w:left w:val="single" w:color="auto" w:sz="4" w:space="0"/>
              <w:bottom w:val="single" w:color="auto" w:sz="4" w:space="0"/>
              <w:right w:val="single" w:color="auto" w:sz="4" w:space="0"/>
            </w:tcBorders>
            <w:noWrap w:val="0"/>
            <w:vAlign w:val="center"/>
          </w:tcPr>
          <w:p w14:paraId="0D7D4A20">
            <w:pPr>
              <w:pageBreakBefore w:val="0"/>
              <w:widowControl/>
              <w:kinsoku/>
              <w:overflowPunct/>
              <w:topLinePunct w:val="0"/>
              <w:bidi w:val="0"/>
              <w:snapToGrid/>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11</w:t>
            </w:r>
          </w:p>
        </w:tc>
        <w:tc>
          <w:tcPr>
            <w:tcW w:w="4965" w:type="dxa"/>
            <w:tcBorders>
              <w:top w:val="single" w:color="auto" w:sz="4" w:space="0"/>
              <w:left w:val="single" w:color="auto" w:sz="4" w:space="0"/>
              <w:bottom w:val="single" w:color="auto" w:sz="4" w:space="0"/>
              <w:right w:val="single" w:color="auto" w:sz="4" w:space="0"/>
            </w:tcBorders>
            <w:noWrap w:val="0"/>
            <w:vAlign w:val="center"/>
          </w:tcPr>
          <w:p w14:paraId="409944F5">
            <w:pPr>
              <w:pageBreakBefore w:val="0"/>
              <w:widowControl/>
              <w:kinsoku/>
              <w:overflowPunct/>
              <w:topLinePunct w:val="0"/>
              <w:bidi w:val="0"/>
              <w:snapToGrid/>
              <w:ind w:firstLine="412" w:firstLineChars="200"/>
              <w:jc w:val="center"/>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可溶性铬</w:t>
            </w:r>
            <w:r>
              <w:rPr>
                <w:rFonts w:hint="eastAsia" w:ascii="宋体" w:hAnsi="宋体" w:eastAsia="宋体" w:cs="宋体"/>
                <w:color w:val="auto"/>
                <w:spacing w:val="-2"/>
                <w:sz w:val="21"/>
                <w:szCs w:val="21"/>
                <w:lang w:val="en-US" w:eastAsia="zh-CN"/>
              </w:rPr>
              <w:t xml:space="preserve">/ </w:t>
            </w:r>
            <w:r>
              <w:rPr>
                <w:rFonts w:hint="eastAsia" w:ascii="宋体" w:hAnsi="宋体" w:eastAsia="宋体" w:cs="宋体"/>
                <w:color w:val="auto"/>
                <w:spacing w:val="-2"/>
                <w:sz w:val="21"/>
                <w:szCs w:val="21"/>
              </w:rPr>
              <w:t>(</w:t>
            </w:r>
            <w:r>
              <w:rPr>
                <w:rFonts w:hint="eastAsia" w:ascii="宋体" w:hAnsi="宋体" w:eastAsia="宋体" w:cs="宋体"/>
                <w:color w:val="auto"/>
                <w:spacing w:val="-2"/>
                <w:sz w:val="21"/>
                <w:szCs w:val="21"/>
                <w:lang w:val="en-US" w:eastAsia="zh-CN"/>
              </w:rPr>
              <w:t>m</w:t>
            </w:r>
            <w:r>
              <w:rPr>
                <w:rFonts w:hint="eastAsia" w:ascii="宋体" w:hAnsi="宋体" w:eastAsia="宋体" w:cs="宋体"/>
                <w:color w:val="auto"/>
                <w:spacing w:val="-2"/>
                <w:sz w:val="21"/>
                <w:szCs w:val="21"/>
              </w:rPr>
              <w:t>g/kg)</w:t>
            </w:r>
          </w:p>
        </w:tc>
        <w:tc>
          <w:tcPr>
            <w:tcW w:w="1454" w:type="dxa"/>
            <w:tcBorders>
              <w:top w:val="nil"/>
              <w:left w:val="nil"/>
              <w:bottom w:val="single" w:color="auto" w:sz="4" w:space="0"/>
              <w:right w:val="single" w:color="auto" w:sz="4" w:space="0"/>
            </w:tcBorders>
            <w:noWrap w:val="0"/>
            <w:vAlign w:val="center"/>
          </w:tcPr>
          <w:p w14:paraId="7A013558">
            <w:pPr>
              <w:pageBreakBefore w:val="0"/>
              <w:widowControl/>
              <w:kinsoku/>
              <w:overflowPunct/>
              <w:topLinePunct w:val="0"/>
              <w:bidi w:val="0"/>
              <w:snapToGrid/>
              <w:jc w:val="center"/>
              <w:rPr>
                <w:rFonts w:hint="default"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rPr>
              <w:t>≤</w:t>
            </w:r>
            <w:r>
              <w:rPr>
                <w:rFonts w:hint="eastAsia" w:ascii="宋体" w:hAnsi="宋体" w:cs="宋体"/>
                <w:color w:val="auto"/>
                <w:spacing w:val="-2"/>
                <w:sz w:val="21"/>
                <w:szCs w:val="21"/>
                <w:lang w:val="en-US" w:eastAsia="zh-CN"/>
              </w:rPr>
              <w:t>10</w:t>
            </w:r>
          </w:p>
        </w:tc>
      </w:tr>
      <w:tr w14:paraId="73655EAF">
        <w:tblPrEx>
          <w:tblCellMar>
            <w:top w:w="0" w:type="dxa"/>
            <w:left w:w="108" w:type="dxa"/>
            <w:bottom w:w="0" w:type="dxa"/>
            <w:right w:w="108" w:type="dxa"/>
          </w:tblCellMar>
        </w:tblPrEx>
        <w:trPr>
          <w:trHeight w:val="390" w:hRule="atLeast"/>
          <w:jc w:val="center"/>
        </w:trPr>
        <w:tc>
          <w:tcPr>
            <w:tcW w:w="1196" w:type="dxa"/>
            <w:vMerge w:val="continue"/>
            <w:tcBorders>
              <w:left w:val="single" w:color="auto" w:sz="4" w:space="0"/>
              <w:right w:val="single" w:color="auto" w:sz="4" w:space="0"/>
            </w:tcBorders>
            <w:noWrap w:val="0"/>
            <w:vAlign w:val="center"/>
          </w:tcPr>
          <w:p w14:paraId="2F044CE1">
            <w:pPr>
              <w:pageBreakBefore w:val="0"/>
              <w:widowControl/>
              <w:kinsoku/>
              <w:overflowPunct/>
              <w:topLinePunct w:val="0"/>
              <w:bidi w:val="0"/>
              <w:snapToGrid/>
              <w:ind w:firstLine="412" w:firstLineChars="200"/>
              <w:jc w:val="center"/>
              <w:rPr>
                <w:rFonts w:hint="eastAsia" w:ascii="宋体" w:hAnsi="宋体" w:eastAsia="宋体" w:cs="宋体"/>
                <w:color w:val="auto"/>
                <w:spacing w:val="-2"/>
                <w:sz w:val="21"/>
                <w:szCs w:val="21"/>
              </w:rPr>
            </w:pPr>
          </w:p>
        </w:tc>
        <w:tc>
          <w:tcPr>
            <w:tcW w:w="724" w:type="dxa"/>
            <w:tcBorders>
              <w:top w:val="single" w:color="auto" w:sz="4" w:space="0"/>
              <w:left w:val="single" w:color="auto" w:sz="4" w:space="0"/>
              <w:bottom w:val="single" w:color="auto" w:sz="4" w:space="0"/>
              <w:right w:val="single" w:color="auto" w:sz="4" w:space="0"/>
            </w:tcBorders>
            <w:noWrap w:val="0"/>
            <w:vAlign w:val="center"/>
          </w:tcPr>
          <w:p w14:paraId="1D34E248">
            <w:pPr>
              <w:pageBreakBefore w:val="0"/>
              <w:widowControl/>
              <w:kinsoku/>
              <w:overflowPunct/>
              <w:topLinePunct w:val="0"/>
              <w:bidi w:val="0"/>
              <w:snapToGrid/>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12</w:t>
            </w:r>
          </w:p>
        </w:tc>
        <w:tc>
          <w:tcPr>
            <w:tcW w:w="4965" w:type="dxa"/>
            <w:tcBorders>
              <w:top w:val="single" w:color="auto" w:sz="4" w:space="0"/>
              <w:left w:val="single" w:color="auto" w:sz="4" w:space="0"/>
              <w:bottom w:val="single" w:color="auto" w:sz="4" w:space="0"/>
              <w:right w:val="single" w:color="auto" w:sz="4" w:space="0"/>
            </w:tcBorders>
            <w:noWrap w:val="0"/>
            <w:vAlign w:val="center"/>
          </w:tcPr>
          <w:p w14:paraId="549A0AC6">
            <w:pPr>
              <w:pageBreakBefore w:val="0"/>
              <w:widowControl/>
              <w:kinsoku/>
              <w:overflowPunct/>
              <w:topLinePunct w:val="0"/>
              <w:bidi w:val="0"/>
              <w:snapToGrid/>
              <w:ind w:firstLine="412" w:firstLineChars="200"/>
              <w:jc w:val="center"/>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可溶性汞</w:t>
            </w:r>
            <w:r>
              <w:rPr>
                <w:rFonts w:hint="eastAsia" w:ascii="宋体" w:hAnsi="宋体" w:eastAsia="宋体" w:cs="宋体"/>
                <w:color w:val="auto"/>
                <w:spacing w:val="-2"/>
                <w:sz w:val="21"/>
                <w:szCs w:val="21"/>
                <w:lang w:val="en-US" w:eastAsia="zh-CN"/>
              </w:rPr>
              <w:t xml:space="preserve">/ </w:t>
            </w:r>
            <w:r>
              <w:rPr>
                <w:rFonts w:hint="eastAsia" w:ascii="宋体" w:hAnsi="宋体" w:eastAsia="宋体" w:cs="宋体"/>
                <w:color w:val="auto"/>
                <w:spacing w:val="-2"/>
                <w:sz w:val="21"/>
                <w:szCs w:val="21"/>
              </w:rPr>
              <w:t>(</w:t>
            </w:r>
            <w:r>
              <w:rPr>
                <w:rFonts w:hint="eastAsia" w:ascii="宋体" w:hAnsi="宋体" w:eastAsia="宋体" w:cs="宋体"/>
                <w:color w:val="auto"/>
                <w:spacing w:val="-2"/>
                <w:sz w:val="21"/>
                <w:szCs w:val="21"/>
                <w:lang w:val="en-US" w:eastAsia="zh-CN"/>
              </w:rPr>
              <w:t>m</w:t>
            </w:r>
            <w:r>
              <w:rPr>
                <w:rFonts w:hint="eastAsia" w:ascii="宋体" w:hAnsi="宋体" w:eastAsia="宋体" w:cs="宋体"/>
                <w:color w:val="auto"/>
                <w:spacing w:val="-2"/>
                <w:sz w:val="21"/>
                <w:szCs w:val="21"/>
              </w:rPr>
              <w:t>g/kg)</w:t>
            </w:r>
          </w:p>
        </w:tc>
        <w:tc>
          <w:tcPr>
            <w:tcW w:w="1454" w:type="dxa"/>
            <w:tcBorders>
              <w:top w:val="nil"/>
              <w:left w:val="nil"/>
              <w:bottom w:val="single" w:color="auto" w:sz="4" w:space="0"/>
              <w:right w:val="single" w:color="auto" w:sz="4" w:space="0"/>
            </w:tcBorders>
            <w:noWrap w:val="0"/>
            <w:vAlign w:val="center"/>
          </w:tcPr>
          <w:p w14:paraId="1A2945B8">
            <w:pPr>
              <w:pageBreakBefore w:val="0"/>
              <w:widowControl/>
              <w:kinsoku/>
              <w:overflowPunct/>
              <w:topLinePunct w:val="0"/>
              <w:bidi w:val="0"/>
              <w:snapToGrid/>
              <w:jc w:val="center"/>
              <w:rPr>
                <w:rFonts w:hint="default" w:ascii="宋体" w:hAnsi="宋体" w:eastAsia="宋体" w:cs="宋体"/>
                <w:color w:val="auto"/>
                <w:spacing w:val="-2"/>
                <w:sz w:val="21"/>
                <w:szCs w:val="21"/>
                <w:lang w:val="en-US"/>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2</w:t>
            </w:r>
          </w:p>
        </w:tc>
      </w:tr>
      <w:tr w14:paraId="25AEDD5E">
        <w:tblPrEx>
          <w:tblCellMar>
            <w:top w:w="0" w:type="dxa"/>
            <w:left w:w="108" w:type="dxa"/>
            <w:bottom w:w="0" w:type="dxa"/>
            <w:right w:w="108" w:type="dxa"/>
          </w:tblCellMar>
        </w:tblPrEx>
        <w:trPr>
          <w:trHeight w:val="390" w:hRule="atLeast"/>
          <w:jc w:val="center"/>
        </w:trPr>
        <w:tc>
          <w:tcPr>
            <w:tcW w:w="1196" w:type="dxa"/>
            <w:vMerge w:val="restart"/>
            <w:tcBorders>
              <w:top w:val="single" w:color="auto" w:sz="4" w:space="0"/>
              <w:left w:val="single" w:color="auto" w:sz="4" w:space="0"/>
              <w:right w:val="single" w:color="auto" w:sz="4" w:space="0"/>
            </w:tcBorders>
            <w:noWrap w:val="0"/>
            <w:vAlign w:val="center"/>
          </w:tcPr>
          <w:p w14:paraId="6786B276">
            <w:pPr>
              <w:pageBreakBefore w:val="0"/>
              <w:widowControl/>
              <w:kinsoku/>
              <w:overflowPunct/>
              <w:topLinePunct w:val="0"/>
              <w:bidi w:val="0"/>
              <w:snapToGrid/>
              <w:jc w:val="both"/>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rPr>
              <w:t>有害物质释放</w:t>
            </w:r>
            <w:r>
              <w:rPr>
                <w:rFonts w:hint="eastAsia" w:ascii="宋体" w:hAnsi="宋体" w:eastAsia="宋体" w:cs="宋体"/>
                <w:color w:val="auto"/>
                <w:spacing w:val="-2"/>
                <w:sz w:val="21"/>
                <w:szCs w:val="21"/>
                <w:lang w:eastAsia="zh-CN"/>
              </w:rPr>
              <w:t>量</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378FB253">
            <w:pPr>
              <w:pageBreakBefore w:val="0"/>
              <w:widowControl/>
              <w:kinsoku/>
              <w:overflowPunct/>
              <w:topLinePunct w:val="0"/>
              <w:bidi w:val="0"/>
              <w:snapToGrid/>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13</w:t>
            </w:r>
          </w:p>
        </w:tc>
        <w:tc>
          <w:tcPr>
            <w:tcW w:w="4965" w:type="dxa"/>
            <w:tcBorders>
              <w:top w:val="single" w:color="auto" w:sz="4" w:space="0"/>
              <w:left w:val="single" w:color="auto" w:sz="4" w:space="0"/>
              <w:bottom w:val="single" w:color="auto" w:sz="4" w:space="0"/>
              <w:right w:val="single" w:color="auto" w:sz="4" w:space="0"/>
            </w:tcBorders>
            <w:noWrap w:val="0"/>
            <w:vAlign w:val="center"/>
          </w:tcPr>
          <w:p w14:paraId="1E0E30A3">
            <w:pPr>
              <w:pageBreakBefore w:val="0"/>
              <w:widowControl/>
              <w:kinsoku/>
              <w:overflowPunct/>
              <w:topLinePunct w:val="0"/>
              <w:bidi w:val="0"/>
              <w:snapToGrid/>
              <w:ind w:firstLine="412" w:firstLineChars="200"/>
              <w:jc w:val="center"/>
              <w:rPr>
                <w:rFonts w:hint="eastAsia" w:ascii="宋体" w:hAnsi="宋体" w:eastAsia="宋体" w:cs="宋体"/>
                <w:b/>
                <w:bCs/>
                <w:color w:val="auto"/>
                <w:kern w:val="0"/>
                <w:sz w:val="21"/>
                <w:szCs w:val="21"/>
              </w:rPr>
            </w:pPr>
            <w:r>
              <w:rPr>
                <w:rFonts w:hint="eastAsia" w:ascii="宋体" w:hAnsi="宋体" w:eastAsia="宋体" w:cs="宋体"/>
                <w:color w:val="auto"/>
                <w:spacing w:val="-2"/>
                <w:sz w:val="21"/>
                <w:szCs w:val="21"/>
              </w:rPr>
              <w:t>总</w:t>
            </w:r>
            <w:r>
              <w:rPr>
                <w:rFonts w:hint="eastAsia" w:ascii="宋体" w:hAnsi="宋体" w:eastAsia="宋体" w:cs="宋体"/>
                <w:color w:val="auto"/>
                <w:spacing w:val="0"/>
                <w:sz w:val="21"/>
                <w:szCs w:val="21"/>
              </w:rPr>
              <w:t>挥</w:t>
            </w:r>
            <w:r>
              <w:rPr>
                <w:rFonts w:hint="eastAsia" w:ascii="宋体" w:hAnsi="宋体" w:eastAsia="宋体" w:cs="宋体"/>
                <w:color w:val="auto"/>
                <w:spacing w:val="-2"/>
                <w:sz w:val="21"/>
                <w:szCs w:val="21"/>
              </w:rPr>
              <w:t>发</w:t>
            </w:r>
            <w:r>
              <w:rPr>
                <w:rFonts w:hint="eastAsia" w:ascii="宋体" w:hAnsi="宋体" w:eastAsia="宋体" w:cs="宋体"/>
                <w:color w:val="auto"/>
                <w:spacing w:val="0"/>
                <w:sz w:val="21"/>
                <w:szCs w:val="21"/>
              </w:rPr>
              <w:t>性</w:t>
            </w:r>
            <w:r>
              <w:rPr>
                <w:rFonts w:hint="eastAsia" w:ascii="宋体" w:hAnsi="宋体" w:eastAsia="宋体" w:cs="宋体"/>
                <w:color w:val="auto"/>
                <w:spacing w:val="-2"/>
                <w:sz w:val="21"/>
                <w:szCs w:val="21"/>
              </w:rPr>
              <w:t>有</w:t>
            </w:r>
            <w:r>
              <w:rPr>
                <w:rFonts w:hint="eastAsia" w:ascii="宋体" w:hAnsi="宋体" w:eastAsia="宋体" w:cs="宋体"/>
                <w:color w:val="auto"/>
                <w:spacing w:val="0"/>
                <w:sz w:val="21"/>
                <w:szCs w:val="21"/>
              </w:rPr>
              <w:t>机</w:t>
            </w:r>
            <w:r>
              <w:rPr>
                <w:rFonts w:hint="eastAsia" w:ascii="宋体" w:hAnsi="宋体" w:eastAsia="宋体" w:cs="宋体"/>
                <w:color w:val="auto"/>
                <w:spacing w:val="-2"/>
                <w:sz w:val="21"/>
                <w:szCs w:val="21"/>
              </w:rPr>
              <w:t>化</w:t>
            </w:r>
            <w:r>
              <w:rPr>
                <w:rFonts w:hint="eastAsia" w:ascii="宋体" w:hAnsi="宋体" w:eastAsia="宋体" w:cs="宋体"/>
                <w:color w:val="auto"/>
                <w:spacing w:val="0"/>
                <w:sz w:val="21"/>
                <w:szCs w:val="21"/>
              </w:rPr>
              <w:t>合</w:t>
            </w:r>
            <w:r>
              <w:rPr>
                <w:rFonts w:hint="eastAsia" w:ascii="宋体" w:hAnsi="宋体" w:eastAsia="宋体" w:cs="宋体"/>
                <w:color w:val="auto"/>
                <w:spacing w:val="-2"/>
                <w:sz w:val="21"/>
                <w:szCs w:val="21"/>
              </w:rPr>
              <w:t>物（</w:t>
            </w:r>
            <w:r>
              <w:rPr>
                <w:rFonts w:hint="eastAsia" w:ascii="宋体" w:hAnsi="宋体" w:eastAsia="宋体" w:cs="宋体"/>
                <w:color w:val="auto"/>
                <w:spacing w:val="0"/>
                <w:sz w:val="21"/>
                <w:szCs w:val="21"/>
              </w:rPr>
              <w:t>TVOC</w:t>
            </w:r>
            <w:r>
              <w:rPr>
                <w:rFonts w:hint="eastAsia" w:ascii="宋体" w:hAnsi="宋体" w:eastAsia="宋体" w:cs="宋体"/>
                <w:color w:val="auto"/>
                <w:spacing w:val="-2"/>
                <w:sz w:val="21"/>
                <w:szCs w:val="21"/>
              </w:rPr>
              <w:t>）</w:t>
            </w:r>
            <w:r>
              <w:rPr>
                <w:rFonts w:hint="eastAsia" w:ascii="宋体" w:hAnsi="宋体" w:eastAsia="宋体" w:cs="宋体"/>
                <w:color w:val="auto"/>
                <w:spacing w:val="-2"/>
                <w:sz w:val="21"/>
                <w:szCs w:val="21"/>
                <w:lang w:val="en-US" w:eastAsia="zh-CN"/>
              </w:rPr>
              <w:t>/</w:t>
            </w:r>
            <w:r>
              <w:rPr>
                <w:rFonts w:hint="eastAsia" w:ascii="宋体" w:hAnsi="宋体" w:eastAsia="宋体" w:cs="宋体"/>
                <w:color w:val="auto"/>
                <w:spacing w:val="1"/>
                <w:sz w:val="21"/>
                <w:szCs w:val="21"/>
              </w:rPr>
              <w:t>（</w:t>
            </w:r>
            <w:r>
              <w:rPr>
                <w:rFonts w:hint="eastAsia" w:ascii="宋体" w:hAnsi="宋体" w:eastAsia="宋体" w:cs="宋体"/>
                <w:color w:val="auto"/>
                <w:spacing w:val="-2"/>
                <w:sz w:val="21"/>
                <w:szCs w:val="21"/>
              </w:rPr>
              <w:t>m</w:t>
            </w:r>
            <w:r>
              <w:rPr>
                <w:rFonts w:hint="eastAsia" w:ascii="宋体" w:hAnsi="宋体" w:eastAsia="宋体" w:cs="宋体"/>
                <w:color w:val="auto"/>
                <w:spacing w:val="0"/>
                <w:sz w:val="21"/>
                <w:szCs w:val="21"/>
              </w:rPr>
              <w:t>g/</w:t>
            </w:r>
            <w:r>
              <w:rPr>
                <w:rFonts w:hint="eastAsia" w:ascii="宋体" w:hAnsi="宋体" w:eastAsia="宋体" w:cs="宋体"/>
                <w:color w:val="auto"/>
                <w:spacing w:val="0"/>
                <w:sz w:val="21"/>
                <w:szCs w:val="21"/>
                <w:lang w:eastAsia="zh-CN"/>
              </w:rPr>
              <w:t>（</w:t>
            </w:r>
            <w:r>
              <w:rPr>
                <w:rFonts w:hint="eastAsia" w:ascii="宋体" w:hAnsi="宋体" w:eastAsia="宋体" w:cs="宋体"/>
                <w:color w:val="auto"/>
                <w:spacing w:val="0"/>
                <w:sz w:val="21"/>
                <w:szCs w:val="21"/>
              </w:rPr>
              <w:t>m</w:t>
            </w:r>
            <w:r>
              <w:rPr>
                <w:rFonts w:hint="eastAsia" w:ascii="宋体" w:hAnsi="宋体" w:eastAsia="宋体" w:cs="宋体"/>
                <w:color w:val="auto"/>
                <w:spacing w:val="-2"/>
                <w:sz w:val="21"/>
                <w:szCs w:val="21"/>
                <w:vertAlign w:val="superscript"/>
              </w:rPr>
              <w:t>2</w:t>
            </w:r>
            <w:r>
              <w:rPr>
                <w:rFonts w:hint="eastAsia" w:ascii="宋体" w:hAnsi="宋体" w:eastAsia="宋体" w:cs="宋体"/>
                <w:color w:val="auto"/>
                <w:spacing w:val="0"/>
                <w:sz w:val="21"/>
                <w:szCs w:val="21"/>
              </w:rPr>
              <w:t>•h</w:t>
            </w:r>
            <w:r>
              <w:rPr>
                <w:rFonts w:hint="eastAsia" w:ascii="宋体" w:hAnsi="宋体" w:eastAsia="宋体" w:cs="宋体"/>
                <w:color w:val="auto"/>
                <w:spacing w:val="0"/>
                <w:sz w:val="21"/>
                <w:szCs w:val="21"/>
                <w:lang w:eastAsia="zh-CN"/>
              </w:rPr>
              <w:t>）</w:t>
            </w:r>
            <w:r>
              <w:rPr>
                <w:rFonts w:hint="eastAsia" w:ascii="宋体" w:hAnsi="宋体" w:eastAsia="宋体" w:cs="宋体"/>
                <w:color w:val="auto"/>
                <w:spacing w:val="-2"/>
                <w:sz w:val="21"/>
                <w:szCs w:val="21"/>
              </w:rPr>
              <w:t>）</w:t>
            </w:r>
          </w:p>
        </w:tc>
        <w:tc>
          <w:tcPr>
            <w:tcW w:w="1454" w:type="dxa"/>
            <w:tcBorders>
              <w:top w:val="nil"/>
              <w:left w:val="nil"/>
              <w:bottom w:val="single" w:color="auto" w:sz="4" w:space="0"/>
              <w:right w:val="single" w:color="auto" w:sz="4" w:space="0"/>
            </w:tcBorders>
            <w:noWrap w:val="0"/>
            <w:vAlign w:val="center"/>
          </w:tcPr>
          <w:p w14:paraId="19840BA0">
            <w:pPr>
              <w:pageBreakBefore w:val="0"/>
              <w:widowControl/>
              <w:kinsoku/>
              <w:overflowPunct/>
              <w:topLinePunct w:val="0"/>
              <w:bidi w:val="0"/>
              <w:snapToGrid/>
              <w:jc w:val="center"/>
              <w:rPr>
                <w:rFonts w:hint="eastAsia" w:ascii="宋体" w:hAnsi="宋体" w:eastAsia="宋体" w:cs="宋体"/>
                <w:color w:val="auto"/>
                <w:kern w:val="0"/>
                <w:sz w:val="21"/>
                <w:szCs w:val="21"/>
              </w:rPr>
            </w:pPr>
            <w:r>
              <w:rPr>
                <w:rFonts w:hint="eastAsia" w:ascii="宋体" w:hAnsi="宋体" w:eastAsia="宋体" w:cs="宋体"/>
                <w:color w:val="auto"/>
                <w:spacing w:val="0"/>
                <w:sz w:val="21"/>
                <w:szCs w:val="21"/>
              </w:rPr>
              <w:t>≤5</w:t>
            </w:r>
            <w:r>
              <w:rPr>
                <w:rFonts w:hint="eastAsia" w:ascii="宋体" w:hAnsi="宋体" w:eastAsia="宋体" w:cs="宋体"/>
                <w:color w:val="auto"/>
                <w:spacing w:val="-2"/>
                <w:sz w:val="21"/>
                <w:szCs w:val="21"/>
              </w:rPr>
              <w:t>.</w:t>
            </w:r>
            <w:r>
              <w:rPr>
                <w:rFonts w:hint="eastAsia" w:ascii="宋体" w:hAnsi="宋体" w:eastAsia="宋体" w:cs="宋体"/>
                <w:color w:val="auto"/>
                <w:spacing w:val="0"/>
                <w:sz w:val="21"/>
                <w:szCs w:val="21"/>
              </w:rPr>
              <w:t>0</w:t>
            </w:r>
          </w:p>
        </w:tc>
      </w:tr>
      <w:tr w14:paraId="395BBBAF">
        <w:tblPrEx>
          <w:tblCellMar>
            <w:top w:w="0" w:type="dxa"/>
            <w:left w:w="108" w:type="dxa"/>
            <w:bottom w:w="0" w:type="dxa"/>
            <w:right w:w="108" w:type="dxa"/>
          </w:tblCellMar>
        </w:tblPrEx>
        <w:trPr>
          <w:trHeight w:val="390" w:hRule="atLeast"/>
          <w:jc w:val="center"/>
        </w:trPr>
        <w:tc>
          <w:tcPr>
            <w:tcW w:w="1196" w:type="dxa"/>
            <w:vMerge w:val="continue"/>
            <w:tcBorders>
              <w:left w:val="single" w:color="auto" w:sz="4" w:space="0"/>
              <w:right w:val="single" w:color="auto" w:sz="4" w:space="0"/>
            </w:tcBorders>
            <w:noWrap w:val="0"/>
            <w:vAlign w:val="center"/>
          </w:tcPr>
          <w:p w14:paraId="26DEADCC">
            <w:pPr>
              <w:pageBreakBefore w:val="0"/>
              <w:widowControl/>
              <w:kinsoku/>
              <w:overflowPunct/>
              <w:topLinePunct w:val="0"/>
              <w:bidi w:val="0"/>
              <w:snapToGrid/>
              <w:ind w:firstLine="420" w:firstLineChars="200"/>
              <w:jc w:val="center"/>
              <w:rPr>
                <w:rFonts w:hint="eastAsia" w:ascii="宋体" w:hAnsi="宋体" w:eastAsia="宋体" w:cs="宋体"/>
                <w:color w:val="auto"/>
                <w:spacing w:val="0"/>
                <w:sz w:val="21"/>
                <w:szCs w:val="21"/>
              </w:rPr>
            </w:pPr>
          </w:p>
        </w:tc>
        <w:tc>
          <w:tcPr>
            <w:tcW w:w="724" w:type="dxa"/>
            <w:tcBorders>
              <w:top w:val="single" w:color="auto" w:sz="4" w:space="0"/>
              <w:left w:val="single" w:color="auto" w:sz="4" w:space="0"/>
              <w:bottom w:val="single" w:color="auto" w:sz="4" w:space="0"/>
              <w:right w:val="single" w:color="auto" w:sz="4" w:space="0"/>
            </w:tcBorders>
            <w:noWrap w:val="0"/>
            <w:vAlign w:val="center"/>
          </w:tcPr>
          <w:p w14:paraId="2E3B2E88">
            <w:pPr>
              <w:pageBreakBefore w:val="0"/>
              <w:widowControl/>
              <w:kinsoku/>
              <w:overflowPunct/>
              <w:topLinePunct w:val="0"/>
              <w:bidi w:val="0"/>
              <w:snapToGrid/>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14</w:t>
            </w:r>
          </w:p>
        </w:tc>
        <w:tc>
          <w:tcPr>
            <w:tcW w:w="4965" w:type="dxa"/>
            <w:tcBorders>
              <w:top w:val="single" w:color="auto" w:sz="4" w:space="0"/>
              <w:left w:val="single" w:color="auto" w:sz="4" w:space="0"/>
              <w:bottom w:val="single" w:color="auto" w:sz="4" w:space="0"/>
              <w:right w:val="single" w:color="auto" w:sz="4" w:space="0"/>
            </w:tcBorders>
            <w:noWrap w:val="0"/>
            <w:vAlign w:val="center"/>
          </w:tcPr>
          <w:p w14:paraId="3EE6E02C">
            <w:pPr>
              <w:pageBreakBefore w:val="0"/>
              <w:widowControl/>
              <w:kinsoku/>
              <w:overflowPunct/>
              <w:topLinePunct w:val="0"/>
              <w:bidi w:val="0"/>
              <w:snapToGrid/>
              <w:ind w:firstLine="412" w:firstLineChars="200"/>
              <w:jc w:val="center"/>
              <w:rPr>
                <w:rFonts w:hint="eastAsia" w:ascii="宋体" w:hAnsi="宋体" w:eastAsia="宋体" w:cs="宋体"/>
                <w:b/>
                <w:bCs/>
                <w:color w:val="auto"/>
                <w:kern w:val="0"/>
                <w:sz w:val="21"/>
                <w:szCs w:val="21"/>
              </w:rPr>
            </w:pPr>
            <w:r>
              <w:rPr>
                <w:rFonts w:hint="eastAsia" w:ascii="宋体" w:hAnsi="宋体" w:eastAsia="宋体" w:cs="宋体"/>
                <w:color w:val="auto"/>
                <w:spacing w:val="-2"/>
                <w:sz w:val="21"/>
                <w:szCs w:val="21"/>
              </w:rPr>
              <w:t>甲</w:t>
            </w:r>
            <w:r>
              <w:rPr>
                <w:rFonts w:hint="eastAsia" w:ascii="宋体" w:hAnsi="宋体" w:eastAsia="宋体" w:cs="宋体"/>
                <w:color w:val="auto"/>
                <w:spacing w:val="0"/>
                <w:sz w:val="21"/>
                <w:szCs w:val="21"/>
              </w:rPr>
              <w:t>醛</w:t>
            </w:r>
            <w:r>
              <w:rPr>
                <w:rFonts w:hint="eastAsia" w:ascii="宋体" w:hAnsi="宋体" w:eastAsia="宋体" w:cs="宋体"/>
                <w:color w:val="auto"/>
                <w:spacing w:val="0"/>
                <w:sz w:val="21"/>
                <w:szCs w:val="21"/>
                <w:lang w:val="en-US" w:eastAsia="zh-CN"/>
              </w:rPr>
              <w:t>/</w:t>
            </w:r>
            <w:r>
              <w:rPr>
                <w:rFonts w:hint="eastAsia" w:ascii="宋体" w:hAnsi="宋体" w:eastAsia="宋体" w:cs="宋体"/>
                <w:color w:val="auto"/>
                <w:spacing w:val="1"/>
                <w:sz w:val="21"/>
                <w:szCs w:val="21"/>
              </w:rPr>
              <w:t>（</w:t>
            </w:r>
            <w:r>
              <w:rPr>
                <w:rFonts w:hint="eastAsia" w:ascii="宋体" w:hAnsi="宋体" w:eastAsia="宋体" w:cs="宋体"/>
                <w:color w:val="auto"/>
                <w:spacing w:val="-2"/>
                <w:sz w:val="21"/>
                <w:szCs w:val="21"/>
              </w:rPr>
              <w:t>m</w:t>
            </w:r>
            <w:r>
              <w:rPr>
                <w:rFonts w:hint="eastAsia" w:ascii="宋体" w:hAnsi="宋体" w:eastAsia="宋体" w:cs="宋体"/>
                <w:color w:val="auto"/>
                <w:spacing w:val="0"/>
                <w:sz w:val="21"/>
                <w:szCs w:val="21"/>
              </w:rPr>
              <w:t>g/</w:t>
            </w:r>
            <w:r>
              <w:rPr>
                <w:rFonts w:hint="eastAsia" w:ascii="宋体" w:hAnsi="宋体" w:eastAsia="宋体" w:cs="宋体"/>
                <w:color w:val="auto"/>
                <w:spacing w:val="0"/>
                <w:sz w:val="21"/>
                <w:szCs w:val="21"/>
                <w:lang w:eastAsia="zh-CN"/>
              </w:rPr>
              <w:t>（</w:t>
            </w:r>
            <w:r>
              <w:rPr>
                <w:rFonts w:hint="eastAsia" w:ascii="宋体" w:hAnsi="宋体" w:eastAsia="宋体" w:cs="宋体"/>
                <w:color w:val="auto"/>
                <w:spacing w:val="0"/>
                <w:sz w:val="21"/>
                <w:szCs w:val="21"/>
              </w:rPr>
              <w:t>m</w:t>
            </w:r>
            <w:r>
              <w:rPr>
                <w:rFonts w:hint="eastAsia" w:ascii="宋体" w:hAnsi="宋体" w:eastAsia="宋体" w:cs="宋体"/>
                <w:color w:val="auto"/>
                <w:spacing w:val="-2"/>
                <w:sz w:val="21"/>
                <w:szCs w:val="21"/>
                <w:vertAlign w:val="superscript"/>
              </w:rPr>
              <w:t>2</w:t>
            </w:r>
            <w:r>
              <w:rPr>
                <w:rFonts w:hint="eastAsia" w:ascii="宋体" w:hAnsi="宋体" w:eastAsia="宋体" w:cs="宋体"/>
                <w:color w:val="auto"/>
                <w:spacing w:val="0"/>
                <w:sz w:val="21"/>
                <w:szCs w:val="21"/>
              </w:rPr>
              <w:t>•h</w:t>
            </w:r>
            <w:r>
              <w:rPr>
                <w:rFonts w:hint="eastAsia" w:ascii="宋体" w:hAnsi="宋体" w:eastAsia="宋体" w:cs="宋体"/>
                <w:color w:val="auto"/>
                <w:spacing w:val="0"/>
                <w:sz w:val="21"/>
                <w:szCs w:val="21"/>
                <w:lang w:eastAsia="zh-CN"/>
              </w:rPr>
              <w:t>）</w:t>
            </w:r>
            <w:r>
              <w:rPr>
                <w:rFonts w:hint="eastAsia" w:ascii="宋体" w:hAnsi="宋体" w:eastAsia="宋体" w:cs="宋体"/>
                <w:color w:val="auto"/>
                <w:spacing w:val="-2"/>
                <w:sz w:val="21"/>
                <w:szCs w:val="21"/>
              </w:rPr>
              <w:t>）</w:t>
            </w:r>
          </w:p>
        </w:tc>
        <w:tc>
          <w:tcPr>
            <w:tcW w:w="1454" w:type="dxa"/>
            <w:tcBorders>
              <w:top w:val="nil"/>
              <w:left w:val="nil"/>
              <w:bottom w:val="single" w:color="auto" w:sz="4" w:space="0"/>
              <w:right w:val="single" w:color="auto" w:sz="4" w:space="0"/>
            </w:tcBorders>
            <w:noWrap w:val="0"/>
            <w:vAlign w:val="center"/>
          </w:tcPr>
          <w:p w14:paraId="00B45F07">
            <w:pPr>
              <w:pageBreakBefore w:val="0"/>
              <w:widowControl/>
              <w:kinsoku/>
              <w:overflowPunct/>
              <w:topLinePunct w:val="0"/>
              <w:bidi w:val="0"/>
              <w:snapToGrid/>
              <w:jc w:val="center"/>
              <w:rPr>
                <w:rFonts w:hint="eastAsia" w:ascii="宋体" w:hAnsi="宋体" w:eastAsia="宋体" w:cs="宋体"/>
                <w:color w:val="auto"/>
                <w:kern w:val="0"/>
                <w:sz w:val="21"/>
                <w:szCs w:val="21"/>
              </w:rPr>
            </w:pPr>
            <w:r>
              <w:rPr>
                <w:rFonts w:hint="eastAsia" w:ascii="宋体" w:hAnsi="宋体" w:eastAsia="宋体" w:cs="宋体"/>
                <w:color w:val="auto"/>
                <w:spacing w:val="0"/>
                <w:sz w:val="21"/>
                <w:szCs w:val="21"/>
              </w:rPr>
              <w:t>≤0</w:t>
            </w:r>
            <w:r>
              <w:rPr>
                <w:rFonts w:hint="eastAsia" w:ascii="宋体" w:hAnsi="宋体" w:eastAsia="宋体" w:cs="宋体"/>
                <w:color w:val="auto"/>
                <w:spacing w:val="-2"/>
                <w:sz w:val="21"/>
                <w:szCs w:val="21"/>
              </w:rPr>
              <w:t>.4</w:t>
            </w:r>
          </w:p>
        </w:tc>
      </w:tr>
      <w:tr w14:paraId="6AC533F1">
        <w:tblPrEx>
          <w:tblCellMar>
            <w:top w:w="0" w:type="dxa"/>
            <w:left w:w="108" w:type="dxa"/>
            <w:bottom w:w="0" w:type="dxa"/>
            <w:right w:w="108" w:type="dxa"/>
          </w:tblCellMar>
        </w:tblPrEx>
        <w:trPr>
          <w:trHeight w:val="660" w:hRule="atLeast"/>
          <w:jc w:val="center"/>
        </w:trPr>
        <w:tc>
          <w:tcPr>
            <w:tcW w:w="1196" w:type="dxa"/>
            <w:vMerge w:val="continue"/>
            <w:tcBorders>
              <w:left w:val="single" w:color="auto" w:sz="4" w:space="0"/>
              <w:right w:val="single" w:color="auto" w:sz="4" w:space="0"/>
            </w:tcBorders>
            <w:noWrap w:val="0"/>
            <w:vAlign w:val="center"/>
          </w:tcPr>
          <w:p w14:paraId="24F8928E">
            <w:pPr>
              <w:pageBreakBefore w:val="0"/>
              <w:widowControl/>
              <w:kinsoku/>
              <w:overflowPunct/>
              <w:topLinePunct w:val="0"/>
              <w:bidi w:val="0"/>
              <w:snapToGrid/>
              <w:ind w:firstLine="412" w:firstLineChars="200"/>
              <w:jc w:val="center"/>
              <w:rPr>
                <w:rFonts w:hint="eastAsia" w:ascii="宋体" w:hAnsi="宋体" w:eastAsia="宋体" w:cs="宋体"/>
                <w:color w:val="auto"/>
                <w:spacing w:val="-2"/>
                <w:sz w:val="21"/>
                <w:szCs w:val="21"/>
              </w:rPr>
            </w:pPr>
          </w:p>
        </w:tc>
        <w:tc>
          <w:tcPr>
            <w:tcW w:w="724" w:type="dxa"/>
            <w:tcBorders>
              <w:top w:val="single" w:color="auto" w:sz="4" w:space="0"/>
              <w:left w:val="single" w:color="auto" w:sz="4" w:space="0"/>
              <w:bottom w:val="single" w:color="auto" w:sz="4" w:space="0"/>
              <w:right w:val="single" w:color="auto" w:sz="4" w:space="0"/>
            </w:tcBorders>
            <w:noWrap w:val="0"/>
            <w:vAlign w:val="center"/>
          </w:tcPr>
          <w:p w14:paraId="16E4D82F">
            <w:pPr>
              <w:pageBreakBefore w:val="0"/>
              <w:widowControl/>
              <w:kinsoku/>
              <w:overflowPunct/>
              <w:topLinePunct w:val="0"/>
              <w:bidi w:val="0"/>
              <w:snapToGrid/>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15</w:t>
            </w:r>
          </w:p>
        </w:tc>
        <w:tc>
          <w:tcPr>
            <w:tcW w:w="4965" w:type="dxa"/>
            <w:tcBorders>
              <w:top w:val="single" w:color="auto" w:sz="4" w:space="0"/>
              <w:left w:val="single" w:color="auto" w:sz="4" w:space="0"/>
              <w:bottom w:val="single" w:color="auto" w:sz="4" w:space="0"/>
              <w:right w:val="single" w:color="auto" w:sz="4" w:space="0"/>
            </w:tcBorders>
            <w:noWrap w:val="0"/>
            <w:vAlign w:val="center"/>
          </w:tcPr>
          <w:p w14:paraId="4FC9E732">
            <w:pPr>
              <w:pageBreakBefore w:val="0"/>
              <w:widowControl/>
              <w:kinsoku/>
              <w:overflowPunct/>
              <w:topLinePunct w:val="0"/>
              <w:bidi w:val="0"/>
              <w:snapToGrid/>
              <w:ind w:firstLine="412" w:firstLineChars="200"/>
              <w:jc w:val="center"/>
              <w:rPr>
                <w:rFonts w:hint="eastAsia" w:ascii="宋体" w:hAnsi="宋体" w:eastAsia="宋体" w:cs="宋体"/>
                <w:b/>
                <w:bCs/>
                <w:color w:val="auto"/>
                <w:kern w:val="0"/>
                <w:sz w:val="21"/>
                <w:szCs w:val="21"/>
              </w:rPr>
            </w:pPr>
            <w:r>
              <w:rPr>
                <w:rFonts w:hint="eastAsia" w:ascii="宋体" w:hAnsi="宋体" w:eastAsia="宋体" w:cs="宋体"/>
                <w:color w:val="auto"/>
                <w:spacing w:val="-2"/>
                <w:sz w:val="21"/>
                <w:szCs w:val="21"/>
              </w:rPr>
              <w:t>苯</w:t>
            </w:r>
            <w:r>
              <w:rPr>
                <w:rFonts w:hint="eastAsia" w:ascii="宋体" w:hAnsi="宋体" w:eastAsia="宋体" w:cs="宋体"/>
                <w:color w:val="auto"/>
                <w:spacing w:val="-2"/>
                <w:sz w:val="21"/>
                <w:szCs w:val="21"/>
                <w:lang w:val="en-US" w:eastAsia="zh-CN"/>
              </w:rPr>
              <w:t>/</w:t>
            </w:r>
            <w:r>
              <w:rPr>
                <w:rFonts w:hint="eastAsia" w:ascii="宋体" w:hAnsi="宋体" w:eastAsia="宋体" w:cs="宋体"/>
                <w:color w:val="auto"/>
                <w:spacing w:val="1"/>
                <w:sz w:val="21"/>
                <w:szCs w:val="21"/>
              </w:rPr>
              <w:t>（</w:t>
            </w:r>
            <w:r>
              <w:rPr>
                <w:rFonts w:hint="eastAsia" w:ascii="宋体" w:hAnsi="宋体" w:eastAsia="宋体" w:cs="宋体"/>
                <w:color w:val="auto"/>
                <w:spacing w:val="0"/>
                <w:sz w:val="21"/>
                <w:szCs w:val="21"/>
              </w:rPr>
              <w:t>mg</w:t>
            </w:r>
            <w:r>
              <w:rPr>
                <w:rFonts w:hint="eastAsia" w:ascii="宋体" w:hAnsi="宋体" w:eastAsia="宋体" w:cs="宋体"/>
                <w:color w:val="auto"/>
                <w:spacing w:val="-2"/>
                <w:sz w:val="21"/>
                <w:szCs w:val="21"/>
              </w:rPr>
              <w:t>/</w:t>
            </w:r>
            <w:r>
              <w:rPr>
                <w:rFonts w:hint="eastAsia" w:ascii="宋体" w:hAnsi="宋体" w:eastAsia="宋体" w:cs="宋体"/>
                <w:color w:val="auto"/>
                <w:spacing w:val="-2"/>
                <w:sz w:val="21"/>
                <w:szCs w:val="21"/>
                <w:lang w:eastAsia="zh-CN"/>
              </w:rPr>
              <w:t>（</w:t>
            </w:r>
            <w:r>
              <w:rPr>
                <w:rFonts w:hint="eastAsia" w:ascii="宋体" w:hAnsi="宋体" w:eastAsia="宋体" w:cs="宋体"/>
                <w:color w:val="auto"/>
                <w:spacing w:val="0"/>
                <w:sz w:val="21"/>
                <w:szCs w:val="21"/>
              </w:rPr>
              <w:t>m</w:t>
            </w:r>
            <w:r>
              <w:rPr>
                <w:rFonts w:hint="eastAsia" w:ascii="宋体" w:hAnsi="宋体" w:eastAsia="宋体" w:cs="宋体"/>
                <w:color w:val="auto"/>
                <w:spacing w:val="0"/>
                <w:sz w:val="21"/>
                <w:szCs w:val="21"/>
                <w:vertAlign w:val="superscript"/>
              </w:rPr>
              <w:t>2</w:t>
            </w:r>
            <w:r>
              <w:rPr>
                <w:rFonts w:hint="eastAsia" w:ascii="宋体" w:hAnsi="宋体" w:eastAsia="宋体" w:cs="宋体"/>
                <w:color w:val="auto"/>
                <w:spacing w:val="0"/>
                <w:sz w:val="21"/>
                <w:szCs w:val="21"/>
              </w:rPr>
              <w:t>•</w:t>
            </w:r>
            <w:r>
              <w:rPr>
                <w:rFonts w:hint="eastAsia" w:ascii="宋体" w:hAnsi="宋体" w:eastAsia="宋体" w:cs="宋体"/>
                <w:color w:val="auto"/>
                <w:spacing w:val="-2"/>
                <w:sz w:val="21"/>
                <w:szCs w:val="21"/>
              </w:rPr>
              <w:t>h</w:t>
            </w:r>
            <w:r>
              <w:rPr>
                <w:rFonts w:hint="eastAsia" w:ascii="宋体" w:hAnsi="宋体" w:eastAsia="宋体" w:cs="宋体"/>
                <w:color w:val="auto"/>
                <w:spacing w:val="-2"/>
                <w:sz w:val="21"/>
                <w:szCs w:val="21"/>
                <w:lang w:eastAsia="zh-CN"/>
              </w:rPr>
              <w:t>）</w:t>
            </w:r>
            <w:r>
              <w:rPr>
                <w:rFonts w:hint="eastAsia" w:ascii="宋体" w:hAnsi="宋体" w:eastAsia="宋体" w:cs="宋体"/>
                <w:color w:val="auto"/>
                <w:spacing w:val="0"/>
                <w:sz w:val="21"/>
                <w:szCs w:val="21"/>
              </w:rPr>
              <w:t>）</w:t>
            </w:r>
            <w:r>
              <w:rPr>
                <w:rFonts w:hint="eastAsia" w:ascii="宋体" w:hAnsi="宋体" w:eastAsia="宋体" w:cs="宋体"/>
                <w:b/>
                <w:bCs/>
                <w:color w:val="auto"/>
                <w:kern w:val="0"/>
                <w:sz w:val="21"/>
                <w:szCs w:val="21"/>
              </w:rPr>
              <w:t xml:space="preserve"> </w:t>
            </w:r>
          </w:p>
        </w:tc>
        <w:tc>
          <w:tcPr>
            <w:tcW w:w="1454" w:type="dxa"/>
            <w:tcBorders>
              <w:top w:val="nil"/>
              <w:left w:val="nil"/>
              <w:bottom w:val="single" w:color="auto" w:sz="4" w:space="0"/>
              <w:right w:val="single" w:color="auto" w:sz="4" w:space="0"/>
            </w:tcBorders>
            <w:noWrap w:val="0"/>
            <w:vAlign w:val="center"/>
          </w:tcPr>
          <w:p w14:paraId="597C41DD">
            <w:pPr>
              <w:pageBreakBefore w:val="0"/>
              <w:widowControl/>
              <w:kinsoku/>
              <w:overflowPunct/>
              <w:topLinePunct w:val="0"/>
              <w:bidi w:val="0"/>
              <w:snapToGrid/>
              <w:jc w:val="center"/>
              <w:rPr>
                <w:rFonts w:hint="default" w:ascii="宋体" w:hAnsi="宋体" w:eastAsia="宋体" w:cs="宋体"/>
                <w:color w:val="auto"/>
                <w:kern w:val="0"/>
                <w:sz w:val="21"/>
                <w:szCs w:val="21"/>
                <w:lang w:val="en-US"/>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0.1</w:t>
            </w:r>
          </w:p>
        </w:tc>
      </w:tr>
      <w:tr w14:paraId="04DDD807">
        <w:tblPrEx>
          <w:tblCellMar>
            <w:top w:w="0" w:type="dxa"/>
            <w:left w:w="108" w:type="dxa"/>
            <w:bottom w:w="0" w:type="dxa"/>
            <w:right w:w="108" w:type="dxa"/>
          </w:tblCellMar>
        </w:tblPrEx>
        <w:trPr>
          <w:trHeight w:val="450" w:hRule="atLeast"/>
          <w:jc w:val="center"/>
        </w:trPr>
        <w:tc>
          <w:tcPr>
            <w:tcW w:w="1196" w:type="dxa"/>
            <w:vMerge w:val="continue"/>
            <w:tcBorders>
              <w:left w:val="single" w:color="auto" w:sz="4" w:space="0"/>
              <w:right w:val="single" w:color="auto" w:sz="4" w:space="0"/>
            </w:tcBorders>
            <w:noWrap w:val="0"/>
            <w:vAlign w:val="center"/>
          </w:tcPr>
          <w:p w14:paraId="3DFC0C78">
            <w:pPr>
              <w:pageBreakBefore w:val="0"/>
              <w:widowControl/>
              <w:kinsoku/>
              <w:overflowPunct/>
              <w:topLinePunct w:val="0"/>
              <w:bidi w:val="0"/>
              <w:snapToGrid/>
              <w:ind w:firstLine="424" w:firstLineChars="200"/>
              <w:jc w:val="center"/>
              <w:rPr>
                <w:rFonts w:hint="eastAsia" w:ascii="宋体" w:hAnsi="宋体" w:eastAsia="宋体" w:cs="宋体"/>
                <w:color w:val="auto"/>
                <w:spacing w:val="1"/>
                <w:sz w:val="21"/>
                <w:szCs w:val="21"/>
              </w:rPr>
            </w:pPr>
          </w:p>
        </w:tc>
        <w:tc>
          <w:tcPr>
            <w:tcW w:w="724" w:type="dxa"/>
            <w:tcBorders>
              <w:top w:val="single" w:color="auto" w:sz="4" w:space="0"/>
              <w:left w:val="single" w:color="auto" w:sz="4" w:space="0"/>
              <w:bottom w:val="single" w:color="auto" w:sz="4" w:space="0"/>
              <w:right w:val="single" w:color="auto" w:sz="4" w:space="0"/>
            </w:tcBorders>
            <w:noWrap w:val="0"/>
            <w:vAlign w:val="center"/>
          </w:tcPr>
          <w:p w14:paraId="55CD957D">
            <w:pPr>
              <w:pageBreakBefore w:val="0"/>
              <w:widowControl/>
              <w:kinsoku/>
              <w:overflowPunct/>
              <w:topLinePunct w:val="0"/>
              <w:bidi w:val="0"/>
              <w:snapToGrid/>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16</w:t>
            </w:r>
          </w:p>
        </w:tc>
        <w:tc>
          <w:tcPr>
            <w:tcW w:w="4965" w:type="dxa"/>
            <w:tcBorders>
              <w:top w:val="single" w:color="auto" w:sz="4" w:space="0"/>
              <w:left w:val="single" w:color="auto" w:sz="4" w:space="0"/>
              <w:bottom w:val="single" w:color="auto" w:sz="4" w:space="0"/>
              <w:right w:val="single" w:color="auto" w:sz="4" w:space="0"/>
            </w:tcBorders>
            <w:noWrap w:val="0"/>
            <w:vAlign w:val="center"/>
          </w:tcPr>
          <w:p w14:paraId="6A9C720E">
            <w:pPr>
              <w:pageBreakBefore w:val="0"/>
              <w:widowControl/>
              <w:kinsoku/>
              <w:overflowPunct/>
              <w:topLinePunct w:val="0"/>
              <w:bidi w:val="0"/>
              <w:snapToGrid/>
              <w:ind w:firstLine="412" w:firstLineChars="200"/>
              <w:jc w:val="center"/>
              <w:rPr>
                <w:rFonts w:hint="eastAsia" w:ascii="宋体" w:hAnsi="宋体" w:eastAsia="宋体" w:cs="宋体"/>
                <w:b/>
                <w:bCs/>
                <w:color w:val="auto"/>
                <w:kern w:val="0"/>
                <w:sz w:val="21"/>
                <w:szCs w:val="21"/>
              </w:rPr>
            </w:pPr>
            <w:r>
              <w:rPr>
                <w:rFonts w:hint="eastAsia" w:ascii="宋体" w:hAnsi="宋体" w:eastAsia="宋体" w:cs="宋体"/>
                <w:color w:val="auto"/>
                <w:spacing w:val="-2"/>
                <w:sz w:val="21"/>
                <w:szCs w:val="21"/>
              </w:rPr>
              <w:t>甲</w:t>
            </w:r>
            <w:r>
              <w:rPr>
                <w:rFonts w:hint="eastAsia" w:ascii="宋体" w:hAnsi="宋体" w:eastAsia="宋体" w:cs="宋体"/>
                <w:color w:val="auto"/>
                <w:spacing w:val="0"/>
                <w:sz w:val="21"/>
                <w:szCs w:val="21"/>
              </w:rPr>
              <w:t>苯</w:t>
            </w:r>
            <w:r>
              <w:rPr>
                <w:rFonts w:hint="eastAsia" w:ascii="宋体" w:hAnsi="宋体" w:eastAsia="宋体" w:cs="宋体"/>
                <w:color w:val="auto"/>
                <w:spacing w:val="-2"/>
                <w:sz w:val="21"/>
                <w:szCs w:val="21"/>
              </w:rPr>
              <w:t>、</w:t>
            </w:r>
            <w:r>
              <w:rPr>
                <w:rFonts w:hint="eastAsia" w:ascii="宋体" w:hAnsi="宋体" w:eastAsia="宋体" w:cs="宋体"/>
                <w:color w:val="auto"/>
                <w:spacing w:val="0"/>
                <w:sz w:val="21"/>
                <w:szCs w:val="21"/>
              </w:rPr>
              <w:t>二</w:t>
            </w:r>
            <w:r>
              <w:rPr>
                <w:rFonts w:hint="eastAsia" w:ascii="宋体" w:hAnsi="宋体" w:eastAsia="宋体" w:cs="宋体"/>
                <w:color w:val="auto"/>
                <w:spacing w:val="-2"/>
                <w:sz w:val="21"/>
                <w:szCs w:val="21"/>
              </w:rPr>
              <w:t>甲</w:t>
            </w:r>
            <w:r>
              <w:rPr>
                <w:rFonts w:hint="eastAsia" w:ascii="宋体" w:hAnsi="宋体" w:eastAsia="宋体" w:cs="宋体"/>
                <w:color w:val="auto"/>
                <w:spacing w:val="0"/>
                <w:sz w:val="21"/>
                <w:szCs w:val="21"/>
              </w:rPr>
              <w:t>苯</w:t>
            </w:r>
            <w:r>
              <w:rPr>
                <w:rFonts w:hint="eastAsia" w:ascii="宋体" w:hAnsi="宋体" w:eastAsia="宋体" w:cs="宋体"/>
                <w:color w:val="auto"/>
                <w:spacing w:val="-2"/>
                <w:sz w:val="21"/>
                <w:szCs w:val="21"/>
                <w:lang w:eastAsia="zh-CN"/>
              </w:rPr>
              <w:t>和</w:t>
            </w:r>
            <w:r>
              <w:rPr>
                <w:rFonts w:hint="eastAsia" w:ascii="宋体" w:hAnsi="宋体" w:eastAsia="宋体" w:cs="宋体"/>
                <w:color w:val="auto"/>
                <w:spacing w:val="0"/>
                <w:sz w:val="21"/>
                <w:szCs w:val="21"/>
              </w:rPr>
              <w:t>乙</w:t>
            </w:r>
            <w:r>
              <w:rPr>
                <w:rFonts w:hint="eastAsia" w:ascii="宋体" w:hAnsi="宋体" w:eastAsia="宋体" w:cs="宋体"/>
                <w:color w:val="auto"/>
                <w:spacing w:val="-2"/>
                <w:sz w:val="21"/>
                <w:szCs w:val="21"/>
              </w:rPr>
              <w:t>苯总</w:t>
            </w:r>
            <w:r>
              <w:rPr>
                <w:rFonts w:hint="eastAsia" w:ascii="宋体" w:hAnsi="宋体" w:eastAsia="宋体" w:cs="宋体"/>
                <w:color w:val="auto"/>
                <w:spacing w:val="0"/>
                <w:sz w:val="21"/>
                <w:szCs w:val="21"/>
              </w:rPr>
              <w:t>和</w:t>
            </w:r>
            <w:r>
              <w:rPr>
                <w:rFonts w:hint="eastAsia" w:ascii="宋体" w:hAnsi="宋体" w:eastAsia="宋体" w:cs="宋体"/>
                <w:color w:val="auto"/>
                <w:spacing w:val="0"/>
                <w:sz w:val="21"/>
                <w:szCs w:val="21"/>
                <w:lang w:val="en-US" w:eastAsia="zh-CN"/>
              </w:rPr>
              <w:t>/</w:t>
            </w:r>
            <w:r>
              <w:rPr>
                <w:rFonts w:hint="eastAsia" w:ascii="宋体" w:hAnsi="宋体" w:eastAsia="宋体" w:cs="宋体"/>
                <w:color w:val="auto"/>
                <w:spacing w:val="1"/>
                <w:sz w:val="21"/>
                <w:szCs w:val="21"/>
              </w:rPr>
              <w:t>（</w:t>
            </w:r>
            <w:r>
              <w:rPr>
                <w:rFonts w:hint="eastAsia" w:ascii="宋体" w:hAnsi="宋体" w:eastAsia="宋体" w:cs="宋体"/>
                <w:color w:val="auto"/>
                <w:spacing w:val="0"/>
                <w:sz w:val="21"/>
                <w:szCs w:val="21"/>
              </w:rPr>
              <w:t>mg</w:t>
            </w:r>
            <w:r>
              <w:rPr>
                <w:rFonts w:hint="eastAsia" w:ascii="宋体" w:hAnsi="宋体" w:eastAsia="宋体" w:cs="宋体"/>
                <w:color w:val="auto"/>
                <w:spacing w:val="-2"/>
                <w:sz w:val="21"/>
                <w:szCs w:val="21"/>
              </w:rPr>
              <w:t>/</w:t>
            </w:r>
            <w:r>
              <w:rPr>
                <w:rFonts w:hint="eastAsia" w:ascii="宋体" w:hAnsi="宋体" w:eastAsia="宋体" w:cs="宋体"/>
                <w:color w:val="auto"/>
                <w:spacing w:val="-2"/>
                <w:sz w:val="21"/>
                <w:szCs w:val="21"/>
                <w:lang w:eastAsia="zh-CN"/>
              </w:rPr>
              <w:t>（</w:t>
            </w:r>
            <w:r>
              <w:rPr>
                <w:rFonts w:hint="eastAsia" w:ascii="宋体" w:hAnsi="宋体" w:eastAsia="宋体" w:cs="宋体"/>
                <w:color w:val="auto"/>
                <w:spacing w:val="0"/>
                <w:sz w:val="21"/>
                <w:szCs w:val="21"/>
              </w:rPr>
              <w:t>m</w:t>
            </w:r>
            <w:r>
              <w:rPr>
                <w:rFonts w:hint="eastAsia" w:ascii="宋体" w:hAnsi="宋体" w:eastAsia="宋体" w:cs="宋体"/>
                <w:color w:val="auto"/>
                <w:spacing w:val="0"/>
                <w:sz w:val="21"/>
                <w:szCs w:val="21"/>
                <w:vertAlign w:val="superscript"/>
              </w:rPr>
              <w:t>2</w:t>
            </w:r>
            <w:r>
              <w:rPr>
                <w:rFonts w:hint="eastAsia" w:ascii="宋体" w:hAnsi="宋体" w:eastAsia="宋体" w:cs="宋体"/>
                <w:color w:val="auto"/>
                <w:spacing w:val="0"/>
                <w:sz w:val="21"/>
                <w:szCs w:val="21"/>
              </w:rPr>
              <w:t>•</w:t>
            </w:r>
            <w:r>
              <w:rPr>
                <w:rFonts w:hint="eastAsia" w:ascii="宋体" w:hAnsi="宋体" w:eastAsia="宋体" w:cs="宋体"/>
                <w:color w:val="auto"/>
                <w:spacing w:val="-2"/>
                <w:sz w:val="21"/>
                <w:szCs w:val="21"/>
              </w:rPr>
              <w:t>h</w:t>
            </w:r>
            <w:r>
              <w:rPr>
                <w:rFonts w:hint="eastAsia" w:ascii="宋体" w:hAnsi="宋体" w:eastAsia="宋体" w:cs="宋体"/>
                <w:color w:val="auto"/>
                <w:spacing w:val="-2"/>
                <w:sz w:val="21"/>
                <w:szCs w:val="21"/>
                <w:lang w:eastAsia="zh-CN"/>
              </w:rPr>
              <w:t>）</w:t>
            </w:r>
            <w:r>
              <w:rPr>
                <w:rFonts w:hint="eastAsia" w:ascii="宋体" w:hAnsi="宋体" w:eastAsia="宋体" w:cs="宋体"/>
                <w:color w:val="auto"/>
                <w:spacing w:val="0"/>
                <w:sz w:val="21"/>
                <w:szCs w:val="21"/>
              </w:rPr>
              <w:t>）</w:t>
            </w:r>
            <w:r>
              <w:rPr>
                <w:rFonts w:hint="eastAsia" w:ascii="宋体" w:hAnsi="宋体" w:eastAsia="宋体" w:cs="宋体"/>
                <w:b/>
                <w:bCs/>
                <w:color w:val="auto"/>
                <w:kern w:val="0"/>
                <w:sz w:val="21"/>
                <w:szCs w:val="21"/>
              </w:rPr>
              <w:t xml:space="preserve"> </w:t>
            </w:r>
          </w:p>
        </w:tc>
        <w:tc>
          <w:tcPr>
            <w:tcW w:w="1454" w:type="dxa"/>
            <w:tcBorders>
              <w:top w:val="single" w:color="auto" w:sz="4" w:space="0"/>
              <w:left w:val="nil"/>
              <w:bottom w:val="single" w:color="auto" w:sz="4" w:space="0"/>
              <w:right w:val="single" w:color="auto" w:sz="4" w:space="0"/>
            </w:tcBorders>
            <w:noWrap w:val="0"/>
            <w:vAlign w:val="center"/>
          </w:tcPr>
          <w:p w14:paraId="270F9D3C">
            <w:pPr>
              <w:pageBreakBefore w:val="0"/>
              <w:widowControl/>
              <w:kinsoku/>
              <w:overflowPunct/>
              <w:topLinePunct w:val="0"/>
              <w:bidi w:val="0"/>
              <w:snapToGrid/>
              <w:jc w:val="center"/>
              <w:rPr>
                <w:rFonts w:hint="eastAsia" w:ascii="宋体" w:hAnsi="宋体" w:eastAsia="宋体" w:cs="宋体"/>
                <w:color w:val="auto"/>
                <w:kern w:val="0"/>
                <w:sz w:val="21"/>
                <w:szCs w:val="21"/>
              </w:rPr>
            </w:pPr>
            <w:r>
              <w:rPr>
                <w:rFonts w:hint="eastAsia" w:ascii="宋体" w:hAnsi="宋体" w:eastAsia="宋体" w:cs="宋体"/>
                <w:color w:val="auto"/>
                <w:spacing w:val="1"/>
                <w:sz w:val="21"/>
                <w:szCs w:val="21"/>
              </w:rPr>
              <w:t>≤</w:t>
            </w:r>
            <w:r>
              <w:rPr>
                <w:rFonts w:hint="eastAsia" w:ascii="宋体" w:hAnsi="宋体" w:eastAsia="宋体" w:cs="宋体"/>
                <w:color w:val="auto"/>
                <w:spacing w:val="0"/>
                <w:sz w:val="21"/>
                <w:szCs w:val="21"/>
              </w:rPr>
              <w:t>1</w:t>
            </w:r>
            <w:r>
              <w:rPr>
                <w:rFonts w:hint="eastAsia" w:ascii="宋体" w:hAnsi="宋体" w:eastAsia="宋体" w:cs="宋体"/>
                <w:color w:val="auto"/>
                <w:spacing w:val="-2"/>
                <w:sz w:val="21"/>
                <w:szCs w:val="21"/>
              </w:rPr>
              <w:t>.</w:t>
            </w:r>
            <w:r>
              <w:rPr>
                <w:rFonts w:hint="eastAsia" w:ascii="宋体" w:hAnsi="宋体" w:eastAsia="宋体" w:cs="宋体"/>
                <w:color w:val="auto"/>
                <w:spacing w:val="0"/>
                <w:sz w:val="21"/>
                <w:szCs w:val="21"/>
              </w:rPr>
              <w:t>0</w:t>
            </w:r>
          </w:p>
        </w:tc>
      </w:tr>
      <w:tr w14:paraId="2709B6D9">
        <w:tblPrEx>
          <w:tblCellMar>
            <w:top w:w="0" w:type="dxa"/>
            <w:left w:w="108" w:type="dxa"/>
            <w:bottom w:w="0" w:type="dxa"/>
            <w:right w:w="108" w:type="dxa"/>
          </w:tblCellMar>
        </w:tblPrEx>
        <w:trPr>
          <w:trHeight w:val="285" w:hRule="atLeast"/>
          <w:jc w:val="center"/>
        </w:trPr>
        <w:tc>
          <w:tcPr>
            <w:tcW w:w="1196" w:type="dxa"/>
            <w:vMerge w:val="continue"/>
            <w:tcBorders>
              <w:left w:val="single" w:color="auto" w:sz="4" w:space="0"/>
              <w:bottom w:val="single" w:color="auto" w:sz="4" w:space="0"/>
              <w:right w:val="single" w:color="auto" w:sz="4" w:space="0"/>
            </w:tcBorders>
            <w:noWrap w:val="0"/>
            <w:vAlign w:val="center"/>
          </w:tcPr>
          <w:p w14:paraId="62321997">
            <w:pPr>
              <w:pageBreakBefore w:val="0"/>
              <w:widowControl/>
              <w:kinsoku/>
              <w:overflowPunct/>
              <w:topLinePunct w:val="0"/>
              <w:bidi w:val="0"/>
              <w:snapToGrid/>
              <w:ind w:firstLine="420" w:firstLineChars="200"/>
              <w:jc w:val="center"/>
              <w:rPr>
                <w:rFonts w:hint="eastAsia" w:ascii="宋体" w:hAnsi="宋体" w:eastAsia="宋体" w:cs="宋体"/>
                <w:color w:val="auto"/>
                <w:spacing w:val="0"/>
                <w:sz w:val="21"/>
                <w:szCs w:val="21"/>
              </w:rPr>
            </w:pPr>
          </w:p>
        </w:tc>
        <w:tc>
          <w:tcPr>
            <w:tcW w:w="724" w:type="dxa"/>
            <w:tcBorders>
              <w:top w:val="single" w:color="auto" w:sz="4" w:space="0"/>
              <w:left w:val="single" w:color="auto" w:sz="4" w:space="0"/>
              <w:bottom w:val="single" w:color="auto" w:sz="4" w:space="0"/>
              <w:right w:val="single" w:color="auto" w:sz="4" w:space="0"/>
            </w:tcBorders>
            <w:noWrap w:val="0"/>
            <w:vAlign w:val="center"/>
          </w:tcPr>
          <w:p w14:paraId="3981E6D4">
            <w:pPr>
              <w:pageBreakBefore w:val="0"/>
              <w:widowControl/>
              <w:kinsoku/>
              <w:overflowPunct/>
              <w:topLinePunct w:val="0"/>
              <w:bidi w:val="0"/>
              <w:snapToGrid/>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17</w:t>
            </w:r>
          </w:p>
        </w:tc>
        <w:tc>
          <w:tcPr>
            <w:tcW w:w="4965" w:type="dxa"/>
            <w:tcBorders>
              <w:top w:val="nil"/>
              <w:left w:val="single" w:color="auto" w:sz="4" w:space="0"/>
              <w:bottom w:val="single" w:color="auto" w:sz="4" w:space="0"/>
              <w:right w:val="single" w:color="auto" w:sz="4" w:space="0"/>
            </w:tcBorders>
            <w:noWrap w:val="0"/>
            <w:vAlign w:val="center"/>
          </w:tcPr>
          <w:p w14:paraId="0A35D3A4">
            <w:pPr>
              <w:pageBreakBefore w:val="0"/>
              <w:widowControl/>
              <w:kinsoku/>
              <w:overflowPunct/>
              <w:topLinePunct w:val="0"/>
              <w:bidi w:val="0"/>
              <w:snapToGrid/>
              <w:ind w:firstLine="412" w:firstLineChars="200"/>
              <w:jc w:val="center"/>
              <w:rPr>
                <w:rFonts w:hint="eastAsia" w:ascii="宋体" w:hAnsi="宋体" w:eastAsia="宋体" w:cs="宋体"/>
                <w:b/>
                <w:bCs/>
                <w:color w:val="auto"/>
                <w:kern w:val="0"/>
                <w:sz w:val="21"/>
                <w:szCs w:val="21"/>
              </w:rPr>
            </w:pPr>
            <w:r>
              <w:rPr>
                <w:rFonts w:hint="eastAsia" w:ascii="宋体" w:hAnsi="宋体" w:eastAsia="宋体" w:cs="宋体"/>
                <w:color w:val="auto"/>
                <w:spacing w:val="-2"/>
                <w:sz w:val="21"/>
                <w:szCs w:val="21"/>
              </w:rPr>
              <w:t>二</w:t>
            </w:r>
            <w:r>
              <w:rPr>
                <w:rFonts w:hint="eastAsia" w:ascii="宋体" w:hAnsi="宋体" w:eastAsia="宋体" w:cs="宋体"/>
                <w:color w:val="auto"/>
                <w:spacing w:val="0"/>
                <w:sz w:val="21"/>
                <w:szCs w:val="21"/>
              </w:rPr>
              <w:t>硫</w:t>
            </w:r>
            <w:r>
              <w:rPr>
                <w:rFonts w:hint="eastAsia" w:ascii="宋体" w:hAnsi="宋体" w:eastAsia="宋体" w:cs="宋体"/>
                <w:color w:val="auto"/>
                <w:spacing w:val="-2"/>
                <w:sz w:val="21"/>
                <w:szCs w:val="21"/>
              </w:rPr>
              <w:t>化</w:t>
            </w:r>
            <w:r>
              <w:rPr>
                <w:rFonts w:hint="eastAsia" w:ascii="宋体" w:hAnsi="宋体" w:eastAsia="宋体" w:cs="宋体"/>
                <w:color w:val="auto"/>
                <w:spacing w:val="0"/>
                <w:sz w:val="21"/>
                <w:szCs w:val="21"/>
              </w:rPr>
              <w:t>碳</w:t>
            </w:r>
            <w:r>
              <w:rPr>
                <w:rFonts w:hint="eastAsia" w:ascii="宋体" w:hAnsi="宋体" w:eastAsia="宋体" w:cs="宋体"/>
                <w:color w:val="auto"/>
                <w:spacing w:val="0"/>
                <w:sz w:val="21"/>
                <w:szCs w:val="21"/>
                <w:lang w:val="en-US" w:eastAsia="zh-CN"/>
              </w:rPr>
              <w:t>/</w:t>
            </w:r>
            <w:r>
              <w:rPr>
                <w:rFonts w:hint="eastAsia" w:ascii="宋体" w:hAnsi="宋体" w:eastAsia="宋体" w:cs="宋体"/>
                <w:color w:val="auto"/>
                <w:spacing w:val="0"/>
                <w:sz w:val="21"/>
                <w:szCs w:val="21"/>
              </w:rPr>
              <w:t>（</w:t>
            </w:r>
            <w:r>
              <w:rPr>
                <w:rFonts w:hint="eastAsia" w:ascii="宋体" w:hAnsi="宋体" w:eastAsia="宋体" w:cs="宋体"/>
                <w:color w:val="auto"/>
                <w:spacing w:val="-2"/>
                <w:sz w:val="21"/>
                <w:szCs w:val="21"/>
              </w:rPr>
              <w:t>m</w:t>
            </w:r>
            <w:r>
              <w:rPr>
                <w:rFonts w:hint="eastAsia" w:ascii="宋体" w:hAnsi="宋体" w:eastAsia="宋体" w:cs="宋体"/>
                <w:color w:val="auto"/>
                <w:spacing w:val="0"/>
                <w:sz w:val="21"/>
                <w:szCs w:val="21"/>
              </w:rPr>
              <w:t>g/</w:t>
            </w:r>
            <w:r>
              <w:rPr>
                <w:rFonts w:hint="eastAsia" w:ascii="宋体" w:hAnsi="宋体" w:eastAsia="宋体" w:cs="宋体"/>
                <w:color w:val="auto"/>
                <w:spacing w:val="0"/>
                <w:sz w:val="21"/>
                <w:szCs w:val="21"/>
                <w:lang w:eastAsia="zh-CN"/>
              </w:rPr>
              <w:t>（</w:t>
            </w:r>
            <w:r>
              <w:rPr>
                <w:rFonts w:hint="eastAsia" w:ascii="宋体" w:hAnsi="宋体" w:eastAsia="宋体" w:cs="宋体"/>
                <w:color w:val="auto"/>
                <w:spacing w:val="0"/>
                <w:sz w:val="21"/>
                <w:szCs w:val="21"/>
              </w:rPr>
              <w:t>m</w:t>
            </w:r>
            <w:r>
              <w:rPr>
                <w:rFonts w:hint="eastAsia" w:ascii="宋体" w:hAnsi="宋体" w:eastAsia="宋体" w:cs="宋体"/>
                <w:color w:val="auto"/>
                <w:spacing w:val="-2"/>
                <w:sz w:val="21"/>
                <w:szCs w:val="21"/>
                <w:vertAlign w:val="superscript"/>
              </w:rPr>
              <w:t>2</w:t>
            </w:r>
            <w:r>
              <w:rPr>
                <w:rFonts w:hint="eastAsia" w:ascii="宋体" w:hAnsi="宋体" w:eastAsia="宋体" w:cs="宋体"/>
                <w:color w:val="auto"/>
                <w:spacing w:val="0"/>
                <w:sz w:val="21"/>
                <w:szCs w:val="21"/>
              </w:rPr>
              <w:t>•h</w:t>
            </w:r>
            <w:r>
              <w:rPr>
                <w:rFonts w:hint="eastAsia" w:ascii="宋体" w:hAnsi="宋体" w:eastAsia="宋体" w:cs="宋体"/>
                <w:color w:val="auto"/>
                <w:spacing w:val="0"/>
                <w:sz w:val="21"/>
                <w:szCs w:val="21"/>
                <w:lang w:eastAsia="zh-CN"/>
              </w:rPr>
              <w:t>）</w:t>
            </w:r>
            <w:r>
              <w:rPr>
                <w:rFonts w:hint="eastAsia" w:ascii="宋体" w:hAnsi="宋体" w:eastAsia="宋体" w:cs="宋体"/>
                <w:color w:val="auto"/>
                <w:spacing w:val="-2"/>
                <w:sz w:val="21"/>
                <w:szCs w:val="21"/>
              </w:rPr>
              <w:t>）</w:t>
            </w:r>
          </w:p>
        </w:tc>
        <w:tc>
          <w:tcPr>
            <w:tcW w:w="1454" w:type="dxa"/>
            <w:tcBorders>
              <w:top w:val="nil"/>
              <w:left w:val="nil"/>
              <w:bottom w:val="single" w:color="auto" w:sz="4" w:space="0"/>
              <w:right w:val="single" w:color="auto" w:sz="4" w:space="0"/>
            </w:tcBorders>
            <w:noWrap w:val="0"/>
            <w:vAlign w:val="center"/>
          </w:tcPr>
          <w:p w14:paraId="17B96E0A">
            <w:pPr>
              <w:pageBreakBefore w:val="0"/>
              <w:widowControl/>
              <w:kinsoku/>
              <w:overflowPunct/>
              <w:topLinePunct w:val="0"/>
              <w:bidi w:val="0"/>
              <w:snapToGrid/>
              <w:jc w:val="center"/>
              <w:rPr>
                <w:rFonts w:hint="default" w:ascii="宋体" w:hAnsi="宋体" w:eastAsia="宋体" w:cs="宋体"/>
                <w:color w:val="auto"/>
                <w:kern w:val="0"/>
                <w:sz w:val="21"/>
                <w:szCs w:val="21"/>
                <w:lang w:val="en-US"/>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7.0</w:t>
            </w:r>
          </w:p>
        </w:tc>
      </w:tr>
      <w:tr w14:paraId="06669FFD">
        <w:tblPrEx>
          <w:tblCellMar>
            <w:top w:w="0" w:type="dxa"/>
            <w:left w:w="108" w:type="dxa"/>
            <w:bottom w:w="0" w:type="dxa"/>
            <w:right w:w="108" w:type="dxa"/>
          </w:tblCellMar>
        </w:tblPrEx>
        <w:trPr>
          <w:trHeight w:val="285" w:hRule="atLeast"/>
          <w:jc w:val="center"/>
        </w:trPr>
        <w:tc>
          <w:tcPr>
            <w:tcW w:w="1196" w:type="dxa"/>
            <w:tcBorders>
              <w:left w:val="single" w:color="auto" w:sz="4" w:space="0"/>
              <w:bottom w:val="single" w:color="auto" w:sz="4" w:space="0"/>
              <w:right w:val="single" w:color="auto" w:sz="4" w:space="0"/>
            </w:tcBorders>
            <w:noWrap w:val="0"/>
            <w:vAlign w:val="center"/>
          </w:tcPr>
          <w:p w14:paraId="0EACA61D">
            <w:pPr>
              <w:pageBreakBefore w:val="0"/>
              <w:widowControl/>
              <w:kinsoku/>
              <w:overflowPunct/>
              <w:topLinePunct w:val="0"/>
              <w:bidi w:val="0"/>
              <w:snapToGrid/>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气味</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5A0B1D62">
            <w:pPr>
              <w:pageBreakBefore w:val="0"/>
              <w:widowControl/>
              <w:kinsoku/>
              <w:overflowPunct/>
              <w:topLinePunct w:val="0"/>
              <w:bidi w:val="0"/>
              <w:snapToGrid/>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18</w:t>
            </w:r>
          </w:p>
        </w:tc>
        <w:tc>
          <w:tcPr>
            <w:tcW w:w="4965" w:type="dxa"/>
            <w:tcBorders>
              <w:top w:val="nil"/>
              <w:left w:val="single" w:color="auto" w:sz="4" w:space="0"/>
              <w:bottom w:val="single" w:color="auto" w:sz="4" w:space="0"/>
              <w:right w:val="single" w:color="auto" w:sz="4" w:space="0"/>
            </w:tcBorders>
            <w:noWrap w:val="0"/>
            <w:vAlign w:val="center"/>
          </w:tcPr>
          <w:p w14:paraId="6331D461">
            <w:pPr>
              <w:pageBreakBefore w:val="0"/>
              <w:widowControl/>
              <w:kinsoku/>
              <w:overflowPunct/>
              <w:topLinePunct w:val="0"/>
              <w:bidi w:val="0"/>
              <w:snapToGrid/>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eastAsia="zh-CN"/>
              </w:rPr>
              <w:t>气味等级</w:t>
            </w:r>
            <w:r>
              <w:rPr>
                <w:rFonts w:hint="eastAsia" w:ascii="宋体" w:hAnsi="宋体" w:eastAsia="宋体" w:cs="宋体"/>
                <w:color w:val="auto"/>
                <w:spacing w:val="-2"/>
                <w:sz w:val="21"/>
                <w:szCs w:val="21"/>
                <w:lang w:val="en-US" w:eastAsia="zh-CN"/>
              </w:rPr>
              <w:t>/级</w:t>
            </w:r>
          </w:p>
        </w:tc>
        <w:tc>
          <w:tcPr>
            <w:tcW w:w="1454" w:type="dxa"/>
            <w:tcBorders>
              <w:top w:val="nil"/>
              <w:left w:val="nil"/>
              <w:bottom w:val="single" w:color="auto" w:sz="4" w:space="0"/>
              <w:right w:val="single" w:color="auto" w:sz="4" w:space="0"/>
            </w:tcBorders>
            <w:noWrap w:val="0"/>
            <w:vAlign w:val="center"/>
          </w:tcPr>
          <w:p w14:paraId="38936B43">
            <w:pPr>
              <w:pageBreakBefore w:val="0"/>
              <w:widowControl/>
              <w:kinsoku/>
              <w:overflowPunct/>
              <w:topLinePunct w:val="0"/>
              <w:bidi w:val="0"/>
              <w:snapToGrid/>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rPr>
              <w:t>≤</w:t>
            </w:r>
            <w:r>
              <w:rPr>
                <w:rFonts w:hint="eastAsia" w:ascii="宋体" w:hAnsi="宋体" w:cs="宋体"/>
                <w:color w:val="auto"/>
                <w:spacing w:val="0"/>
                <w:sz w:val="21"/>
                <w:szCs w:val="21"/>
                <w:lang w:val="en-US" w:eastAsia="zh-CN"/>
              </w:rPr>
              <w:t>3</w:t>
            </w:r>
          </w:p>
        </w:tc>
      </w:tr>
    </w:tbl>
    <w:p w14:paraId="66E63CE7">
      <w:pPr>
        <w:widowControl/>
        <w:jc w:val="left"/>
        <w:rPr>
          <w:rFonts w:hint="eastAsia" w:ascii="宋体" w:hAnsi="宋体" w:cs="宋体"/>
          <w:color w:val="auto"/>
          <w:kern w:val="0"/>
          <w:sz w:val="24"/>
          <w:lang w:bidi="ar"/>
        </w:rPr>
      </w:pPr>
    </w:p>
    <w:p w14:paraId="7228EF83">
      <w:pPr>
        <w:widowControl/>
        <w:jc w:val="left"/>
        <w:rPr>
          <w:rFonts w:hint="eastAsia" w:ascii="宋体" w:hAnsi="宋体" w:cs="宋体"/>
          <w:color w:val="auto"/>
          <w:kern w:val="0"/>
          <w:sz w:val="24"/>
          <w:lang w:bidi="ar"/>
        </w:rPr>
      </w:pPr>
    </w:p>
    <w:p w14:paraId="7A908431">
      <w:pPr>
        <w:widowControl/>
        <w:numPr>
          <w:ilvl w:val="0"/>
          <w:numId w:val="0"/>
        </w:numPr>
        <w:jc w:val="left"/>
        <w:rPr>
          <w:rFonts w:hint="eastAsia" w:ascii="宋体" w:hAnsi="宋体" w:eastAsia="宋体" w:cs="宋体"/>
          <w:color w:val="auto"/>
          <w:kern w:val="0"/>
          <w:sz w:val="24"/>
          <w:lang w:eastAsia="zh-CN" w:bidi="ar"/>
        </w:rPr>
      </w:pPr>
      <w:r>
        <w:rPr>
          <w:rStyle w:val="12"/>
          <w:rFonts w:hint="eastAsia" w:ascii="宋体" w:hAnsi="宋体" w:eastAsia="宋体" w:cs="宋体"/>
          <w:b w:val="0"/>
          <w:bCs/>
          <w:color w:val="auto"/>
          <w:spacing w:val="0"/>
          <w:sz w:val="28"/>
          <w:szCs w:val="28"/>
          <w:vertAlign w:val="baseline"/>
          <w:lang w:val="en-US" w:eastAsia="zh-CN"/>
        </w:rPr>
        <w:t>▲</w:t>
      </w:r>
      <w:r>
        <w:rPr>
          <w:rFonts w:hint="eastAsia" w:ascii="宋体" w:hAnsi="宋体" w:cs="宋体"/>
          <w:color w:val="auto"/>
          <w:kern w:val="0"/>
          <w:sz w:val="24"/>
          <w:lang w:val="en-US" w:eastAsia="zh-CN" w:bidi="ar"/>
        </w:rPr>
        <w:t>5.2混</w:t>
      </w:r>
      <w:r>
        <w:rPr>
          <w:rFonts w:hint="eastAsia" w:ascii="宋体" w:hAnsi="宋体" w:cs="宋体"/>
          <w:color w:val="auto"/>
          <w:kern w:val="0"/>
          <w:sz w:val="24"/>
          <w:lang w:bidi="ar"/>
        </w:rPr>
        <w:t>合型塑胶跑道获得中国田径协会审定证书</w:t>
      </w:r>
      <w:r>
        <w:rPr>
          <w:rFonts w:hint="eastAsia" w:ascii="宋体" w:hAnsi="宋体" w:cs="宋体"/>
          <w:color w:val="auto"/>
          <w:kern w:val="0"/>
          <w:sz w:val="24"/>
          <w:lang w:eastAsia="zh-CN" w:bidi="ar"/>
        </w:rPr>
        <w:t>。</w:t>
      </w:r>
    </w:p>
    <w:p w14:paraId="2C0CB953">
      <w:pPr>
        <w:widowControl/>
        <w:numPr>
          <w:ilvl w:val="0"/>
          <w:numId w:val="0"/>
        </w:numPr>
        <w:jc w:val="left"/>
        <w:rPr>
          <w:rFonts w:hint="eastAsia" w:ascii="宋体" w:hAnsi="宋体" w:cs="宋体"/>
          <w:color w:val="auto"/>
          <w:kern w:val="0"/>
          <w:sz w:val="24"/>
          <w:lang w:bidi="ar"/>
        </w:rPr>
      </w:pPr>
    </w:p>
    <w:p w14:paraId="06C2C918">
      <w:pPr>
        <w:widowControl/>
        <w:numPr>
          <w:ilvl w:val="0"/>
          <w:numId w:val="0"/>
        </w:numPr>
        <w:jc w:val="left"/>
        <w:rPr>
          <w:rFonts w:hint="eastAsia" w:ascii="宋体" w:hAnsi="宋体" w:eastAsia="宋体" w:cs="宋体"/>
          <w:color w:val="auto"/>
          <w:kern w:val="0"/>
          <w:sz w:val="24"/>
          <w:lang w:eastAsia="zh-CN" w:bidi="ar"/>
        </w:rPr>
      </w:pPr>
      <w:r>
        <w:rPr>
          <w:rStyle w:val="12"/>
          <w:rFonts w:hint="eastAsia" w:ascii="宋体" w:hAnsi="宋体" w:eastAsia="宋体" w:cs="宋体"/>
          <w:b w:val="0"/>
          <w:bCs/>
          <w:color w:val="auto"/>
          <w:spacing w:val="0"/>
          <w:sz w:val="28"/>
          <w:szCs w:val="28"/>
          <w:vertAlign w:val="baseline"/>
          <w:lang w:val="en-US" w:eastAsia="zh-CN"/>
        </w:rPr>
        <w:t>▲</w:t>
      </w:r>
      <w:r>
        <w:rPr>
          <w:rFonts w:hint="eastAsia" w:ascii="宋体" w:hAnsi="宋体" w:cs="宋体"/>
          <w:color w:val="auto"/>
          <w:kern w:val="0"/>
          <w:sz w:val="24"/>
          <w:lang w:val="en-US" w:eastAsia="zh-CN" w:bidi="ar"/>
        </w:rPr>
        <w:t>5.3聚</w:t>
      </w:r>
      <w:r>
        <w:rPr>
          <w:rFonts w:hint="eastAsia" w:ascii="宋体" w:hAnsi="宋体" w:cs="宋体"/>
          <w:color w:val="auto"/>
          <w:kern w:val="0"/>
          <w:sz w:val="24"/>
          <w:lang w:bidi="ar"/>
        </w:rPr>
        <w:t>氨酯跑道材料获得重点管控新污染物限用(RoECs)认证证书</w:t>
      </w:r>
      <w:r>
        <w:rPr>
          <w:rFonts w:hint="eastAsia" w:ascii="宋体" w:hAnsi="宋体" w:cs="宋体"/>
          <w:color w:val="auto"/>
          <w:kern w:val="0"/>
          <w:sz w:val="24"/>
          <w:lang w:eastAsia="zh-CN" w:bidi="ar"/>
        </w:rPr>
        <w:t>。</w:t>
      </w:r>
    </w:p>
    <w:p w14:paraId="627F44B7">
      <w:pPr>
        <w:widowControl/>
        <w:numPr>
          <w:ilvl w:val="0"/>
          <w:numId w:val="0"/>
        </w:numPr>
        <w:jc w:val="left"/>
        <w:rPr>
          <w:rFonts w:hint="eastAsia" w:ascii="宋体" w:hAnsi="宋体" w:cs="宋体"/>
          <w:color w:val="auto"/>
          <w:kern w:val="0"/>
          <w:sz w:val="24"/>
          <w:lang w:bidi="ar"/>
        </w:rPr>
      </w:pPr>
    </w:p>
    <w:p w14:paraId="4A4D0D46">
      <w:pPr>
        <w:widowControl/>
        <w:numPr>
          <w:ilvl w:val="0"/>
          <w:numId w:val="0"/>
        </w:numPr>
        <w:jc w:val="left"/>
        <w:rPr>
          <w:rFonts w:hint="eastAsia" w:ascii="宋体" w:hAnsi="宋体" w:eastAsia="宋体" w:cs="宋体"/>
          <w:color w:val="auto"/>
          <w:sz w:val="24"/>
          <w:lang w:eastAsia="zh-CN"/>
        </w:rPr>
      </w:pPr>
      <w:r>
        <w:rPr>
          <w:rStyle w:val="12"/>
          <w:rFonts w:hint="eastAsia" w:ascii="宋体" w:hAnsi="宋体" w:eastAsia="宋体" w:cs="宋体"/>
          <w:b w:val="0"/>
          <w:bCs/>
          <w:color w:val="auto"/>
          <w:spacing w:val="0"/>
          <w:sz w:val="28"/>
          <w:szCs w:val="28"/>
          <w:vertAlign w:val="baseline"/>
          <w:lang w:val="en-US" w:eastAsia="zh-CN"/>
        </w:rPr>
        <w:t>▲</w:t>
      </w:r>
      <w:r>
        <w:rPr>
          <w:rFonts w:hint="eastAsia" w:ascii="宋体" w:hAnsi="宋体" w:cs="宋体"/>
          <w:color w:val="auto"/>
          <w:kern w:val="0"/>
          <w:sz w:val="24"/>
          <w:lang w:val="en-US" w:eastAsia="zh-CN" w:bidi="ar"/>
        </w:rPr>
        <w:t>5.4提</w:t>
      </w:r>
      <w:r>
        <w:rPr>
          <w:rFonts w:hint="eastAsia" w:ascii="宋体" w:hAnsi="宋体" w:cs="宋体"/>
          <w:color w:val="auto"/>
          <w:kern w:val="0"/>
          <w:sz w:val="24"/>
          <w:lang w:bidi="ar"/>
        </w:rPr>
        <w:t>供</w:t>
      </w:r>
      <w:r>
        <w:rPr>
          <w:rFonts w:hint="eastAsia" w:ascii="宋体" w:hAnsi="宋体" w:cs="宋体"/>
          <w:color w:val="auto"/>
          <w:sz w:val="24"/>
        </w:rPr>
        <w:t>塑胶跑道耐人工气候老化性能（5000h）拉伸强度≥0.5MPa，拉断伸长率≥40%，符合GB 36246-2018耐老化性能检测要求；提供带有CMA的检测报告</w:t>
      </w:r>
      <w:r>
        <w:rPr>
          <w:rFonts w:hint="eastAsia" w:ascii="宋体" w:hAnsi="宋体" w:cs="宋体"/>
          <w:color w:val="auto"/>
          <w:sz w:val="24"/>
          <w:lang w:eastAsia="zh-CN"/>
        </w:rPr>
        <w:t>。</w:t>
      </w:r>
    </w:p>
    <w:p w14:paraId="17BA6E84">
      <w:pPr>
        <w:widowControl/>
        <w:numPr>
          <w:ilvl w:val="0"/>
          <w:numId w:val="0"/>
        </w:numPr>
        <w:jc w:val="left"/>
        <w:rPr>
          <w:rFonts w:hint="eastAsia" w:ascii="宋体" w:hAnsi="宋体" w:cs="宋体"/>
          <w:color w:val="auto"/>
          <w:kern w:val="0"/>
          <w:sz w:val="24"/>
          <w:lang w:bidi="ar"/>
        </w:rPr>
      </w:pPr>
    </w:p>
    <w:p w14:paraId="6F2AEFA4">
      <w:pPr>
        <w:widowControl/>
        <w:numPr>
          <w:ilvl w:val="0"/>
          <w:numId w:val="0"/>
        </w:numPr>
        <w:ind w:leftChars="0"/>
        <w:jc w:val="left"/>
        <w:rPr>
          <w:rFonts w:hint="eastAsia" w:ascii="宋体" w:hAnsi="宋体" w:eastAsia="宋体" w:cs="宋体"/>
          <w:color w:val="auto"/>
          <w:sz w:val="24"/>
          <w:lang w:eastAsia="zh-CN"/>
        </w:rPr>
      </w:pPr>
      <w:r>
        <w:rPr>
          <w:rStyle w:val="12"/>
          <w:rFonts w:hint="eastAsia" w:ascii="宋体" w:hAnsi="宋体" w:eastAsia="宋体" w:cs="宋体"/>
          <w:b w:val="0"/>
          <w:bCs/>
          <w:color w:val="auto"/>
          <w:spacing w:val="0"/>
          <w:sz w:val="28"/>
          <w:szCs w:val="28"/>
          <w:vertAlign w:val="baseline"/>
          <w:lang w:val="en-US" w:eastAsia="zh-CN"/>
        </w:rPr>
        <w:t>▲</w:t>
      </w:r>
      <w:r>
        <w:rPr>
          <w:rFonts w:hint="eastAsia" w:ascii="宋体" w:hAnsi="宋体" w:cs="宋体"/>
          <w:color w:val="auto"/>
          <w:sz w:val="24"/>
          <w:lang w:val="en-US" w:eastAsia="zh-CN"/>
        </w:rPr>
        <w:t>5.5运</w:t>
      </w:r>
      <w:r>
        <w:rPr>
          <w:rFonts w:hint="eastAsia" w:ascii="宋体" w:hAnsi="宋体" w:cs="宋体"/>
          <w:color w:val="auto"/>
          <w:sz w:val="24"/>
        </w:rPr>
        <w:t>动场地材料符合GB/T6753.3-1986要求，经过60天的贮存后材料“符合”或“通过”如结皮、压力、腐蚀、腐败味、沉降程度等现象体现涂料稳定性，提供具有“CMA”标志的检测报告</w:t>
      </w:r>
      <w:r>
        <w:rPr>
          <w:rFonts w:hint="eastAsia" w:ascii="宋体" w:hAnsi="宋体" w:cs="宋体"/>
          <w:color w:val="auto"/>
          <w:sz w:val="24"/>
          <w:lang w:eastAsia="zh-CN"/>
        </w:rPr>
        <w:t>。</w:t>
      </w:r>
    </w:p>
    <w:p w14:paraId="25B19362">
      <w:pPr>
        <w:widowControl/>
        <w:numPr>
          <w:ilvl w:val="0"/>
          <w:numId w:val="0"/>
        </w:numPr>
        <w:ind w:leftChars="0"/>
        <w:jc w:val="left"/>
        <w:rPr>
          <w:rFonts w:hint="eastAsia" w:ascii="宋体" w:hAnsi="宋体" w:cs="宋体"/>
          <w:color w:val="auto"/>
          <w:sz w:val="24"/>
        </w:rPr>
      </w:pPr>
    </w:p>
    <w:p w14:paraId="000BF4E7">
      <w:pPr>
        <w:widowControl/>
        <w:numPr>
          <w:ilvl w:val="0"/>
          <w:numId w:val="0"/>
        </w:numPr>
        <w:ind w:leftChars="0"/>
        <w:jc w:val="left"/>
        <w:rPr>
          <w:rFonts w:hint="eastAsia" w:ascii="宋体" w:hAnsi="宋体" w:cs="宋体"/>
          <w:color w:val="auto"/>
          <w:kern w:val="0"/>
          <w:sz w:val="24"/>
          <w:lang w:bidi="ar"/>
        </w:rPr>
      </w:pPr>
    </w:p>
    <w:p w14:paraId="64FA8D6B">
      <w:pPr>
        <w:widowControl/>
        <w:numPr>
          <w:ilvl w:val="0"/>
          <w:numId w:val="0"/>
        </w:numPr>
        <w:ind w:leftChars="0"/>
        <w:jc w:val="left"/>
        <w:rPr>
          <w:rFonts w:hint="eastAsia" w:ascii="宋体" w:hAnsi="宋体" w:eastAsia="宋体" w:cs="宋体"/>
          <w:color w:val="auto"/>
          <w:kern w:val="0"/>
          <w:sz w:val="24"/>
          <w:lang w:eastAsia="zh-CN" w:bidi="ar"/>
        </w:rPr>
      </w:pPr>
      <w:r>
        <w:rPr>
          <w:rStyle w:val="12"/>
          <w:rFonts w:hint="eastAsia" w:ascii="宋体" w:hAnsi="宋体" w:eastAsia="宋体" w:cs="宋体"/>
          <w:b w:val="0"/>
          <w:bCs/>
          <w:color w:val="auto"/>
          <w:spacing w:val="0"/>
          <w:sz w:val="28"/>
          <w:szCs w:val="28"/>
          <w:vertAlign w:val="baseline"/>
          <w:lang w:val="en-US" w:eastAsia="zh-CN"/>
        </w:rPr>
        <w:t>▲</w:t>
      </w:r>
      <w:r>
        <w:rPr>
          <w:rFonts w:hint="eastAsia" w:ascii="宋体" w:hAnsi="宋体" w:cs="宋体"/>
          <w:color w:val="auto"/>
          <w:sz w:val="24"/>
          <w:lang w:val="en-US" w:eastAsia="zh-CN"/>
        </w:rPr>
        <w:t>5.6</w:t>
      </w:r>
      <w:r>
        <w:rPr>
          <w:rFonts w:hint="eastAsia" w:ascii="宋体" w:hAnsi="宋体" w:cs="宋体"/>
          <w:color w:val="auto"/>
          <w:sz w:val="24"/>
        </w:rPr>
        <w:t>塑胶跑道面层在经过23±5℃的环境下长期浸泡≥28d后，塑胶跑道符合GB/T30807-2014长期吸水性要求，测试结果＜4%，提供具有“CMA”标志的检测</w:t>
      </w:r>
      <w:r>
        <w:rPr>
          <w:rFonts w:hint="eastAsia" w:ascii="宋体" w:hAnsi="宋体" w:cs="宋体"/>
          <w:color w:val="auto"/>
          <w:kern w:val="0"/>
          <w:sz w:val="24"/>
          <w:lang w:bidi="ar"/>
        </w:rPr>
        <w:t>报告</w:t>
      </w:r>
      <w:r>
        <w:rPr>
          <w:rFonts w:hint="eastAsia" w:ascii="宋体" w:hAnsi="宋体" w:cs="宋体"/>
          <w:color w:val="auto"/>
          <w:kern w:val="0"/>
          <w:sz w:val="24"/>
          <w:lang w:eastAsia="zh-CN" w:bidi="ar"/>
        </w:rPr>
        <w:t>。</w:t>
      </w:r>
    </w:p>
    <w:p w14:paraId="702FE849">
      <w:pPr>
        <w:widowControl/>
        <w:numPr>
          <w:ilvl w:val="0"/>
          <w:numId w:val="0"/>
        </w:numPr>
        <w:ind w:leftChars="0"/>
        <w:jc w:val="left"/>
        <w:rPr>
          <w:rFonts w:hint="eastAsia" w:ascii="宋体" w:hAnsi="宋体" w:cs="宋体"/>
          <w:color w:val="auto"/>
          <w:kern w:val="0"/>
          <w:sz w:val="24"/>
          <w:lang w:bidi="ar"/>
        </w:rPr>
      </w:pPr>
    </w:p>
    <w:p w14:paraId="6247F4C8">
      <w:pPr>
        <w:pStyle w:val="3"/>
        <w:numPr>
          <w:ilvl w:val="0"/>
          <w:numId w:val="0"/>
        </w:numPr>
        <w:spacing w:line="360" w:lineRule="auto"/>
        <w:ind w:leftChars="0" w:right="63" w:rightChars="0"/>
        <w:jc w:val="left"/>
        <w:rPr>
          <w:rFonts w:hint="eastAsia" w:ascii="宋体" w:hAnsi="宋体" w:cs="宋体"/>
          <w:color w:val="auto"/>
          <w:kern w:val="0"/>
          <w:sz w:val="24"/>
          <w:szCs w:val="24"/>
          <w:lang w:bidi="ar"/>
        </w:rPr>
      </w:pPr>
      <w:r>
        <w:rPr>
          <w:rStyle w:val="12"/>
          <w:rFonts w:hint="eastAsia" w:ascii="宋体" w:hAnsi="宋体" w:eastAsia="宋体" w:cs="宋体"/>
          <w:b w:val="0"/>
          <w:bCs/>
          <w:color w:val="auto"/>
          <w:spacing w:val="0"/>
          <w:sz w:val="28"/>
          <w:szCs w:val="28"/>
          <w:vertAlign w:val="baseline"/>
          <w:lang w:val="en-US" w:eastAsia="zh-CN"/>
        </w:rPr>
        <w:t>▲</w:t>
      </w:r>
      <w:r>
        <w:rPr>
          <w:rFonts w:hint="eastAsia" w:ascii="宋体" w:hAnsi="宋体" w:cs="宋体"/>
          <w:color w:val="auto"/>
          <w:sz w:val="24"/>
          <w:szCs w:val="24"/>
          <w:lang w:val="en-US" w:eastAsia="zh-CN"/>
        </w:rPr>
        <w:t>5.7非渗</w:t>
      </w:r>
      <w:r>
        <w:rPr>
          <w:rFonts w:hint="eastAsia" w:ascii="宋体" w:hAnsi="宋体" w:cs="宋体"/>
          <w:color w:val="auto"/>
          <w:sz w:val="24"/>
          <w:szCs w:val="24"/>
        </w:rPr>
        <w:t>水型塑胶跑道在室外经过春夏秋冬四季交替，潮湿、高温、低温、干燥等环境下1年后物理性能：冲击吸收、垂直变形、抗滑值、拉伸强度、拉断伸长率符合GB 36246-2018且保留率≥95%，提供带有CMA的检测报告</w:t>
      </w:r>
      <w:r>
        <w:rPr>
          <w:rFonts w:hint="eastAsia" w:ascii="宋体" w:hAnsi="宋体" w:cs="宋体"/>
          <w:color w:val="auto"/>
          <w:kern w:val="0"/>
          <w:sz w:val="24"/>
          <w:szCs w:val="24"/>
          <w:lang w:bidi="ar"/>
        </w:rPr>
        <w:t>。</w:t>
      </w:r>
    </w:p>
    <w:p w14:paraId="0C834B8B">
      <w:pPr>
        <w:pStyle w:val="8"/>
        <w:keepNext w:val="0"/>
        <w:keepLines w:val="0"/>
        <w:widowControl/>
        <w:numPr>
          <w:ilvl w:val="0"/>
          <w:numId w:val="0"/>
        </w:numPr>
        <w:suppressLineNumbers w:val="0"/>
        <w:spacing w:line="360" w:lineRule="atLeast"/>
        <w:ind w:right="0" w:rightChars="0"/>
        <w:textAlignment w:val="baseline"/>
        <w:rPr>
          <w:rStyle w:val="12"/>
          <w:rFonts w:hint="eastAsia" w:ascii="宋体" w:hAnsi="宋体" w:eastAsia="宋体" w:cs="宋体"/>
          <w:b w:val="0"/>
          <w:bCs/>
          <w:color w:val="auto"/>
          <w:spacing w:val="0"/>
          <w:sz w:val="28"/>
          <w:szCs w:val="28"/>
          <w:vertAlign w:val="baseline"/>
          <w:lang w:val="en-US" w:eastAsia="zh-CN"/>
        </w:rPr>
      </w:pPr>
      <w:r>
        <w:rPr>
          <w:rStyle w:val="12"/>
          <w:rFonts w:hint="eastAsia" w:ascii="宋体" w:hAnsi="宋体" w:eastAsia="宋体" w:cs="宋体"/>
          <w:b w:val="0"/>
          <w:bCs/>
          <w:color w:val="auto"/>
          <w:spacing w:val="0"/>
          <w:sz w:val="28"/>
          <w:szCs w:val="28"/>
          <w:vertAlign w:val="baseline"/>
          <w:lang w:val="en-US" w:eastAsia="zh-CN"/>
        </w:rPr>
        <w:t>▲</w:t>
      </w:r>
      <w:r>
        <w:rPr>
          <w:rFonts w:hint="eastAsia" w:ascii="宋体" w:hAnsi="宋体" w:cs="宋体"/>
          <w:color w:val="auto"/>
          <w:kern w:val="0"/>
          <w:sz w:val="24"/>
          <w:lang w:val="en-US" w:eastAsia="zh-CN" w:bidi="ar"/>
        </w:rPr>
        <w:t>5.8</w:t>
      </w:r>
      <w:r>
        <w:rPr>
          <w:rFonts w:hint="eastAsia" w:ascii="宋体" w:hAnsi="宋体" w:cs="宋体"/>
          <w:color w:val="auto"/>
          <w:kern w:val="0"/>
          <w:sz w:val="24"/>
          <w:lang w:bidi="ar"/>
        </w:rPr>
        <w:t>塑胶面层材料采用氙气灯暴晒500小时，光照色牢度级别在6级或6级以上，目测样品无粉化、无龟裂、无分层、无发霉等现象产生的报告</w:t>
      </w:r>
      <w:r>
        <w:rPr>
          <w:rFonts w:hint="eastAsia" w:ascii="宋体" w:hAnsi="宋体" w:cs="宋体"/>
          <w:color w:val="auto"/>
          <w:kern w:val="0"/>
          <w:sz w:val="24"/>
          <w:lang w:eastAsia="zh-CN" w:bidi="ar"/>
        </w:rPr>
        <w:t>。</w:t>
      </w:r>
    </w:p>
    <w:p w14:paraId="43C3339D">
      <w:pPr>
        <w:pStyle w:val="8"/>
        <w:keepNext w:val="0"/>
        <w:keepLines w:val="0"/>
        <w:widowControl/>
        <w:numPr>
          <w:ilvl w:val="0"/>
          <w:numId w:val="0"/>
        </w:numPr>
        <w:suppressLineNumbers w:val="0"/>
        <w:spacing w:line="360" w:lineRule="atLeast"/>
        <w:ind w:right="0" w:rightChars="0" w:firstLine="560" w:firstLineChars="200"/>
        <w:textAlignment w:val="baseline"/>
        <w:rPr>
          <w:rStyle w:val="12"/>
          <w:rFonts w:hint="eastAsia" w:ascii="宋体" w:hAnsi="宋体" w:eastAsia="宋体" w:cs="宋体"/>
          <w:b w:val="0"/>
          <w:bCs/>
          <w:color w:val="auto"/>
          <w:spacing w:val="0"/>
          <w:sz w:val="28"/>
          <w:szCs w:val="28"/>
          <w:vertAlign w:val="baseline"/>
          <w:lang w:val="en-US" w:eastAsia="zh-CN"/>
        </w:rPr>
      </w:pPr>
      <w:r>
        <w:rPr>
          <w:rStyle w:val="12"/>
          <w:rFonts w:hint="eastAsia" w:ascii="宋体" w:hAnsi="宋体" w:eastAsia="宋体" w:cs="宋体"/>
          <w:b w:val="0"/>
          <w:bCs/>
          <w:color w:val="auto"/>
          <w:spacing w:val="0"/>
          <w:sz w:val="28"/>
          <w:szCs w:val="28"/>
          <w:vertAlign w:val="baseline"/>
          <w:lang w:val="en-US" w:eastAsia="zh-CN"/>
        </w:rPr>
        <w:t>注：提供以上检验报告、证书的扫描件进行佐证及提供材料制造商针对本项目的授权书，中标后提供检验报告、证书、授权书原件供采购人核查，如发现</w:t>
      </w:r>
      <w:r>
        <w:rPr>
          <w:rStyle w:val="12"/>
          <w:rFonts w:hint="eastAsia" w:ascii="宋体" w:hAnsi="宋体" w:cs="宋体"/>
          <w:b w:val="0"/>
          <w:bCs/>
          <w:color w:val="auto"/>
          <w:spacing w:val="0"/>
          <w:sz w:val="28"/>
          <w:szCs w:val="28"/>
          <w:vertAlign w:val="baseline"/>
          <w:lang w:val="en-US" w:eastAsia="zh-CN"/>
        </w:rPr>
        <w:t>作</w:t>
      </w:r>
      <w:r>
        <w:rPr>
          <w:rStyle w:val="12"/>
          <w:rFonts w:hint="eastAsia" w:ascii="宋体" w:hAnsi="宋体" w:eastAsia="宋体" w:cs="宋体"/>
          <w:b w:val="0"/>
          <w:bCs/>
          <w:color w:val="auto"/>
          <w:spacing w:val="0"/>
          <w:sz w:val="28"/>
          <w:szCs w:val="28"/>
          <w:vertAlign w:val="baseline"/>
          <w:lang w:val="en-US" w:eastAsia="zh-CN"/>
        </w:rPr>
        <w:t>假，将取消其中标资格并依法追究相关责任。</w:t>
      </w:r>
    </w:p>
    <w:p w14:paraId="5672EAC6">
      <w:pPr>
        <w:pStyle w:val="8"/>
        <w:keepNext w:val="0"/>
        <w:keepLines w:val="0"/>
        <w:widowControl/>
        <w:numPr>
          <w:ilvl w:val="0"/>
          <w:numId w:val="0"/>
        </w:numPr>
        <w:suppressLineNumbers w:val="0"/>
        <w:spacing w:line="360" w:lineRule="atLeast"/>
        <w:ind w:right="0" w:rightChars="0"/>
        <w:textAlignment w:val="baseline"/>
        <w:rPr>
          <w:rStyle w:val="12"/>
          <w:rFonts w:hint="eastAsia" w:ascii="宋体" w:hAnsi="宋体" w:eastAsia="宋体" w:cs="宋体"/>
          <w:b w:val="0"/>
          <w:bCs/>
          <w:color w:val="auto"/>
          <w:spacing w:val="0"/>
          <w:sz w:val="28"/>
          <w:szCs w:val="28"/>
          <w:vertAlign w:val="baseline"/>
          <w:lang w:val="en-US" w:eastAsia="zh-CN"/>
        </w:rPr>
      </w:pPr>
    </w:p>
    <w:p w14:paraId="3D28B5F3">
      <w:pPr>
        <w:pStyle w:val="8"/>
        <w:keepNext w:val="0"/>
        <w:keepLines w:val="0"/>
        <w:widowControl/>
        <w:numPr>
          <w:ilvl w:val="0"/>
          <w:numId w:val="1"/>
        </w:numPr>
        <w:suppressLineNumbers w:val="0"/>
        <w:spacing w:line="360" w:lineRule="atLeast"/>
        <w:textAlignment w:val="baseline"/>
        <w:rPr>
          <w:rStyle w:val="12"/>
          <w:rFonts w:hint="default" w:ascii="宋体" w:hAnsi="宋体" w:eastAsia="宋体" w:cs="宋体"/>
          <w:b/>
          <w:bCs/>
          <w:color w:val="auto"/>
          <w:spacing w:val="0"/>
          <w:sz w:val="28"/>
          <w:szCs w:val="28"/>
          <w:vertAlign w:val="baseline"/>
          <w:lang w:val="en-US" w:eastAsia="zh-CN"/>
        </w:rPr>
      </w:pPr>
      <w:r>
        <w:rPr>
          <w:rStyle w:val="12"/>
          <w:rFonts w:hint="eastAsia" w:ascii="宋体" w:hAnsi="宋体" w:cs="宋体"/>
          <w:b/>
          <w:bCs/>
          <w:color w:val="auto"/>
          <w:spacing w:val="0"/>
          <w:sz w:val="28"/>
          <w:szCs w:val="28"/>
          <w:vertAlign w:val="baseline"/>
          <w:lang w:val="en-US" w:eastAsia="zh-CN"/>
        </w:rPr>
        <w:t>人造草坪质量要求</w:t>
      </w:r>
    </w:p>
    <w:p w14:paraId="3BE5C031">
      <w:pPr>
        <w:pStyle w:val="8"/>
        <w:keepNext w:val="0"/>
        <w:keepLines w:val="0"/>
        <w:widowControl/>
        <w:numPr>
          <w:ilvl w:val="0"/>
          <w:numId w:val="0"/>
        </w:numPr>
        <w:suppressLineNumbers w:val="0"/>
        <w:spacing w:line="360" w:lineRule="atLeast"/>
        <w:ind w:right="0" w:rightChars="0"/>
        <w:textAlignment w:val="baseline"/>
        <w:rPr>
          <w:rStyle w:val="12"/>
          <w:rFonts w:hint="eastAsia" w:ascii="宋体" w:hAnsi="宋体" w:cs="宋体"/>
          <w:b/>
          <w:bCs/>
          <w:color w:val="auto"/>
          <w:spacing w:val="0"/>
          <w:sz w:val="28"/>
          <w:szCs w:val="28"/>
          <w:vertAlign w:val="baseline"/>
          <w:lang w:val="en-US" w:eastAsia="zh-CN"/>
        </w:rPr>
      </w:pPr>
      <w:r>
        <w:rPr>
          <w:rStyle w:val="12"/>
          <w:rFonts w:hint="eastAsia" w:ascii="宋体" w:hAnsi="宋体" w:cs="宋体"/>
          <w:b/>
          <w:bCs/>
          <w:color w:val="auto"/>
          <w:spacing w:val="0"/>
          <w:sz w:val="28"/>
          <w:szCs w:val="28"/>
          <w:vertAlign w:val="baseline"/>
          <w:lang w:val="en-US" w:eastAsia="zh-CN"/>
        </w:rPr>
        <w:t>6.1人造草坪技术参数及要求</w:t>
      </w:r>
    </w:p>
    <w:p w14:paraId="37F29137">
      <w:pPr>
        <w:pStyle w:val="8"/>
        <w:widowControl/>
        <w:shd w:val="clear" w:color="auto" w:fill="FFFFFF"/>
        <w:spacing w:line="144" w:lineRule="atLeast"/>
        <w:rPr>
          <w:rFonts w:ascii="宋体" w:hAnsi="宋体"/>
          <w:color w:val="auto"/>
          <w:sz w:val="21"/>
          <w:szCs w:val="21"/>
        </w:rPr>
      </w:pPr>
      <w:r>
        <w:rPr>
          <w:rFonts w:hint="eastAsia" w:ascii="宋体" w:hAnsi="宋体" w:cs="宋体"/>
          <w:b/>
          <w:color w:val="auto"/>
          <w:sz w:val="21"/>
          <w:szCs w:val="21"/>
          <w:shd w:val="clear" w:color="auto" w:fill="FFFFFF"/>
        </w:rPr>
        <w:t>草坪技术参数</w:t>
      </w:r>
    </w:p>
    <w:tbl>
      <w:tblPr>
        <w:tblStyle w:val="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2666"/>
        <w:gridCol w:w="5639"/>
      </w:tblGrid>
      <w:tr w14:paraId="59003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trPr>
        <w:tc>
          <w:tcPr>
            <w:tcW w:w="2666"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26B73CCA">
            <w:pPr>
              <w:jc w:val="left"/>
              <w:rPr>
                <w:rFonts w:ascii="宋体" w:hAnsi="宋体"/>
                <w:color w:val="auto"/>
                <w:szCs w:val="21"/>
              </w:rPr>
            </w:pPr>
            <w:r>
              <w:rPr>
                <w:rFonts w:hint="eastAsia" w:ascii="宋体" w:hAnsi="宋体"/>
                <w:color w:val="auto"/>
                <w:szCs w:val="21"/>
              </w:rPr>
              <w:t>草丝形状及编织工艺</w:t>
            </w:r>
          </w:p>
        </w:tc>
        <w:tc>
          <w:tcPr>
            <w:tcW w:w="5639"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098F8DB4">
            <w:pPr>
              <w:jc w:val="left"/>
              <w:rPr>
                <w:rFonts w:ascii="宋体" w:hAnsi="宋体"/>
                <w:color w:val="auto"/>
                <w:szCs w:val="21"/>
              </w:rPr>
            </w:pPr>
            <w:r>
              <w:rPr>
                <w:rFonts w:hint="eastAsia" w:ascii="宋体" w:hAnsi="宋体"/>
                <w:color w:val="auto"/>
                <w:szCs w:val="21"/>
              </w:rPr>
              <w:t>挤出工艺超耐磨</w:t>
            </w:r>
            <w:r>
              <w:rPr>
                <w:rFonts w:hint="default" w:ascii="宋体" w:hAnsi="宋体"/>
                <w:color w:val="auto"/>
                <w:szCs w:val="21"/>
                <w:lang w:val="en-US"/>
              </w:rPr>
              <w:t>pe</w:t>
            </w:r>
            <w:r>
              <w:rPr>
                <w:rFonts w:hint="eastAsia" w:ascii="宋体" w:hAnsi="宋体"/>
                <w:color w:val="auto"/>
                <w:szCs w:val="21"/>
                <w:lang w:val="en-US" w:eastAsia="zh-CN"/>
              </w:rPr>
              <w:t>单丝</w:t>
            </w:r>
            <w:r>
              <w:rPr>
                <w:rFonts w:hint="eastAsia" w:ascii="宋体" w:hAnsi="宋体"/>
                <w:color w:val="auto"/>
                <w:szCs w:val="21"/>
              </w:rPr>
              <w:t>簇绒编织</w:t>
            </w:r>
          </w:p>
        </w:tc>
      </w:tr>
      <w:tr w14:paraId="251B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trPr>
        <w:tc>
          <w:tcPr>
            <w:tcW w:w="2666"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72039CC4">
            <w:pPr>
              <w:jc w:val="left"/>
              <w:rPr>
                <w:rFonts w:ascii="宋体" w:hAnsi="宋体"/>
                <w:color w:val="auto"/>
                <w:szCs w:val="21"/>
              </w:rPr>
            </w:pPr>
            <w:r>
              <w:rPr>
                <w:rFonts w:hint="eastAsia" w:ascii="宋体" w:hAnsi="宋体"/>
                <w:color w:val="auto"/>
                <w:szCs w:val="21"/>
              </w:rPr>
              <w:t>草丝颜色</w:t>
            </w:r>
          </w:p>
        </w:tc>
        <w:tc>
          <w:tcPr>
            <w:tcW w:w="5639"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5BF48F08">
            <w:pPr>
              <w:jc w:val="left"/>
              <w:rPr>
                <w:rFonts w:ascii="宋体" w:hAnsi="宋体"/>
                <w:color w:val="auto"/>
                <w:szCs w:val="21"/>
              </w:rPr>
            </w:pPr>
            <w:r>
              <w:rPr>
                <w:rFonts w:hint="eastAsia" w:ascii="宋体" w:hAnsi="宋体"/>
                <w:color w:val="auto"/>
                <w:szCs w:val="21"/>
              </w:rPr>
              <w:t>双色（直单丝翠柠各半）</w:t>
            </w:r>
          </w:p>
        </w:tc>
      </w:tr>
      <w:tr w14:paraId="48F7B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trPr>
        <w:tc>
          <w:tcPr>
            <w:tcW w:w="2666"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19CACB34">
            <w:pPr>
              <w:jc w:val="left"/>
              <w:rPr>
                <w:rFonts w:ascii="宋体" w:hAnsi="宋体"/>
                <w:color w:val="auto"/>
                <w:szCs w:val="21"/>
              </w:rPr>
            </w:pPr>
            <w:r>
              <w:rPr>
                <w:rFonts w:hint="eastAsia" w:ascii="宋体" w:hAnsi="宋体"/>
                <w:color w:val="auto"/>
                <w:szCs w:val="21"/>
              </w:rPr>
              <w:t>草丝来源</w:t>
            </w:r>
          </w:p>
        </w:tc>
        <w:tc>
          <w:tcPr>
            <w:tcW w:w="5639"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14395CB5">
            <w:pPr>
              <w:jc w:val="left"/>
              <w:rPr>
                <w:rFonts w:ascii="宋体" w:hAnsi="宋体"/>
                <w:color w:val="auto"/>
                <w:szCs w:val="21"/>
              </w:rPr>
            </w:pPr>
            <w:r>
              <w:rPr>
                <w:rFonts w:hint="eastAsia" w:ascii="宋体" w:hAnsi="宋体"/>
                <w:color w:val="auto"/>
                <w:szCs w:val="21"/>
              </w:rPr>
              <w:t>国产（非进口）</w:t>
            </w:r>
          </w:p>
        </w:tc>
      </w:tr>
      <w:tr w14:paraId="37D0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09" w:hRule="atLeast"/>
        </w:trPr>
        <w:tc>
          <w:tcPr>
            <w:tcW w:w="2666"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6AF5DA8F">
            <w:pPr>
              <w:jc w:val="left"/>
              <w:rPr>
                <w:rFonts w:ascii="宋体" w:hAnsi="宋体"/>
                <w:color w:val="auto"/>
                <w:szCs w:val="21"/>
              </w:rPr>
            </w:pPr>
            <w:r>
              <w:rPr>
                <w:rFonts w:hint="eastAsia" w:ascii="宋体" w:hAnsi="宋体"/>
                <w:color w:val="auto"/>
                <w:szCs w:val="21"/>
              </w:rPr>
              <w:t>底布走针方式</w:t>
            </w:r>
          </w:p>
        </w:tc>
        <w:tc>
          <w:tcPr>
            <w:tcW w:w="5639"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6280F3E6">
            <w:pPr>
              <w:jc w:val="left"/>
              <w:rPr>
                <w:rFonts w:ascii="宋体" w:hAnsi="宋体"/>
                <w:color w:val="auto"/>
                <w:szCs w:val="21"/>
              </w:rPr>
            </w:pPr>
            <w:r>
              <w:rPr>
                <w:rFonts w:hint="eastAsia" w:ascii="宋体" w:hAnsi="宋体"/>
                <w:color w:val="auto"/>
                <w:szCs w:val="21"/>
              </w:rPr>
              <w:t>簇绒法一形走针</w:t>
            </w:r>
          </w:p>
        </w:tc>
      </w:tr>
      <w:tr w14:paraId="24150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trPr>
        <w:tc>
          <w:tcPr>
            <w:tcW w:w="2666"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2AB9614A">
            <w:pPr>
              <w:jc w:val="left"/>
              <w:rPr>
                <w:rFonts w:ascii="宋体" w:hAnsi="宋体"/>
                <w:color w:val="auto"/>
                <w:szCs w:val="21"/>
              </w:rPr>
            </w:pPr>
            <w:r>
              <w:rPr>
                <w:rFonts w:hint="eastAsia" w:ascii="宋体" w:hAnsi="宋体"/>
                <w:color w:val="auto"/>
                <w:szCs w:val="21"/>
              </w:rPr>
              <w:t>草高（不含底布高度）</w:t>
            </w:r>
          </w:p>
        </w:tc>
        <w:tc>
          <w:tcPr>
            <w:tcW w:w="5639"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0D51CCA8">
            <w:pPr>
              <w:jc w:val="left"/>
              <w:rPr>
                <w:rFonts w:ascii="宋体" w:hAnsi="宋体"/>
                <w:color w:val="auto"/>
                <w:szCs w:val="21"/>
              </w:rPr>
            </w:pPr>
            <w:r>
              <w:rPr>
                <w:rFonts w:hint="eastAsia" w:ascii="宋体" w:hAnsi="宋体"/>
                <w:color w:val="auto"/>
                <w:szCs w:val="21"/>
                <w:lang w:eastAsia="zh-CN"/>
              </w:rPr>
              <w:t>50</w:t>
            </w:r>
            <w:r>
              <w:rPr>
                <w:rFonts w:hint="eastAsia" w:ascii="宋体" w:hAnsi="宋体"/>
                <w:color w:val="auto"/>
                <w:szCs w:val="21"/>
              </w:rPr>
              <w:t>±1mm。</w:t>
            </w:r>
          </w:p>
        </w:tc>
      </w:tr>
      <w:tr w14:paraId="58BC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trPr>
        <w:tc>
          <w:tcPr>
            <w:tcW w:w="2666"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3DFACAF8">
            <w:pPr>
              <w:jc w:val="left"/>
              <w:rPr>
                <w:rFonts w:ascii="宋体" w:hAnsi="宋体"/>
                <w:color w:val="auto"/>
                <w:szCs w:val="21"/>
              </w:rPr>
            </w:pPr>
            <w:r>
              <w:rPr>
                <w:rFonts w:hint="eastAsia" w:ascii="宋体" w:hAnsi="宋体"/>
                <w:color w:val="auto"/>
                <w:szCs w:val="21"/>
              </w:rPr>
              <w:t>行距</w:t>
            </w:r>
          </w:p>
        </w:tc>
        <w:tc>
          <w:tcPr>
            <w:tcW w:w="5639"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3082B1EB">
            <w:pPr>
              <w:jc w:val="left"/>
              <w:rPr>
                <w:rFonts w:ascii="宋体" w:hAnsi="宋体"/>
                <w:color w:val="auto"/>
                <w:szCs w:val="21"/>
              </w:rPr>
            </w:pPr>
            <w:r>
              <w:rPr>
                <w:rFonts w:hint="eastAsia" w:ascii="宋体" w:hAnsi="宋体"/>
                <w:color w:val="auto"/>
                <w:szCs w:val="21"/>
                <w:lang w:eastAsia="zh-CN"/>
              </w:rPr>
              <w:t>5</w:t>
            </w:r>
            <w:r>
              <w:rPr>
                <w:rFonts w:hint="eastAsia" w:ascii="宋体" w:hAnsi="宋体"/>
                <w:color w:val="auto"/>
                <w:szCs w:val="21"/>
              </w:rPr>
              <w:t>/8英寸</w:t>
            </w:r>
          </w:p>
        </w:tc>
      </w:tr>
      <w:tr w14:paraId="3577B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trPr>
        <w:tc>
          <w:tcPr>
            <w:tcW w:w="2666"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5AED7195">
            <w:pPr>
              <w:jc w:val="left"/>
              <w:rPr>
                <w:rFonts w:ascii="宋体" w:hAnsi="宋体"/>
                <w:color w:val="auto"/>
                <w:szCs w:val="21"/>
              </w:rPr>
            </w:pPr>
            <w:r>
              <w:rPr>
                <w:rFonts w:hint="eastAsia" w:ascii="宋体" w:hAnsi="宋体"/>
                <w:color w:val="auto"/>
                <w:szCs w:val="21"/>
              </w:rPr>
              <w:t>织距</w:t>
            </w:r>
          </w:p>
        </w:tc>
        <w:tc>
          <w:tcPr>
            <w:tcW w:w="5639"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3EB72718">
            <w:pPr>
              <w:jc w:val="left"/>
              <w:rPr>
                <w:rFonts w:ascii="宋体" w:hAnsi="宋体"/>
                <w:color w:val="auto"/>
                <w:szCs w:val="21"/>
              </w:rPr>
            </w:pPr>
            <w:r>
              <w:rPr>
                <w:rFonts w:hint="eastAsia" w:ascii="宋体" w:hAnsi="宋体"/>
                <w:color w:val="auto"/>
                <w:szCs w:val="21"/>
                <w:lang w:eastAsia="zh-CN"/>
              </w:rPr>
              <w:t>16.7</w:t>
            </w:r>
            <w:r>
              <w:rPr>
                <w:rFonts w:hint="eastAsia" w:ascii="宋体" w:hAnsi="宋体"/>
                <w:color w:val="auto"/>
                <w:szCs w:val="21"/>
              </w:rPr>
              <w:t>针/10cm</w:t>
            </w:r>
          </w:p>
        </w:tc>
      </w:tr>
      <w:tr w14:paraId="2F56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trPr>
        <w:tc>
          <w:tcPr>
            <w:tcW w:w="2666"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1270A0C1">
            <w:pPr>
              <w:jc w:val="left"/>
              <w:rPr>
                <w:rFonts w:ascii="宋体" w:hAnsi="宋体"/>
                <w:color w:val="auto"/>
                <w:szCs w:val="21"/>
              </w:rPr>
            </w:pPr>
            <w:r>
              <w:rPr>
                <w:rFonts w:hint="eastAsia" w:ascii="宋体" w:hAnsi="宋体"/>
                <w:color w:val="auto"/>
                <w:szCs w:val="21"/>
              </w:rPr>
              <w:t>密度</w:t>
            </w:r>
          </w:p>
        </w:tc>
        <w:tc>
          <w:tcPr>
            <w:tcW w:w="5639"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07562EB0">
            <w:pPr>
              <w:jc w:val="left"/>
              <w:rPr>
                <w:rFonts w:ascii="宋体" w:hAnsi="宋体"/>
                <w:color w:val="auto"/>
                <w:szCs w:val="21"/>
              </w:rPr>
            </w:pPr>
            <w:r>
              <w:rPr>
                <w:rFonts w:hint="eastAsia" w:ascii="宋体" w:hAnsi="宋体"/>
                <w:color w:val="auto"/>
                <w:szCs w:val="21"/>
                <w:lang w:eastAsia="zh-CN"/>
              </w:rPr>
              <w:t>10500</w:t>
            </w:r>
            <w:r>
              <w:rPr>
                <w:rFonts w:hint="eastAsia" w:ascii="宋体" w:hAnsi="宋体"/>
                <w:color w:val="auto"/>
                <w:szCs w:val="21"/>
              </w:rPr>
              <w:t>针/㎡</w:t>
            </w:r>
          </w:p>
        </w:tc>
      </w:tr>
      <w:tr w14:paraId="4CC1D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trPr>
        <w:tc>
          <w:tcPr>
            <w:tcW w:w="2666"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684B5205">
            <w:pPr>
              <w:jc w:val="left"/>
              <w:rPr>
                <w:rFonts w:ascii="宋体" w:hAnsi="宋体"/>
                <w:color w:val="auto"/>
                <w:szCs w:val="21"/>
              </w:rPr>
            </w:pPr>
            <w:r>
              <w:rPr>
                <w:rFonts w:hint="eastAsia" w:ascii="宋体" w:hAnsi="宋体"/>
                <w:color w:val="auto"/>
                <w:szCs w:val="21"/>
              </w:rPr>
              <w:t>草丝厚度</w:t>
            </w:r>
          </w:p>
        </w:tc>
        <w:tc>
          <w:tcPr>
            <w:tcW w:w="5639"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0B662C1E">
            <w:pPr>
              <w:jc w:val="left"/>
              <w:rPr>
                <w:rFonts w:ascii="宋体" w:hAnsi="宋体"/>
                <w:color w:val="auto"/>
                <w:szCs w:val="21"/>
              </w:rPr>
            </w:pPr>
            <w:r>
              <w:rPr>
                <w:rFonts w:hint="eastAsia" w:ascii="宋体" w:hAnsi="宋体"/>
                <w:color w:val="auto"/>
                <w:szCs w:val="21"/>
              </w:rPr>
              <w:t>直单丝2</w:t>
            </w:r>
            <w:r>
              <w:rPr>
                <w:rFonts w:ascii="宋体" w:hAnsi="宋体"/>
                <w:color w:val="auto"/>
                <w:szCs w:val="21"/>
              </w:rPr>
              <w:t>4</w:t>
            </w:r>
            <w:r>
              <w:rPr>
                <w:rFonts w:hint="eastAsia" w:ascii="宋体" w:hAnsi="宋体"/>
                <w:color w:val="auto"/>
                <w:szCs w:val="21"/>
              </w:rPr>
              <w:t>0um±10um</w:t>
            </w:r>
          </w:p>
        </w:tc>
      </w:tr>
      <w:tr w14:paraId="175A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trPr>
        <w:tc>
          <w:tcPr>
            <w:tcW w:w="2666"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060E3754">
            <w:pPr>
              <w:jc w:val="left"/>
              <w:rPr>
                <w:rFonts w:ascii="宋体" w:hAnsi="宋体"/>
                <w:color w:val="auto"/>
                <w:szCs w:val="21"/>
              </w:rPr>
            </w:pPr>
            <w:r>
              <w:rPr>
                <w:rFonts w:hint="eastAsia" w:ascii="宋体" w:hAnsi="宋体"/>
                <w:color w:val="auto"/>
                <w:szCs w:val="21"/>
              </w:rPr>
              <w:t>草丝宽度</w:t>
            </w:r>
          </w:p>
        </w:tc>
        <w:tc>
          <w:tcPr>
            <w:tcW w:w="5639"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00676B0E">
            <w:pPr>
              <w:jc w:val="left"/>
              <w:rPr>
                <w:rFonts w:ascii="宋体" w:hAnsi="宋体"/>
                <w:color w:val="auto"/>
                <w:szCs w:val="21"/>
              </w:rPr>
            </w:pPr>
            <w:r>
              <w:rPr>
                <w:rFonts w:hint="eastAsia" w:ascii="宋体" w:hAnsi="宋体"/>
                <w:color w:val="auto"/>
                <w:szCs w:val="21"/>
              </w:rPr>
              <w:t>直单丝1.</w:t>
            </w:r>
            <w:r>
              <w:rPr>
                <w:rFonts w:ascii="宋体" w:hAnsi="宋体"/>
                <w:color w:val="auto"/>
                <w:szCs w:val="21"/>
              </w:rPr>
              <w:t>35</w:t>
            </w:r>
            <w:r>
              <w:rPr>
                <w:rFonts w:hint="eastAsia" w:ascii="宋体" w:hAnsi="宋体"/>
                <w:color w:val="auto"/>
                <w:szCs w:val="21"/>
              </w:rPr>
              <w:t>mm±0.</w:t>
            </w:r>
            <w:r>
              <w:rPr>
                <w:rFonts w:ascii="宋体" w:hAnsi="宋体"/>
                <w:color w:val="auto"/>
                <w:szCs w:val="21"/>
              </w:rPr>
              <w:t>1</w:t>
            </w:r>
            <w:r>
              <w:rPr>
                <w:rFonts w:hint="eastAsia" w:ascii="宋体" w:hAnsi="宋体"/>
                <w:color w:val="auto"/>
                <w:szCs w:val="21"/>
              </w:rPr>
              <w:t>mm</w:t>
            </w:r>
          </w:p>
        </w:tc>
      </w:tr>
      <w:tr w14:paraId="1253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trPr>
        <w:tc>
          <w:tcPr>
            <w:tcW w:w="2666"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08177DFE">
            <w:pPr>
              <w:jc w:val="left"/>
              <w:rPr>
                <w:rFonts w:ascii="宋体" w:hAnsi="宋体"/>
                <w:color w:val="auto"/>
                <w:szCs w:val="21"/>
              </w:rPr>
            </w:pPr>
            <w:r>
              <w:rPr>
                <w:rFonts w:hint="eastAsia" w:ascii="宋体" w:hAnsi="宋体"/>
                <w:color w:val="auto"/>
                <w:szCs w:val="21"/>
              </w:rPr>
              <w:t>底布材质</w:t>
            </w:r>
          </w:p>
        </w:tc>
        <w:tc>
          <w:tcPr>
            <w:tcW w:w="5639"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4B6573C1">
            <w:pPr>
              <w:jc w:val="left"/>
              <w:rPr>
                <w:rFonts w:ascii="宋体" w:hAnsi="宋体"/>
                <w:color w:val="auto"/>
                <w:szCs w:val="21"/>
              </w:rPr>
            </w:pPr>
            <w:r>
              <w:rPr>
                <w:rFonts w:hint="eastAsia" w:ascii="宋体" w:hAnsi="宋体"/>
                <w:color w:val="auto"/>
                <w:szCs w:val="21"/>
              </w:rPr>
              <w:t>双层</w:t>
            </w:r>
          </w:p>
        </w:tc>
      </w:tr>
      <w:tr w14:paraId="7A820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trPr>
        <w:tc>
          <w:tcPr>
            <w:tcW w:w="2666"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353A99F0">
            <w:pPr>
              <w:jc w:val="left"/>
              <w:rPr>
                <w:rFonts w:ascii="宋体" w:hAnsi="宋体"/>
                <w:color w:val="auto"/>
                <w:szCs w:val="21"/>
              </w:rPr>
            </w:pPr>
            <w:r>
              <w:rPr>
                <w:rFonts w:hint="eastAsia" w:ascii="宋体" w:hAnsi="宋体"/>
                <w:color w:val="auto"/>
                <w:szCs w:val="21"/>
              </w:rPr>
              <w:t>背胶</w:t>
            </w:r>
          </w:p>
        </w:tc>
        <w:tc>
          <w:tcPr>
            <w:tcW w:w="5639"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5EDE1482">
            <w:pPr>
              <w:jc w:val="left"/>
              <w:rPr>
                <w:rFonts w:ascii="宋体" w:hAnsi="宋体"/>
                <w:color w:val="auto"/>
                <w:szCs w:val="21"/>
              </w:rPr>
            </w:pPr>
            <w:r>
              <w:rPr>
                <w:rFonts w:hint="eastAsia" w:ascii="宋体" w:hAnsi="宋体"/>
                <w:color w:val="auto"/>
                <w:szCs w:val="21"/>
              </w:rPr>
              <w:t>丁苯乳胶（必须是机器通过高温渗透）</w:t>
            </w:r>
          </w:p>
        </w:tc>
      </w:tr>
      <w:tr w14:paraId="31297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trPr>
        <w:tc>
          <w:tcPr>
            <w:tcW w:w="2666"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34EDCE80">
            <w:pPr>
              <w:jc w:val="left"/>
              <w:rPr>
                <w:rFonts w:ascii="宋体" w:hAnsi="宋体"/>
                <w:color w:val="auto"/>
                <w:szCs w:val="21"/>
              </w:rPr>
            </w:pPr>
            <w:r>
              <w:rPr>
                <w:rFonts w:hint="eastAsia" w:ascii="宋体" w:hAnsi="宋体"/>
                <w:color w:val="auto"/>
                <w:szCs w:val="21"/>
              </w:rPr>
              <w:t>卷宽</w:t>
            </w:r>
          </w:p>
        </w:tc>
        <w:tc>
          <w:tcPr>
            <w:tcW w:w="5639"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3C743CDA">
            <w:pPr>
              <w:jc w:val="left"/>
              <w:rPr>
                <w:rFonts w:ascii="宋体" w:hAnsi="宋体"/>
                <w:color w:val="auto"/>
                <w:szCs w:val="21"/>
              </w:rPr>
            </w:pPr>
            <w:r>
              <w:rPr>
                <w:rFonts w:hint="eastAsia" w:ascii="宋体" w:hAnsi="宋体"/>
                <w:color w:val="auto"/>
                <w:szCs w:val="21"/>
              </w:rPr>
              <w:t>4米（卷长：按场地实际需要）</w:t>
            </w:r>
          </w:p>
        </w:tc>
      </w:tr>
      <w:tr w14:paraId="76312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trPr>
        <w:tc>
          <w:tcPr>
            <w:tcW w:w="2666"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01605F42">
            <w:pPr>
              <w:jc w:val="left"/>
              <w:rPr>
                <w:rFonts w:ascii="宋体" w:hAnsi="宋体"/>
                <w:color w:val="auto"/>
                <w:szCs w:val="21"/>
              </w:rPr>
            </w:pPr>
            <w:r>
              <w:rPr>
                <w:rFonts w:hint="eastAsia" w:ascii="宋体" w:hAnsi="宋体"/>
                <w:color w:val="auto"/>
                <w:szCs w:val="21"/>
              </w:rPr>
              <w:t>环保要求</w:t>
            </w:r>
          </w:p>
        </w:tc>
        <w:tc>
          <w:tcPr>
            <w:tcW w:w="5639"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197AB8D2">
            <w:pPr>
              <w:jc w:val="left"/>
              <w:rPr>
                <w:rFonts w:ascii="宋体" w:hAnsi="宋体"/>
                <w:color w:val="auto"/>
                <w:szCs w:val="21"/>
              </w:rPr>
            </w:pPr>
            <w:r>
              <w:rPr>
                <w:rFonts w:hint="eastAsia" w:ascii="宋体" w:hAnsi="宋体"/>
                <w:color w:val="auto"/>
                <w:szCs w:val="21"/>
              </w:rPr>
              <w:t>持久性有机物合格、符合G</w:t>
            </w:r>
            <w:r>
              <w:rPr>
                <w:rFonts w:ascii="宋体" w:hAnsi="宋体"/>
                <w:color w:val="auto"/>
                <w:szCs w:val="21"/>
              </w:rPr>
              <w:t>B36246-2018</w:t>
            </w:r>
          </w:p>
        </w:tc>
      </w:tr>
    </w:tbl>
    <w:p w14:paraId="328B4CD8">
      <w:pPr>
        <w:pStyle w:val="8"/>
        <w:keepNext w:val="0"/>
        <w:keepLines w:val="0"/>
        <w:widowControl/>
        <w:numPr>
          <w:ilvl w:val="0"/>
          <w:numId w:val="0"/>
        </w:numPr>
        <w:suppressLineNumbers w:val="0"/>
        <w:spacing w:line="360" w:lineRule="atLeast"/>
        <w:ind w:right="0" w:rightChars="0"/>
        <w:textAlignment w:val="baseline"/>
        <w:rPr>
          <w:rStyle w:val="12"/>
          <w:rFonts w:hint="default" w:ascii="宋体" w:hAnsi="宋体" w:cs="宋体"/>
          <w:b/>
          <w:bCs/>
          <w:color w:val="auto"/>
          <w:spacing w:val="0"/>
          <w:sz w:val="28"/>
          <w:szCs w:val="28"/>
          <w:vertAlign w:val="baseline"/>
          <w:lang w:val="en-US" w:eastAsia="zh-CN"/>
        </w:rPr>
      </w:pPr>
    </w:p>
    <w:p w14:paraId="2FBC97E7">
      <w:pPr>
        <w:pStyle w:val="8"/>
        <w:widowControl/>
        <w:spacing w:line="96" w:lineRule="atLeast"/>
        <w:rPr>
          <w:rFonts w:ascii="宋体" w:hAnsi="宋体"/>
          <w:b/>
          <w:color w:val="auto"/>
          <w:sz w:val="21"/>
          <w:szCs w:val="21"/>
        </w:rPr>
      </w:pPr>
      <w:r>
        <w:rPr>
          <w:rFonts w:hint="eastAsia" w:ascii="宋体" w:hAnsi="宋体"/>
          <w:b/>
          <w:color w:val="auto"/>
          <w:sz w:val="21"/>
          <w:szCs w:val="21"/>
        </w:rPr>
        <w:t>人造草坪化学性能应满足GB36246-2018《中小学合成材料面层运动场地》下表内容</w:t>
      </w:r>
    </w:p>
    <w:tbl>
      <w:tblPr>
        <w:tblStyle w:val="9"/>
        <w:tblW w:w="4818" w:type="pct"/>
        <w:tblInd w:w="1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11"/>
        <w:gridCol w:w="2142"/>
        <w:gridCol w:w="2140"/>
        <w:gridCol w:w="2019"/>
      </w:tblGrid>
      <w:tr w14:paraId="6A037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53" w:type="dxa"/>
            <w:gridSpan w:val="2"/>
            <w:tcBorders>
              <w:top w:val="single" w:color="000000" w:sz="4" w:space="0"/>
              <w:left w:val="single" w:color="000000" w:sz="4" w:space="0"/>
              <w:bottom w:val="single" w:color="000000" w:sz="4" w:space="0"/>
              <w:right w:val="single" w:color="000000" w:sz="4" w:space="0"/>
            </w:tcBorders>
            <w:vAlign w:val="center"/>
          </w:tcPr>
          <w:p w14:paraId="476D0AB4">
            <w:pPr>
              <w:pStyle w:val="8"/>
              <w:widowControl/>
              <w:spacing w:line="96" w:lineRule="atLeast"/>
              <w:rPr>
                <w:rFonts w:ascii="宋体" w:hAnsi="宋体"/>
                <w:color w:val="auto"/>
                <w:sz w:val="21"/>
                <w:szCs w:val="21"/>
              </w:rPr>
            </w:pPr>
            <w:r>
              <w:rPr>
                <w:rFonts w:hint="eastAsia" w:ascii="宋体" w:hAnsi="宋体"/>
                <w:color w:val="auto"/>
                <w:sz w:val="21"/>
                <w:szCs w:val="21"/>
              </w:rPr>
              <w:t>检验检测项目</w:t>
            </w:r>
          </w:p>
        </w:tc>
        <w:tc>
          <w:tcPr>
            <w:tcW w:w="2140" w:type="dxa"/>
            <w:tcBorders>
              <w:top w:val="single" w:color="000000" w:sz="4" w:space="0"/>
              <w:left w:val="single" w:color="000000" w:sz="4" w:space="0"/>
              <w:bottom w:val="single" w:color="000000" w:sz="4" w:space="0"/>
              <w:right w:val="single" w:color="000000" w:sz="4" w:space="0"/>
            </w:tcBorders>
            <w:vAlign w:val="center"/>
          </w:tcPr>
          <w:p w14:paraId="65C02B69">
            <w:pPr>
              <w:pStyle w:val="8"/>
              <w:widowControl/>
              <w:spacing w:line="96" w:lineRule="atLeast"/>
              <w:rPr>
                <w:rFonts w:ascii="宋体" w:hAnsi="宋体"/>
                <w:color w:val="auto"/>
                <w:sz w:val="21"/>
                <w:szCs w:val="21"/>
              </w:rPr>
            </w:pPr>
            <w:r>
              <w:rPr>
                <w:rFonts w:hint="eastAsia" w:ascii="宋体" w:hAnsi="宋体"/>
                <w:color w:val="auto"/>
                <w:sz w:val="21"/>
                <w:szCs w:val="21"/>
              </w:rPr>
              <w:t>单位</w:t>
            </w:r>
          </w:p>
        </w:tc>
        <w:tc>
          <w:tcPr>
            <w:tcW w:w="2019" w:type="dxa"/>
            <w:tcBorders>
              <w:top w:val="single" w:color="000000" w:sz="4" w:space="0"/>
              <w:left w:val="single" w:color="000000" w:sz="4" w:space="0"/>
              <w:bottom w:val="single" w:color="000000" w:sz="4" w:space="0"/>
              <w:right w:val="single" w:color="000000" w:sz="4" w:space="0"/>
            </w:tcBorders>
            <w:vAlign w:val="center"/>
          </w:tcPr>
          <w:p w14:paraId="4D5A1A02">
            <w:pPr>
              <w:pStyle w:val="8"/>
              <w:widowControl/>
              <w:spacing w:line="96" w:lineRule="atLeast"/>
              <w:rPr>
                <w:rFonts w:ascii="宋体" w:hAnsi="宋体"/>
                <w:color w:val="auto"/>
                <w:sz w:val="21"/>
                <w:szCs w:val="21"/>
              </w:rPr>
            </w:pPr>
            <w:r>
              <w:rPr>
                <w:rFonts w:hint="eastAsia" w:ascii="宋体" w:hAnsi="宋体"/>
                <w:color w:val="auto"/>
                <w:sz w:val="21"/>
                <w:szCs w:val="21"/>
              </w:rPr>
              <w:t>技术要求</w:t>
            </w:r>
          </w:p>
        </w:tc>
      </w:tr>
      <w:tr w14:paraId="5D42A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1" w:type="dxa"/>
            <w:vMerge w:val="restart"/>
            <w:tcBorders>
              <w:top w:val="single" w:color="000000" w:sz="4" w:space="0"/>
              <w:left w:val="single" w:color="000000" w:sz="4" w:space="0"/>
              <w:bottom w:val="single" w:color="000000" w:sz="4" w:space="0"/>
              <w:right w:val="single" w:color="000000" w:sz="4" w:space="0"/>
            </w:tcBorders>
            <w:vAlign w:val="center"/>
          </w:tcPr>
          <w:p w14:paraId="71027E1E">
            <w:pPr>
              <w:pStyle w:val="8"/>
              <w:widowControl/>
              <w:spacing w:line="96" w:lineRule="atLeast"/>
              <w:rPr>
                <w:rFonts w:ascii="宋体" w:hAnsi="宋体"/>
                <w:color w:val="auto"/>
                <w:sz w:val="21"/>
                <w:szCs w:val="21"/>
              </w:rPr>
            </w:pPr>
            <w:r>
              <w:rPr>
                <w:rFonts w:hint="eastAsia" w:ascii="宋体" w:hAnsi="宋体"/>
                <w:color w:val="auto"/>
                <w:sz w:val="21"/>
                <w:szCs w:val="21"/>
              </w:rPr>
              <w:t>有害物质含量</w:t>
            </w:r>
          </w:p>
        </w:tc>
        <w:tc>
          <w:tcPr>
            <w:tcW w:w="2142" w:type="dxa"/>
            <w:tcBorders>
              <w:top w:val="single" w:color="000000" w:sz="4" w:space="0"/>
              <w:left w:val="single" w:color="000000" w:sz="4" w:space="0"/>
              <w:bottom w:val="single" w:color="000000" w:sz="4" w:space="0"/>
              <w:right w:val="single" w:color="000000" w:sz="4" w:space="0"/>
            </w:tcBorders>
          </w:tcPr>
          <w:p w14:paraId="49D9946B">
            <w:pPr>
              <w:pStyle w:val="8"/>
              <w:widowControl/>
              <w:spacing w:line="96" w:lineRule="atLeast"/>
              <w:rPr>
                <w:rFonts w:ascii="宋体" w:hAnsi="宋体"/>
                <w:color w:val="auto"/>
                <w:sz w:val="21"/>
                <w:szCs w:val="21"/>
              </w:rPr>
            </w:pPr>
            <w:r>
              <w:rPr>
                <w:rFonts w:hint="eastAsia" w:ascii="宋体" w:hAnsi="宋体"/>
                <w:color w:val="auto"/>
                <w:sz w:val="21"/>
                <w:szCs w:val="21"/>
              </w:rPr>
              <w:t>3种邻苯二甲酸酯类化合物（DBP、BBP、DEHP）总和</w:t>
            </w:r>
          </w:p>
        </w:tc>
        <w:tc>
          <w:tcPr>
            <w:tcW w:w="2140" w:type="dxa"/>
            <w:vMerge w:val="restart"/>
            <w:tcBorders>
              <w:top w:val="single" w:color="000000" w:sz="4" w:space="0"/>
              <w:left w:val="single" w:color="000000" w:sz="4" w:space="0"/>
              <w:bottom w:val="single" w:color="000000" w:sz="4" w:space="0"/>
              <w:right w:val="single" w:color="000000" w:sz="4" w:space="0"/>
            </w:tcBorders>
            <w:vAlign w:val="center"/>
          </w:tcPr>
          <w:p w14:paraId="0DB230EC">
            <w:pPr>
              <w:pStyle w:val="8"/>
              <w:widowControl/>
              <w:spacing w:line="96" w:lineRule="atLeast"/>
              <w:rPr>
                <w:rFonts w:ascii="宋体" w:hAnsi="宋体"/>
                <w:color w:val="auto"/>
                <w:sz w:val="21"/>
                <w:szCs w:val="21"/>
              </w:rPr>
            </w:pPr>
            <w:r>
              <w:rPr>
                <w:rFonts w:hint="eastAsia" w:ascii="宋体" w:hAnsi="宋体"/>
                <w:color w:val="auto"/>
                <w:sz w:val="21"/>
                <w:szCs w:val="21"/>
              </w:rPr>
              <w:t>g/kg</w:t>
            </w:r>
          </w:p>
        </w:tc>
        <w:tc>
          <w:tcPr>
            <w:tcW w:w="2019" w:type="dxa"/>
            <w:tcBorders>
              <w:top w:val="single" w:color="000000" w:sz="4" w:space="0"/>
              <w:left w:val="single" w:color="000000" w:sz="4" w:space="0"/>
              <w:bottom w:val="single" w:color="000000" w:sz="4" w:space="0"/>
              <w:right w:val="single" w:color="000000" w:sz="4" w:space="0"/>
            </w:tcBorders>
            <w:vAlign w:val="center"/>
          </w:tcPr>
          <w:p w14:paraId="7882849E">
            <w:pPr>
              <w:pStyle w:val="8"/>
              <w:widowControl/>
              <w:spacing w:line="96" w:lineRule="atLeast"/>
              <w:rPr>
                <w:rFonts w:ascii="宋体" w:hAnsi="宋体"/>
                <w:color w:val="auto"/>
                <w:sz w:val="21"/>
                <w:szCs w:val="21"/>
              </w:rPr>
            </w:pPr>
            <w:r>
              <w:rPr>
                <w:rFonts w:hint="eastAsia" w:ascii="宋体" w:hAnsi="宋体"/>
                <w:color w:val="auto"/>
                <w:sz w:val="21"/>
                <w:szCs w:val="21"/>
              </w:rPr>
              <w:t>≤1.0</w:t>
            </w:r>
          </w:p>
        </w:tc>
      </w:tr>
      <w:tr w14:paraId="6E7D1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1" w:type="dxa"/>
            <w:vMerge w:val="continue"/>
            <w:tcBorders>
              <w:top w:val="single" w:color="000000" w:sz="4" w:space="0"/>
              <w:left w:val="single" w:color="000000" w:sz="4" w:space="0"/>
              <w:bottom w:val="single" w:color="000000" w:sz="4" w:space="0"/>
              <w:right w:val="single" w:color="000000" w:sz="4" w:space="0"/>
            </w:tcBorders>
            <w:vAlign w:val="center"/>
          </w:tcPr>
          <w:p w14:paraId="6B465951">
            <w:pPr>
              <w:rPr>
                <w:rFonts w:ascii="宋体" w:hAnsi="宋体"/>
                <w:color w:val="auto"/>
                <w:szCs w:val="21"/>
              </w:rPr>
            </w:pPr>
          </w:p>
        </w:tc>
        <w:tc>
          <w:tcPr>
            <w:tcW w:w="2142" w:type="dxa"/>
            <w:tcBorders>
              <w:top w:val="single" w:color="000000" w:sz="4" w:space="0"/>
              <w:left w:val="single" w:color="000000" w:sz="4" w:space="0"/>
              <w:bottom w:val="single" w:color="000000" w:sz="4" w:space="0"/>
              <w:right w:val="single" w:color="000000" w:sz="4" w:space="0"/>
            </w:tcBorders>
          </w:tcPr>
          <w:p w14:paraId="1E485BA5">
            <w:pPr>
              <w:pStyle w:val="8"/>
              <w:widowControl/>
              <w:spacing w:line="96" w:lineRule="atLeast"/>
              <w:rPr>
                <w:rFonts w:ascii="宋体" w:hAnsi="宋体"/>
                <w:color w:val="auto"/>
                <w:sz w:val="21"/>
                <w:szCs w:val="21"/>
              </w:rPr>
            </w:pPr>
            <w:r>
              <w:rPr>
                <w:rFonts w:hint="eastAsia" w:ascii="宋体" w:hAnsi="宋体"/>
                <w:color w:val="auto"/>
                <w:sz w:val="21"/>
                <w:szCs w:val="21"/>
              </w:rPr>
              <w:t>3种邻苯二甲酸酯类化合物（DNOP、DINP、DIDP）总和</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14:paraId="1EFA6DCA">
            <w:pPr>
              <w:rPr>
                <w:rFonts w:ascii="宋体" w:hAnsi="宋体"/>
                <w:color w:val="auto"/>
                <w:szCs w:val="21"/>
              </w:rPr>
            </w:pPr>
          </w:p>
        </w:tc>
        <w:tc>
          <w:tcPr>
            <w:tcW w:w="2019" w:type="dxa"/>
            <w:tcBorders>
              <w:top w:val="single" w:color="000000" w:sz="4" w:space="0"/>
              <w:left w:val="single" w:color="000000" w:sz="4" w:space="0"/>
              <w:bottom w:val="single" w:color="000000" w:sz="4" w:space="0"/>
              <w:right w:val="single" w:color="000000" w:sz="4" w:space="0"/>
            </w:tcBorders>
            <w:vAlign w:val="center"/>
          </w:tcPr>
          <w:p w14:paraId="69E56001">
            <w:pPr>
              <w:pStyle w:val="8"/>
              <w:widowControl/>
              <w:spacing w:line="96" w:lineRule="atLeast"/>
              <w:rPr>
                <w:rFonts w:ascii="宋体" w:hAnsi="宋体"/>
                <w:color w:val="auto"/>
                <w:sz w:val="21"/>
                <w:szCs w:val="21"/>
              </w:rPr>
            </w:pPr>
            <w:r>
              <w:rPr>
                <w:rFonts w:hint="eastAsia" w:ascii="宋体" w:hAnsi="宋体"/>
                <w:color w:val="auto"/>
                <w:sz w:val="21"/>
                <w:szCs w:val="21"/>
              </w:rPr>
              <w:t>≤1.0</w:t>
            </w:r>
          </w:p>
        </w:tc>
      </w:tr>
      <w:tr w14:paraId="2C818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1" w:type="dxa"/>
            <w:vMerge w:val="continue"/>
            <w:tcBorders>
              <w:top w:val="single" w:color="000000" w:sz="4" w:space="0"/>
              <w:left w:val="single" w:color="000000" w:sz="4" w:space="0"/>
              <w:bottom w:val="single" w:color="000000" w:sz="4" w:space="0"/>
              <w:right w:val="single" w:color="000000" w:sz="4" w:space="0"/>
            </w:tcBorders>
            <w:vAlign w:val="center"/>
          </w:tcPr>
          <w:p w14:paraId="41B1132B">
            <w:pPr>
              <w:rPr>
                <w:rFonts w:ascii="宋体" w:hAnsi="宋体"/>
                <w:color w:val="auto"/>
                <w:szCs w:val="21"/>
              </w:rPr>
            </w:pPr>
          </w:p>
        </w:tc>
        <w:tc>
          <w:tcPr>
            <w:tcW w:w="2142" w:type="dxa"/>
            <w:tcBorders>
              <w:top w:val="single" w:color="000000" w:sz="4" w:space="0"/>
              <w:left w:val="single" w:color="000000" w:sz="4" w:space="0"/>
              <w:bottom w:val="single" w:color="000000" w:sz="4" w:space="0"/>
              <w:right w:val="single" w:color="000000" w:sz="4" w:space="0"/>
            </w:tcBorders>
          </w:tcPr>
          <w:p w14:paraId="217C08A7">
            <w:pPr>
              <w:pStyle w:val="8"/>
              <w:widowControl/>
              <w:spacing w:line="96" w:lineRule="atLeast"/>
              <w:rPr>
                <w:rFonts w:ascii="宋体" w:hAnsi="宋体"/>
                <w:color w:val="auto"/>
                <w:sz w:val="21"/>
                <w:szCs w:val="21"/>
              </w:rPr>
            </w:pPr>
            <w:r>
              <w:rPr>
                <w:rFonts w:hint="eastAsia" w:ascii="宋体" w:hAnsi="宋体"/>
                <w:color w:val="auto"/>
                <w:sz w:val="21"/>
                <w:szCs w:val="21"/>
              </w:rPr>
              <w:t>18种多环芳烃总和</w:t>
            </w:r>
          </w:p>
        </w:tc>
        <w:tc>
          <w:tcPr>
            <w:tcW w:w="2140" w:type="dxa"/>
            <w:vMerge w:val="restart"/>
            <w:tcBorders>
              <w:top w:val="single" w:color="000000" w:sz="4" w:space="0"/>
              <w:left w:val="single" w:color="000000" w:sz="4" w:space="0"/>
              <w:bottom w:val="single" w:color="000000" w:sz="4" w:space="0"/>
              <w:right w:val="single" w:color="000000" w:sz="4" w:space="0"/>
            </w:tcBorders>
            <w:vAlign w:val="center"/>
          </w:tcPr>
          <w:p w14:paraId="1EE4704D">
            <w:pPr>
              <w:pStyle w:val="8"/>
              <w:widowControl/>
              <w:spacing w:line="96" w:lineRule="atLeast"/>
              <w:rPr>
                <w:rFonts w:ascii="宋体" w:hAnsi="宋体"/>
                <w:color w:val="auto"/>
                <w:sz w:val="21"/>
                <w:szCs w:val="21"/>
              </w:rPr>
            </w:pPr>
            <w:r>
              <w:rPr>
                <w:rFonts w:hint="eastAsia" w:ascii="宋体" w:hAnsi="宋体"/>
                <w:color w:val="auto"/>
                <w:sz w:val="21"/>
                <w:szCs w:val="21"/>
              </w:rPr>
              <w:t>mg/kg</w:t>
            </w:r>
          </w:p>
        </w:tc>
        <w:tc>
          <w:tcPr>
            <w:tcW w:w="2019" w:type="dxa"/>
            <w:tcBorders>
              <w:top w:val="single" w:color="000000" w:sz="4" w:space="0"/>
              <w:left w:val="single" w:color="000000" w:sz="4" w:space="0"/>
              <w:bottom w:val="single" w:color="000000" w:sz="4" w:space="0"/>
              <w:right w:val="single" w:color="000000" w:sz="4" w:space="0"/>
            </w:tcBorders>
            <w:vAlign w:val="center"/>
          </w:tcPr>
          <w:p w14:paraId="0289EA67">
            <w:pPr>
              <w:pStyle w:val="8"/>
              <w:widowControl/>
              <w:spacing w:line="96" w:lineRule="atLeast"/>
              <w:rPr>
                <w:rFonts w:ascii="宋体" w:hAnsi="宋体"/>
                <w:color w:val="auto"/>
                <w:sz w:val="21"/>
                <w:szCs w:val="21"/>
              </w:rPr>
            </w:pPr>
            <w:r>
              <w:rPr>
                <w:rFonts w:hint="eastAsia" w:ascii="宋体" w:hAnsi="宋体"/>
                <w:color w:val="auto"/>
                <w:sz w:val="21"/>
                <w:szCs w:val="21"/>
              </w:rPr>
              <w:t>≤50</w:t>
            </w:r>
          </w:p>
        </w:tc>
      </w:tr>
      <w:tr w14:paraId="24BF6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1" w:type="dxa"/>
            <w:vMerge w:val="continue"/>
            <w:tcBorders>
              <w:top w:val="single" w:color="000000" w:sz="4" w:space="0"/>
              <w:left w:val="single" w:color="000000" w:sz="4" w:space="0"/>
              <w:bottom w:val="single" w:color="000000" w:sz="4" w:space="0"/>
              <w:right w:val="single" w:color="000000" w:sz="4" w:space="0"/>
            </w:tcBorders>
            <w:vAlign w:val="center"/>
          </w:tcPr>
          <w:p w14:paraId="3E93A280">
            <w:pPr>
              <w:rPr>
                <w:rFonts w:ascii="宋体" w:hAnsi="宋体"/>
                <w:color w:val="auto"/>
                <w:szCs w:val="21"/>
              </w:rPr>
            </w:pPr>
          </w:p>
        </w:tc>
        <w:tc>
          <w:tcPr>
            <w:tcW w:w="2142" w:type="dxa"/>
            <w:tcBorders>
              <w:top w:val="single" w:color="000000" w:sz="4" w:space="0"/>
              <w:left w:val="single" w:color="000000" w:sz="4" w:space="0"/>
              <w:bottom w:val="single" w:color="000000" w:sz="4" w:space="0"/>
              <w:right w:val="single" w:color="000000" w:sz="4" w:space="0"/>
            </w:tcBorders>
          </w:tcPr>
          <w:p w14:paraId="4663D734">
            <w:pPr>
              <w:pStyle w:val="8"/>
              <w:widowControl/>
              <w:spacing w:line="96" w:lineRule="atLeast"/>
              <w:rPr>
                <w:rFonts w:ascii="宋体" w:hAnsi="宋体"/>
                <w:color w:val="auto"/>
                <w:sz w:val="21"/>
                <w:szCs w:val="21"/>
              </w:rPr>
            </w:pPr>
            <w:r>
              <w:rPr>
                <w:rFonts w:hint="eastAsia" w:ascii="宋体" w:hAnsi="宋体"/>
                <w:color w:val="auto"/>
                <w:sz w:val="21"/>
                <w:szCs w:val="21"/>
              </w:rPr>
              <w:t>苯并[a]芘</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14:paraId="19F424E0">
            <w:pPr>
              <w:rPr>
                <w:rFonts w:ascii="宋体" w:hAnsi="宋体"/>
                <w:color w:val="auto"/>
                <w:szCs w:val="21"/>
              </w:rPr>
            </w:pPr>
          </w:p>
        </w:tc>
        <w:tc>
          <w:tcPr>
            <w:tcW w:w="2019" w:type="dxa"/>
            <w:tcBorders>
              <w:top w:val="single" w:color="000000" w:sz="4" w:space="0"/>
              <w:left w:val="single" w:color="000000" w:sz="4" w:space="0"/>
              <w:bottom w:val="single" w:color="000000" w:sz="4" w:space="0"/>
              <w:right w:val="single" w:color="000000" w:sz="4" w:space="0"/>
            </w:tcBorders>
            <w:vAlign w:val="center"/>
          </w:tcPr>
          <w:p w14:paraId="3B27FDB5">
            <w:pPr>
              <w:pStyle w:val="8"/>
              <w:widowControl/>
              <w:spacing w:line="96" w:lineRule="atLeast"/>
              <w:rPr>
                <w:rFonts w:ascii="宋体" w:hAnsi="宋体"/>
                <w:color w:val="auto"/>
                <w:sz w:val="21"/>
                <w:szCs w:val="21"/>
              </w:rPr>
            </w:pPr>
            <w:r>
              <w:rPr>
                <w:rFonts w:hint="eastAsia" w:ascii="宋体" w:hAnsi="宋体"/>
                <w:color w:val="auto"/>
                <w:sz w:val="21"/>
                <w:szCs w:val="21"/>
              </w:rPr>
              <w:t>≤1</w:t>
            </w:r>
          </w:p>
        </w:tc>
      </w:tr>
      <w:tr w14:paraId="71C6F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1" w:type="dxa"/>
            <w:vMerge w:val="continue"/>
            <w:tcBorders>
              <w:top w:val="single" w:color="000000" w:sz="4" w:space="0"/>
              <w:left w:val="single" w:color="000000" w:sz="4" w:space="0"/>
              <w:bottom w:val="single" w:color="000000" w:sz="4" w:space="0"/>
              <w:right w:val="single" w:color="000000" w:sz="4" w:space="0"/>
            </w:tcBorders>
            <w:vAlign w:val="center"/>
          </w:tcPr>
          <w:p w14:paraId="7E34C7E9">
            <w:pPr>
              <w:rPr>
                <w:rFonts w:ascii="宋体" w:hAnsi="宋体"/>
                <w:color w:val="auto"/>
                <w:szCs w:val="21"/>
              </w:rPr>
            </w:pPr>
          </w:p>
        </w:tc>
        <w:tc>
          <w:tcPr>
            <w:tcW w:w="2142" w:type="dxa"/>
            <w:tcBorders>
              <w:top w:val="single" w:color="000000" w:sz="4" w:space="0"/>
              <w:left w:val="single" w:color="000000" w:sz="4" w:space="0"/>
              <w:bottom w:val="single" w:color="000000" w:sz="4" w:space="0"/>
              <w:right w:val="single" w:color="000000" w:sz="4" w:space="0"/>
            </w:tcBorders>
          </w:tcPr>
          <w:p w14:paraId="49120157">
            <w:pPr>
              <w:pStyle w:val="8"/>
              <w:widowControl/>
              <w:spacing w:line="96" w:lineRule="atLeast"/>
              <w:rPr>
                <w:rFonts w:ascii="宋体" w:hAnsi="宋体"/>
                <w:color w:val="auto"/>
                <w:sz w:val="21"/>
                <w:szCs w:val="21"/>
              </w:rPr>
            </w:pPr>
            <w:r>
              <w:rPr>
                <w:rFonts w:hint="eastAsia" w:ascii="宋体" w:hAnsi="宋体"/>
                <w:color w:val="auto"/>
                <w:sz w:val="21"/>
                <w:szCs w:val="21"/>
              </w:rPr>
              <w:t>可溶性铅</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14:paraId="03C74814">
            <w:pPr>
              <w:rPr>
                <w:rFonts w:ascii="宋体" w:hAnsi="宋体"/>
                <w:color w:val="auto"/>
                <w:szCs w:val="21"/>
              </w:rPr>
            </w:pPr>
          </w:p>
        </w:tc>
        <w:tc>
          <w:tcPr>
            <w:tcW w:w="2019" w:type="dxa"/>
            <w:tcBorders>
              <w:top w:val="single" w:color="000000" w:sz="4" w:space="0"/>
              <w:left w:val="single" w:color="000000" w:sz="4" w:space="0"/>
              <w:bottom w:val="single" w:color="000000" w:sz="4" w:space="0"/>
              <w:right w:val="single" w:color="000000" w:sz="4" w:space="0"/>
            </w:tcBorders>
            <w:vAlign w:val="center"/>
          </w:tcPr>
          <w:p w14:paraId="753DDB11">
            <w:pPr>
              <w:pStyle w:val="8"/>
              <w:widowControl/>
              <w:spacing w:line="96" w:lineRule="atLeast"/>
              <w:rPr>
                <w:rFonts w:ascii="宋体" w:hAnsi="宋体"/>
                <w:color w:val="auto"/>
                <w:sz w:val="21"/>
                <w:szCs w:val="21"/>
              </w:rPr>
            </w:pPr>
            <w:r>
              <w:rPr>
                <w:rFonts w:hint="eastAsia" w:ascii="宋体" w:hAnsi="宋体"/>
                <w:color w:val="auto"/>
                <w:sz w:val="21"/>
                <w:szCs w:val="21"/>
              </w:rPr>
              <w:t>≤50</w:t>
            </w:r>
          </w:p>
        </w:tc>
      </w:tr>
      <w:tr w14:paraId="72391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1" w:type="dxa"/>
            <w:vMerge w:val="continue"/>
            <w:tcBorders>
              <w:top w:val="single" w:color="000000" w:sz="4" w:space="0"/>
              <w:left w:val="single" w:color="000000" w:sz="4" w:space="0"/>
              <w:bottom w:val="single" w:color="000000" w:sz="4" w:space="0"/>
              <w:right w:val="single" w:color="000000" w:sz="4" w:space="0"/>
            </w:tcBorders>
            <w:vAlign w:val="center"/>
          </w:tcPr>
          <w:p w14:paraId="71E34215">
            <w:pPr>
              <w:rPr>
                <w:rFonts w:ascii="宋体" w:hAnsi="宋体"/>
                <w:color w:val="auto"/>
                <w:szCs w:val="21"/>
              </w:rPr>
            </w:pPr>
          </w:p>
        </w:tc>
        <w:tc>
          <w:tcPr>
            <w:tcW w:w="2142" w:type="dxa"/>
            <w:tcBorders>
              <w:top w:val="single" w:color="000000" w:sz="4" w:space="0"/>
              <w:left w:val="single" w:color="000000" w:sz="4" w:space="0"/>
              <w:bottom w:val="single" w:color="000000" w:sz="4" w:space="0"/>
              <w:right w:val="single" w:color="000000" w:sz="4" w:space="0"/>
            </w:tcBorders>
          </w:tcPr>
          <w:p w14:paraId="038DA6D2">
            <w:pPr>
              <w:pStyle w:val="8"/>
              <w:widowControl/>
              <w:spacing w:line="96" w:lineRule="atLeast"/>
              <w:rPr>
                <w:rFonts w:ascii="宋体" w:hAnsi="宋体"/>
                <w:color w:val="auto"/>
                <w:sz w:val="21"/>
                <w:szCs w:val="21"/>
              </w:rPr>
            </w:pPr>
            <w:r>
              <w:rPr>
                <w:rFonts w:hint="eastAsia" w:ascii="宋体" w:hAnsi="宋体"/>
                <w:color w:val="auto"/>
                <w:sz w:val="21"/>
                <w:szCs w:val="21"/>
              </w:rPr>
              <w:t>可溶性铬</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14:paraId="23C4ECCA">
            <w:pPr>
              <w:rPr>
                <w:rFonts w:ascii="宋体" w:hAnsi="宋体"/>
                <w:color w:val="auto"/>
                <w:szCs w:val="21"/>
              </w:rPr>
            </w:pPr>
          </w:p>
        </w:tc>
        <w:tc>
          <w:tcPr>
            <w:tcW w:w="2019" w:type="dxa"/>
            <w:tcBorders>
              <w:top w:val="single" w:color="000000" w:sz="4" w:space="0"/>
              <w:left w:val="single" w:color="000000" w:sz="4" w:space="0"/>
              <w:bottom w:val="single" w:color="000000" w:sz="4" w:space="0"/>
              <w:right w:val="single" w:color="000000" w:sz="4" w:space="0"/>
            </w:tcBorders>
            <w:vAlign w:val="center"/>
          </w:tcPr>
          <w:p w14:paraId="3253EE95">
            <w:pPr>
              <w:pStyle w:val="8"/>
              <w:widowControl/>
              <w:spacing w:line="96" w:lineRule="atLeast"/>
              <w:rPr>
                <w:rFonts w:ascii="宋体" w:hAnsi="宋体"/>
                <w:color w:val="auto"/>
                <w:sz w:val="21"/>
                <w:szCs w:val="21"/>
              </w:rPr>
            </w:pPr>
            <w:r>
              <w:rPr>
                <w:rFonts w:hint="eastAsia" w:ascii="宋体" w:hAnsi="宋体"/>
                <w:color w:val="auto"/>
                <w:sz w:val="21"/>
                <w:szCs w:val="21"/>
              </w:rPr>
              <w:t>≤10</w:t>
            </w:r>
          </w:p>
        </w:tc>
      </w:tr>
      <w:tr w14:paraId="22F52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1" w:type="dxa"/>
            <w:vMerge w:val="continue"/>
            <w:tcBorders>
              <w:top w:val="single" w:color="000000" w:sz="4" w:space="0"/>
              <w:left w:val="single" w:color="000000" w:sz="4" w:space="0"/>
              <w:bottom w:val="single" w:color="000000" w:sz="4" w:space="0"/>
              <w:right w:val="single" w:color="000000" w:sz="4" w:space="0"/>
            </w:tcBorders>
            <w:vAlign w:val="center"/>
          </w:tcPr>
          <w:p w14:paraId="29E8952F">
            <w:pPr>
              <w:rPr>
                <w:rFonts w:ascii="宋体" w:hAnsi="宋体"/>
                <w:color w:val="auto"/>
                <w:szCs w:val="21"/>
              </w:rPr>
            </w:pPr>
          </w:p>
        </w:tc>
        <w:tc>
          <w:tcPr>
            <w:tcW w:w="2142" w:type="dxa"/>
            <w:tcBorders>
              <w:top w:val="single" w:color="000000" w:sz="4" w:space="0"/>
              <w:left w:val="single" w:color="000000" w:sz="4" w:space="0"/>
              <w:bottom w:val="single" w:color="000000" w:sz="4" w:space="0"/>
              <w:right w:val="single" w:color="000000" w:sz="4" w:space="0"/>
            </w:tcBorders>
          </w:tcPr>
          <w:p w14:paraId="49DAD71A">
            <w:pPr>
              <w:pStyle w:val="8"/>
              <w:widowControl/>
              <w:spacing w:line="96" w:lineRule="atLeast"/>
              <w:rPr>
                <w:rFonts w:ascii="宋体" w:hAnsi="宋体"/>
                <w:color w:val="auto"/>
                <w:sz w:val="21"/>
                <w:szCs w:val="21"/>
              </w:rPr>
            </w:pPr>
            <w:r>
              <w:rPr>
                <w:rFonts w:hint="eastAsia" w:ascii="宋体" w:hAnsi="宋体"/>
                <w:color w:val="auto"/>
                <w:sz w:val="21"/>
                <w:szCs w:val="21"/>
              </w:rPr>
              <w:t>可溶性镉</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14:paraId="3931AEDC">
            <w:pPr>
              <w:rPr>
                <w:rFonts w:ascii="宋体" w:hAnsi="宋体"/>
                <w:color w:val="auto"/>
                <w:szCs w:val="21"/>
              </w:rPr>
            </w:pPr>
          </w:p>
        </w:tc>
        <w:tc>
          <w:tcPr>
            <w:tcW w:w="2019" w:type="dxa"/>
            <w:tcBorders>
              <w:top w:val="single" w:color="000000" w:sz="4" w:space="0"/>
              <w:left w:val="single" w:color="000000" w:sz="4" w:space="0"/>
              <w:bottom w:val="single" w:color="000000" w:sz="4" w:space="0"/>
              <w:right w:val="single" w:color="000000" w:sz="4" w:space="0"/>
            </w:tcBorders>
            <w:vAlign w:val="center"/>
          </w:tcPr>
          <w:p w14:paraId="62138DBB">
            <w:pPr>
              <w:pStyle w:val="8"/>
              <w:widowControl/>
              <w:spacing w:line="96" w:lineRule="atLeast"/>
              <w:rPr>
                <w:rFonts w:ascii="宋体" w:hAnsi="宋体"/>
                <w:color w:val="auto"/>
                <w:sz w:val="21"/>
                <w:szCs w:val="21"/>
              </w:rPr>
            </w:pPr>
            <w:r>
              <w:rPr>
                <w:rFonts w:hint="eastAsia" w:ascii="宋体" w:hAnsi="宋体"/>
                <w:color w:val="auto"/>
                <w:sz w:val="21"/>
                <w:szCs w:val="21"/>
              </w:rPr>
              <w:t>≤10</w:t>
            </w:r>
          </w:p>
        </w:tc>
      </w:tr>
      <w:tr w14:paraId="18706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1" w:type="dxa"/>
            <w:vMerge w:val="continue"/>
            <w:tcBorders>
              <w:top w:val="single" w:color="000000" w:sz="4" w:space="0"/>
              <w:left w:val="single" w:color="000000" w:sz="4" w:space="0"/>
              <w:bottom w:val="single" w:color="000000" w:sz="4" w:space="0"/>
              <w:right w:val="single" w:color="000000" w:sz="4" w:space="0"/>
            </w:tcBorders>
            <w:vAlign w:val="center"/>
          </w:tcPr>
          <w:p w14:paraId="011236E4">
            <w:pPr>
              <w:rPr>
                <w:rFonts w:ascii="宋体" w:hAnsi="宋体"/>
                <w:color w:val="auto"/>
                <w:szCs w:val="21"/>
              </w:rPr>
            </w:pPr>
          </w:p>
        </w:tc>
        <w:tc>
          <w:tcPr>
            <w:tcW w:w="2142" w:type="dxa"/>
            <w:tcBorders>
              <w:top w:val="single" w:color="000000" w:sz="4" w:space="0"/>
              <w:left w:val="single" w:color="000000" w:sz="4" w:space="0"/>
              <w:bottom w:val="single" w:color="000000" w:sz="4" w:space="0"/>
              <w:right w:val="single" w:color="000000" w:sz="4" w:space="0"/>
            </w:tcBorders>
          </w:tcPr>
          <w:p w14:paraId="6DBA5631">
            <w:pPr>
              <w:pStyle w:val="8"/>
              <w:widowControl/>
              <w:spacing w:line="96" w:lineRule="atLeast"/>
              <w:rPr>
                <w:rFonts w:ascii="宋体" w:hAnsi="宋体"/>
                <w:color w:val="auto"/>
                <w:sz w:val="21"/>
                <w:szCs w:val="21"/>
              </w:rPr>
            </w:pPr>
            <w:r>
              <w:rPr>
                <w:rFonts w:hint="eastAsia" w:ascii="宋体" w:hAnsi="宋体"/>
                <w:color w:val="auto"/>
                <w:sz w:val="21"/>
                <w:szCs w:val="21"/>
              </w:rPr>
              <w:t>可溶性汞</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14:paraId="6BF82F0F">
            <w:pPr>
              <w:rPr>
                <w:rFonts w:ascii="宋体" w:hAnsi="宋体"/>
                <w:color w:val="auto"/>
                <w:szCs w:val="21"/>
              </w:rPr>
            </w:pPr>
          </w:p>
        </w:tc>
        <w:tc>
          <w:tcPr>
            <w:tcW w:w="2019" w:type="dxa"/>
            <w:tcBorders>
              <w:top w:val="single" w:color="000000" w:sz="4" w:space="0"/>
              <w:left w:val="single" w:color="000000" w:sz="4" w:space="0"/>
              <w:bottom w:val="single" w:color="000000" w:sz="4" w:space="0"/>
              <w:right w:val="single" w:color="000000" w:sz="4" w:space="0"/>
            </w:tcBorders>
            <w:vAlign w:val="center"/>
          </w:tcPr>
          <w:p w14:paraId="4BAD3B32">
            <w:pPr>
              <w:pStyle w:val="8"/>
              <w:widowControl/>
              <w:spacing w:line="96" w:lineRule="atLeast"/>
              <w:rPr>
                <w:rFonts w:ascii="宋体" w:hAnsi="宋体"/>
                <w:color w:val="auto"/>
                <w:sz w:val="21"/>
                <w:szCs w:val="21"/>
              </w:rPr>
            </w:pPr>
            <w:r>
              <w:rPr>
                <w:rFonts w:hint="eastAsia" w:ascii="宋体" w:hAnsi="宋体"/>
                <w:color w:val="auto"/>
                <w:sz w:val="21"/>
                <w:szCs w:val="21"/>
              </w:rPr>
              <w:t>≤2</w:t>
            </w:r>
          </w:p>
        </w:tc>
      </w:tr>
      <w:tr w14:paraId="4D466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1" w:type="dxa"/>
            <w:vMerge w:val="restart"/>
            <w:tcBorders>
              <w:top w:val="single" w:color="000000" w:sz="4" w:space="0"/>
              <w:left w:val="single" w:color="000000" w:sz="4" w:space="0"/>
              <w:bottom w:val="single" w:color="000000" w:sz="4" w:space="0"/>
              <w:right w:val="single" w:color="000000" w:sz="4" w:space="0"/>
            </w:tcBorders>
            <w:vAlign w:val="center"/>
          </w:tcPr>
          <w:p w14:paraId="4E53132B">
            <w:pPr>
              <w:pStyle w:val="8"/>
              <w:widowControl/>
              <w:spacing w:line="96" w:lineRule="atLeast"/>
              <w:rPr>
                <w:rFonts w:ascii="宋体" w:hAnsi="宋体"/>
                <w:color w:val="auto"/>
                <w:sz w:val="21"/>
                <w:szCs w:val="21"/>
              </w:rPr>
            </w:pPr>
            <w:r>
              <w:rPr>
                <w:rFonts w:hint="eastAsia" w:ascii="宋体" w:hAnsi="宋体"/>
                <w:color w:val="auto"/>
                <w:sz w:val="21"/>
                <w:szCs w:val="21"/>
              </w:rPr>
              <w:t>有害物质释放量</w:t>
            </w:r>
          </w:p>
        </w:tc>
        <w:tc>
          <w:tcPr>
            <w:tcW w:w="2142" w:type="dxa"/>
            <w:tcBorders>
              <w:top w:val="single" w:color="000000" w:sz="4" w:space="0"/>
              <w:left w:val="single" w:color="000000" w:sz="4" w:space="0"/>
              <w:bottom w:val="single" w:color="000000" w:sz="4" w:space="0"/>
              <w:right w:val="single" w:color="000000" w:sz="4" w:space="0"/>
            </w:tcBorders>
          </w:tcPr>
          <w:p w14:paraId="6239EEBE">
            <w:pPr>
              <w:pStyle w:val="8"/>
              <w:widowControl/>
              <w:spacing w:line="96" w:lineRule="atLeast"/>
              <w:rPr>
                <w:rFonts w:ascii="宋体" w:hAnsi="宋体"/>
                <w:color w:val="auto"/>
                <w:sz w:val="21"/>
                <w:szCs w:val="21"/>
              </w:rPr>
            </w:pPr>
            <w:r>
              <w:rPr>
                <w:rFonts w:hint="eastAsia" w:ascii="宋体" w:hAnsi="宋体"/>
                <w:color w:val="auto"/>
                <w:sz w:val="21"/>
                <w:szCs w:val="21"/>
              </w:rPr>
              <w:t>总挥发性有机化合物（TVOC）</w:t>
            </w:r>
          </w:p>
        </w:tc>
        <w:tc>
          <w:tcPr>
            <w:tcW w:w="2140" w:type="dxa"/>
            <w:vMerge w:val="restart"/>
            <w:tcBorders>
              <w:top w:val="single" w:color="000000" w:sz="4" w:space="0"/>
              <w:left w:val="single" w:color="000000" w:sz="4" w:space="0"/>
              <w:bottom w:val="single" w:color="000000" w:sz="4" w:space="0"/>
              <w:right w:val="single" w:color="000000" w:sz="4" w:space="0"/>
            </w:tcBorders>
            <w:vAlign w:val="center"/>
          </w:tcPr>
          <w:p w14:paraId="5D17EDAE">
            <w:pPr>
              <w:pStyle w:val="8"/>
              <w:widowControl/>
              <w:spacing w:line="96" w:lineRule="atLeast"/>
              <w:rPr>
                <w:rFonts w:ascii="宋体" w:hAnsi="宋体"/>
                <w:color w:val="auto"/>
                <w:sz w:val="21"/>
                <w:szCs w:val="21"/>
              </w:rPr>
            </w:pPr>
            <w:r>
              <w:rPr>
                <w:rFonts w:hint="eastAsia" w:ascii="宋体" w:hAnsi="宋体"/>
                <w:color w:val="auto"/>
                <w:sz w:val="21"/>
                <w:szCs w:val="21"/>
              </w:rPr>
              <w:t>mg/（㎡</w:t>
            </w:r>
            <w:r>
              <w:rPr>
                <w:rFonts w:hint="eastAsia" w:ascii="MS Mincho" w:hAnsi="MS Mincho" w:eastAsia="MS Mincho" w:cs="MS Mincho"/>
                <w:color w:val="auto"/>
                <w:sz w:val="21"/>
                <w:szCs w:val="21"/>
              </w:rPr>
              <w:t>▪</w:t>
            </w:r>
            <w:r>
              <w:rPr>
                <w:rFonts w:hint="eastAsia" w:ascii="宋体" w:hAnsi="宋体"/>
                <w:color w:val="auto"/>
                <w:sz w:val="21"/>
                <w:szCs w:val="21"/>
              </w:rPr>
              <w:t>h）</w:t>
            </w:r>
          </w:p>
        </w:tc>
        <w:tc>
          <w:tcPr>
            <w:tcW w:w="2019" w:type="dxa"/>
            <w:tcBorders>
              <w:top w:val="single" w:color="000000" w:sz="4" w:space="0"/>
              <w:left w:val="single" w:color="000000" w:sz="4" w:space="0"/>
              <w:bottom w:val="single" w:color="000000" w:sz="4" w:space="0"/>
              <w:right w:val="single" w:color="000000" w:sz="4" w:space="0"/>
            </w:tcBorders>
            <w:vAlign w:val="center"/>
          </w:tcPr>
          <w:p w14:paraId="0BF92B79">
            <w:pPr>
              <w:pStyle w:val="8"/>
              <w:widowControl/>
              <w:spacing w:line="96" w:lineRule="atLeast"/>
              <w:rPr>
                <w:rFonts w:ascii="宋体" w:hAnsi="宋体"/>
                <w:color w:val="auto"/>
                <w:sz w:val="21"/>
                <w:szCs w:val="21"/>
              </w:rPr>
            </w:pPr>
            <w:r>
              <w:rPr>
                <w:rFonts w:hint="eastAsia" w:ascii="宋体" w:hAnsi="宋体"/>
                <w:color w:val="auto"/>
                <w:sz w:val="21"/>
                <w:szCs w:val="21"/>
              </w:rPr>
              <w:t>≤5.0</w:t>
            </w:r>
          </w:p>
        </w:tc>
      </w:tr>
      <w:tr w14:paraId="6EC02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1" w:type="dxa"/>
            <w:vMerge w:val="continue"/>
            <w:tcBorders>
              <w:top w:val="single" w:color="000000" w:sz="4" w:space="0"/>
              <w:left w:val="single" w:color="000000" w:sz="4" w:space="0"/>
              <w:bottom w:val="single" w:color="000000" w:sz="4" w:space="0"/>
              <w:right w:val="single" w:color="000000" w:sz="4" w:space="0"/>
            </w:tcBorders>
            <w:vAlign w:val="center"/>
          </w:tcPr>
          <w:p w14:paraId="4CF4AB2C">
            <w:pPr>
              <w:rPr>
                <w:rFonts w:ascii="宋体" w:hAnsi="宋体"/>
                <w:color w:val="auto"/>
                <w:szCs w:val="21"/>
              </w:rPr>
            </w:pPr>
          </w:p>
        </w:tc>
        <w:tc>
          <w:tcPr>
            <w:tcW w:w="2142" w:type="dxa"/>
            <w:tcBorders>
              <w:top w:val="single" w:color="000000" w:sz="4" w:space="0"/>
              <w:left w:val="single" w:color="000000" w:sz="4" w:space="0"/>
              <w:bottom w:val="single" w:color="000000" w:sz="4" w:space="0"/>
              <w:right w:val="single" w:color="000000" w:sz="4" w:space="0"/>
            </w:tcBorders>
          </w:tcPr>
          <w:p w14:paraId="2860A317">
            <w:pPr>
              <w:pStyle w:val="8"/>
              <w:widowControl/>
              <w:spacing w:line="96" w:lineRule="atLeast"/>
              <w:rPr>
                <w:rFonts w:ascii="宋体" w:hAnsi="宋体"/>
                <w:color w:val="auto"/>
                <w:sz w:val="21"/>
                <w:szCs w:val="21"/>
              </w:rPr>
            </w:pPr>
            <w:r>
              <w:rPr>
                <w:rFonts w:hint="eastAsia" w:ascii="宋体" w:hAnsi="宋体"/>
                <w:color w:val="auto"/>
                <w:sz w:val="21"/>
                <w:szCs w:val="21"/>
              </w:rPr>
              <w:t>甲醛</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14:paraId="72ECA31E">
            <w:pPr>
              <w:rPr>
                <w:rFonts w:ascii="宋体" w:hAnsi="宋体"/>
                <w:color w:val="auto"/>
                <w:szCs w:val="21"/>
              </w:rPr>
            </w:pPr>
          </w:p>
        </w:tc>
        <w:tc>
          <w:tcPr>
            <w:tcW w:w="2019" w:type="dxa"/>
            <w:tcBorders>
              <w:top w:val="single" w:color="000000" w:sz="4" w:space="0"/>
              <w:left w:val="single" w:color="000000" w:sz="4" w:space="0"/>
              <w:bottom w:val="single" w:color="000000" w:sz="4" w:space="0"/>
              <w:right w:val="single" w:color="000000" w:sz="4" w:space="0"/>
            </w:tcBorders>
            <w:vAlign w:val="center"/>
          </w:tcPr>
          <w:p w14:paraId="38058972">
            <w:pPr>
              <w:pStyle w:val="8"/>
              <w:widowControl/>
              <w:spacing w:line="96" w:lineRule="atLeast"/>
              <w:rPr>
                <w:rFonts w:ascii="宋体" w:hAnsi="宋体"/>
                <w:color w:val="auto"/>
                <w:sz w:val="21"/>
                <w:szCs w:val="21"/>
              </w:rPr>
            </w:pPr>
            <w:r>
              <w:rPr>
                <w:rFonts w:hint="eastAsia" w:ascii="宋体" w:hAnsi="宋体"/>
                <w:color w:val="auto"/>
                <w:sz w:val="21"/>
                <w:szCs w:val="21"/>
              </w:rPr>
              <w:t>≤0.4</w:t>
            </w:r>
          </w:p>
        </w:tc>
      </w:tr>
      <w:tr w14:paraId="761D1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1" w:type="dxa"/>
            <w:vMerge w:val="continue"/>
            <w:tcBorders>
              <w:top w:val="single" w:color="000000" w:sz="4" w:space="0"/>
              <w:left w:val="single" w:color="000000" w:sz="4" w:space="0"/>
              <w:bottom w:val="single" w:color="000000" w:sz="4" w:space="0"/>
              <w:right w:val="single" w:color="000000" w:sz="4" w:space="0"/>
            </w:tcBorders>
            <w:vAlign w:val="center"/>
          </w:tcPr>
          <w:p w14:paraId="4E5066E7">
            <w:pPr>
              <w:rPr>
                <w:rFonts w:ascii="宋体" w:hAnsi="宋体"/>
                <w:color w:val="auto"/>
                <w:szCs w:val="21"/>
              </w:rPr>
            </w:pPr>
          </w:p>
        </w:tc>
        <w:tc>
          <w:tcPr>
            <w:tcW w:w="2142" w:type="dxa"/>
            <w:tcBorders>
              <w:top w:val="single" w:color="000000" w:sz="4" w:space="0"/>
              <w:left w:val="single" w:color="000000" w:sz="4" w:space="0"/>
              <w:bottom w:val="single" w:color="000000" w:sz="4" w:space="0"/>
              <w:right w:val="single" w:color="000000" w:sz="4" w:space="0"/>
            </w:tcBorders>
          </w:tcPr>
          <w:p w14:paraId="40B3B02C">
            <w:pPr>
              <w:pStyle w:val="8"/>
              <w:widowControl/>
              <w:spacing w:line="96" w:lineRule="atLeast"/>
              <w:rPr>
                <w:rFonts w:ascii="宋体" w:hAnsi="宋体"/>
                <w:color w:val="auto"/>
                <w:sz w:val="21"/>
                <w:szCs w:val="21"/>
              </w:rPr>
            </w:pPr>
            <w:r>
              <w:rPr>
                <w:rFonts w:hint="eastAsia" w:ascii="宋体" w:hAnsi="宋体"/>
                <w:color w:val="auto"/>
                <w:sz w:val="21"/>
                <w:szCs w:val="21"/>
              </w:rPr>
              <w:t>苯</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14:paraId="3CE6693B">
            <w:pPr>
              <w:rPr>
                <w:rFonts w:ascii="宋体" w:hAnsi="宋体"/>
                <w:color w:val="auto"/>
                <w:szCs w:val="21"/>
              </w:rPr>
            </w:pPr>
          </w:p>
        </w:tc>
        <w:tc>
          <w:tcPr>
            <w:tcW w:w="2019" w:type="dxa"/>
            <w:tcBorders>
              <w:top w:val="single" w:color="000000" w:sz="4" w:space="0"/>
              <w:left w:val="single" w:color="000000" w:sz="4" w:space="0"/>
              <w:bottom w:val="single" w:color="000000" w:sz="4" w:space="0"/>
              <w:right w:val="single" w:color="000000" w:sz="4" w:space="0"/>
            </w:tcBorders>
            <w:vAlign w:val="center"/>
          </w:tcPr>
          <w:p w14:paraId="35BC1EA8">
            <w:pPr>
              <w:pStyle w:val="8"/>
              <w:widowControl/>
              <w:spacing w:line="96" w:lineRule="atLeast"/>
              <w:rPr>
                <w:rFonts w:ascii="宋体" w:hAnsi="宋体"/>
                <w:color w:val="auto"/>
                <w:sz w:val="21"/>
                <w:szCs w:val="21"/>
              </w:rPr>
            </w:pPr>
            <w:r>
              <w:rPr>
                <w:rFonts w:hint="eastAsia" w:ascii="宋体" w:hAnsi="宋体"/>
                <w:color w:val="auto"/>
                <w:sz w:val="21"/>
                <w:szCs w:val="21"/>
              </w:rPr>
              <w:t>≤0.1</w:t>
            </w:r>
          </w:p>
        </w:tc>
      </w:tr>
      <w:tr w14:paraId="77E53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1" w:type="dxa"/>
            <w:vMerge w:val="continue"/>
            <w:tcBorders>
              <w:top w:val="single" w:color="000000" w:sz="4" w:space="0"/>
              <w:left w:val="single" w:color="000000" w:sz="4" w:space="0"/>
              <w:bottom w:val="single" w:color="000000" w:sz="4" w:space="0"/>
              <w:right w:val="single" w:color="000000" w:sz="4" w:space="0"/>
            </w:tcBorders>
            <w:vAlign w:val="center"/>
          </w:tcPr>
          <w:p w14:paraId="7307BF2D">
            <w:pPr>
              <w:rPr>
                <w:rFonts w:ascii="宋体" w:hAnsi="宋体"/>
                <w:color w:val="auto"/>
                <w:szCs w:val="21"/>
              </w:rPr>
            </w:pPr>
          </w:p>
        </w:tc>
        <w:tc>
          <w:tcPr>
            <w:tcW w:w="2142" w:type="dxa"/>
            <w:tcBorders>
              <w:top w:val="single" w:color="000000" w:sz="4" w:space="0"/>
              <w:left w:val="single" w:color="000000" w:sz="4" w:space="0"/>
              <w:bottom w:val="single" w:color="000000" w:sz="4" w:space="0"/>
              <w:right w:val="single" w:color="000000" w:sz="4" w:space="0"/>
            </w:tcBorders>
          </w:tcPr>
          <w:p w14:paraId="0CC3B2C4">
            <w:pPr>
              <w:pStyle w:val="8"/>
              <w:widowControl/>
              <w:spacing w:line="96" w:lineRule="atLeast"/>
              <w:rPr>
                <w:rFonts w:ascii="宋体" w:hAnsi="宋体"/>
                <w:color w:val="auto"/>
                <w:sz w:val="21"/>
                <w:szCs w:val="21"/>
              </w:rPr>
            </w:pPr>
            <w:r>
              <w:rPr>
                <w:rFonts w:hint="eastAsia" w:ascii="宋体" w:hAnsi="宋体"/>
                <w:color w:val="auto"/>
                <w:sz w:val="21"/>
                <w:szCs w:val="21"/>
              </w:rPr>
              <w:t>甲苯、二甲苯和乙苯总和</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14:paraId="299E06D1">
            <w:pPr>
              <w:rPr>
                <w:rFonts w:ascii="宋体" w:hAnsi="宋体"/>
                <w:color w:val="auto"/>
                <w:szCs w:val="21"/>
              </w:rPr>
            </w:pPr>
          </w:p>
        </w:tc>
        <w:tc>
          <w:tcPr>
            <w:tcW w:w="2019" w:type="dxa"/>
            <w:tcBorders>
              <w:top w:val="single" w:color="000000" w:sz="4" w:space="0"/>
              <w:left w:val="single" w:color="000000" w:sz="4" w:space="0"/>
              <w:bottom w:val="single" w:color="000000" w:sz="4" w:space="0"/>
              <w:right w:val="single" w:color="000000" w:sz="4" w:space="0"/>
            </w:tcBorders>
            <w:vAlign w:val="center"/>
          </w:tcPr>
          <w:p w14:paraId="774CAB9D">
            <w:pPr>
              <w:pStyle w:val="8"/>
              <w:widowControl/>
              <w:spacing w:line="96" w:lineRule="atLeast"/>
              <w:rPr>
                <w:rFonts w:ascii="宋体" w:hAnsi="宋体"/>
                <w:color w:val="auto"/>
                <w:sz w:val="21"/>
                <w:szCs w:val="21"/>
              </w:rPr>
            </w:pPr>
            <w:r>
              <w:rPr>
                <w:rFonts w:hint="eastAsia" w:ascii="宋体" w:hAnsi="宋体"/>
                <w:color w:val="auto"/>
                <w:sz w:val="21"/>
                <w:szCs w:val="21"/>
              </w:rPr>
              <w:t>≤1.0</w:t>
            </w:r>
          </w:p>
        </w:tc>
      </w:tr>
    </w:tbl>
    <w:p w14:paraId="57C555BF">
      <w:pPr>
        <w:pStyle w:val="8"/>
        <w:widowControl/>
        <w:spacing w:line="96" w:lineRule="atLeast"/>
        <w:rPr>
          <w:rFonts w:ascii="宋体" w:hAnsi="宋体"/>
          <w:b/>
          <w:color w:val="auto"/>
          <w:sz w:val="21"/>
          <w:szCs w:val="21"/>
        </w:rPr>
      </w:pPr>
      <w:r>
        <w:rPr>
          <w:rFonts w:hint="eastAsia" w:ascii="宋体" w:hAnsi="宋体"/>
          <w:b/>
          <w:color w:val="auto"/>
          <w:sz w:val="21"/>
          <w:szCs w:val="21"/>
        </w:rPr>
        <w:t>人造草坪物理性能应满足GB36246-2018《中小学合成材料面层运动场地》下表内容</w:t>
      </w:r>
    </w:p>
    <w:tbl>
      <w:tblPr>
        <w:tblStyle w:val="9"/>
        <w:tblW w:w="4803" w:type="pct"/>
        <w:tblInd w:w="2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3"/>
        <w:gridCol w:w="2146"/>
        <w:gridCol w:w="2146"/>
        <w:gridCol w:w="1991"/>
      </w:tblGrid>
      <w:tr w14:paraId="25E33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49" w:type="dxa"/>
            <w:gridSpan w:val="2"/>
            <w:tcBorders>
              <w:top w:val="single" w:color="000000" w:sz="4" w:space="0"/>
              <w:left w:val="single" w:color="000000" w:sz="4" w:space="0"/>
              <w:bottom w:val="single" w:color="000000" w:sz="4" w:space="0"/>
              <w:right w:val="single" w:color="000000" w:sz="4" w:space="0"/>
            </w:tcBorders>
            <w:vAlign w:val="center"/>
          </w:tcPr>
          <w:p w14:paraId="21D34A61">
            <w:pPr>
              <w:pStyle w:val="8"/>
              <w:widowControl/>
              <w:spacing w:line="96" w:lineRule="atLeast"/>
              <w:rPr>
                <w:rFonts w:ascii="宋体" w:hAnsi="宋体"/>
                <w:color w:val="auto"/>
                <w:sz w:val="21"/>
                <w:szCs w:val="21"/>
              </w:rPr>
            </w:pPr>
            <w:r>
              <w:rPr>
                <w:rFonts w:hint="eastAsia" w:ascii="宋体" w:hAnsi="宋体"/>
                <w:color w:val="auto"/>
                <w:sz w:val="21"/>
                <w:szCs w:val="21"/>
              </w:rPr>
              <w:t>检验检测项目</w:t>
            </w:r>
          </w:p>
        </w:tc>
        <w:tc>
          <w:tcPr>
            <w:tcW w:w="2146" w:type="dxa"/>
            <w:tcBorders>
              <w:top w:val="single" w:color="000000" w:sz="4" w:space="0"/>
              <w:left w:val="single" w:color="000000" w:sz="4" w:space="0"/>
              <w:bottom w:val="single" w:color="000000" w:sz="4" w:space="0"/>
              <w:right w:val="single" w:color="000000" w:sz="4" w:space="0"/>
            </w:tcBorders>
            <w:vAlign w:val="center"/>
          </w:tcPr>
          <w:p w14:paraId="6A47E072">
            <w:pPr>
              <w:pStyle w:val="8"/>
              <w:widowControl/>
              <w:spacing w:line="96" w:lineRule="atLeast"/>
              <w:rPr>
                <w:rFonts w:ascii="宋体" w:hAnsi="宋体"/>
                <w:color w:val="auto"/>
                <w:sz w:val="21"/>
                <w:szCs w:val="21"/>
              </w:rPr>
            </w:pPr>
            <w:r>
              <w:rPr>
                <w:rFonts w:hint="eastAsia" w:ascii="宋体" w:hAnsi="宋体"/>
                <w:color w:val="auto"/>
                <w:sz w:val="21"/>
                <w:szCs w:val="21"/>
              </w:rPr>
              <w:t>单位</w:t>
            </w:r>
          </w:p>
        </w:tc>
        <w:tc>
          <w:tcPr>
            <w:tcW w:w="1991" w:type="dxa"/>
            <w:tcBorders>
              <w:top w:val="single" w:color="000000" w:sz="4" w:space="0"/>
              <w:left w:val="single" w:color="000000" w:sz="4" w:space="0"/>
              <w:bottom w:val="single" w:color="000000" w:sz="4" w:space="0"/>
              <w:right w:val="single" w:color="000000" w:sz="4" w:space="0"/>
            </w:tcBorders>
            <w:vAlign w:val="center"/>
          </w:tcPr>
          <w:p w14:paraId="1F30F0CE">
            <w:pPr>
              <w:pStyle w:val="8"/>
              <w:widowControl/>
              <w:spacing w:line="96" w:lineRule="atLeast"/>
              <w:rPr>
                <w:rFonts w:ascii="宋体" w:hAnsi="宋体"/>
                <w:color w:val="auto"/>
                <w:sz w:val="21"/>
                <w:szCs w:val="21"/>
              </w:rPr>
            </w:pPr>
            <w:r>
              <w:rPr>
                <w:rFonts w:hint="eastAsia" w:ascii="宋体" w:hAnsi="宋体"/>
                <w:color w:val="auto"/>
                <w:sz w:val="21"/>
                <w:szCs w:val="21"/>
              </w:rPr>
              <w:t>技术要求</w:t>
            </w:r>
          </w:p>
        </w:tc>
      </w:tr>
      <w:tr w14:paraId="5F85C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49" w:type="dxa"/>
            <w:gridSpan w:val="2"/>
            <w:vMerge w:val="restart"/>
            <w:tcBorders>
              <w:top w:val="single" w:color="000000" w:sz="4" w:space="0"/>
              <w:left w:val="single" w:color="000000" w:sz="4" w:space="0"/>
              <w:bottom w:val="single" w:color="000000" w:sz="4" w:space="0"/>
              <w:right w:val="single" w:color="000000" w:sz="4" w:space="0"/>
            </w:tcBorders>
            <w:vAlign w:val="center"/>
          </w:tcPr>
          <w:p w14:paraId="48EFF221">
            <w:pPr>
              <w:pStyle w:val="8"/>
              <w:widowControl/>
              <w:spacing w:line="96" w:lineRule="atLeast"/>
              <w:rPr>
                <w:rFonts w:ascii="宋体" w:hAnsi="宋体"/>
                <w:color w:val="auto"/>
                <w:sz w:val="21"/>
                <w:szCs w:val="21"/>
              </w:rPr>
            </w:pPr>
            <w:r>
              <w:rPr>
                <w:rFonts w:hint="eastAsia" w:ascii="宋体" w:hAnsi="宋体"/>
                <w:color w:val="auto"/>
                <w:sz w:val="21"/>
                <w:szCs w:val="21"/>
              </w:rPr>
              <w:t>冲击吸收，%</w:t>
            </w:r>
          </w:p>
        </w:tc>
        <w:tc>
          <w:tcPr>
            <w:tcW w:w="2146" w:type="dxa"/>
            <w:tcBorders>
              <w:top w:val="single" w:color="000000" w:sz="4" w:space="0"/>
              <w:left w:val="single" w:color="000000" w:sz="4" w:space="0"/>
              <w:bottom w:val="single" w:color="000000" w:sz="4" w:space="0"/>
              <w:right w:val="single" w:color="000000" w:sz="4" w:space="0"/>
            </w:tcBorders>
            <w:vAlign w:val="center"/>
          </w:tcPr>
          <w:p w14:paraId="12341BA5">
            <w:pPr>
              <w:pStyle w:val="8"/>
              <w:widowControl/>
              <w:spacing w:line="96" w:lineRule="atLeast"/>
              <w:rPr>
                <w:rFonts w:ascii="宋体" w:hAnsi="宋体"/>
                <w:color w:val="auto"/>
                <w:sz w:val="21"/>
                <w:szCs w:val="21"/>
              </w:rPr>
            </w:pPr>
            <w:r>
              <w:rPr>
                <w:rFonts w:hint="eastAsia" w:ascii="宋体" w:hAnsi="宋体"/>
                <w:color w:val="auto"/>
                <w:sz w:val="21"/>
                <w:szCs w:val="21"/>
              </w:rPr>
              <w:t>┄</w:t>
            </w:r>
          </w:p>
        </w:tc>
        <w:tc>
          <w:tcPr>
            <w:tcW w:w="1991" w:type="dxa"/>
            <w:vMerge w:val="restart"/>
            <w:tcBorders>
              <w:top w:val="single" w:color="000000" w:sz="4" w:space="0"/>
              <w:left w:val="single" w:color="000000" w:sz="4" w:space="0"/>
              <w:bottom w:val="single" w:color="000000" w:sz="4" w:space="0"/>
              <w:right w:val="single" w:color="000000" w:sz="4" w:space="0"/>
            </w:tcBorders>
            <w:vAlign w:val="center"/>
          </w:tcPr>
          <w:p w14:paraId="488BE206">
            <w:pPr>
              <w:pStyle w:val="8"/>
              <w:widowControl/>
              <w:spacing w:line="96" w:lineRule="atLeast"/>
              <w:rPr>
                <w:rFonts w:ascii="宋体" w:hAnsi="宋体"/>
                <w:color w:val="auto"/>
                <w:sz w:val="21"/>
                <w:szCs w:val="21"/>
              </w:rPr>
            </w:pPr>
            <w:r>
              <w:rPr>
                <w:rFonts w:hint="eastAsia" w:ascii="宋体" w:hAnsi="宋体"/>
                <w:color w:val="auto"/>
                <w:sz w:val="21"/>
                <w:szCs w:val="21"/>
              </w:rPr>
              <w:t>45-70</w:t>
            </w:r>
          </w:p>
        </w:tc>
      </w:tr>
      <w:tr w14:paraId="038F7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4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8FA67E0">
            <w:pPr>
              <w:pStyle w:val="8"/>
              <w:widowControl/>
              <w:spacing w:line="96" w:lineRule="atLeast"/>
              <w:rPr>
                <w:rFonts w:ascii="宋体" w:hAnsi="宋体"/>
                <w:color w:val="auto"/>
                <w:sz w:val="21"/>
                <w:szCs w:val="21"/>
              </w:rPr>
            </w:pPr>
          </w:p>
        </w:tc>
        <w:tc>
          <w:tcPr>
            <w:tcW w:w="2146" w:type="dxa"/>
            <w:tcBorders>
              <w:top w:val="single" w:color="000000" w:sz="4" w:space="0"/>
              <w:left w:val="single" w:color="000000" w:sz="4" w:space="0"/>
              <w:bottom w:val="single" w:color="000000" w:sz="4" w:space="0"/>
              <w:right w:val="single" w:color="000000" w:sz="4" w:space="0"/>
            </w:tcBorders>
            <w:vAlign w:val="center"/>
          </w:tcPr>
          <w:p w14:paraId="5F1AFAC4">
            <w:pPr>
              <w:pStyle w:val="8"/>
              <w:widowControl/>
              <w:spacing w:line="96" w:lineRule="atLeast"/>
              <w:rPr>
                <w:rFonts w:ascii="宋体" w:hAnsi="宋体"/>
                <w:color w:val="auto"/>
                <w:sz w:val="21"/>
                <w:szCs w:val="21"/>
              </w:rPr>
            </w:pPr>
            <w:r>
              <w:rPr>
                <w:rFonts w:hint="eastAsia" w:ascii="宋体" w:hAnsi="宋体"/>
                <w:color w:val="auto"/>
                <w:sz w:val="21"/>
                <w:szCs w:val="21"/>
              </w:rPr>
              <w:t>┄</w:t>
            </w:r>
          </w:p>
        </w:tc>
        <w:tc>
          <w:tcPr>
            <w:tcW w:w="1991" w:type="dxa"/>
            <w:vMerge w:val="continue"/>
            <w:tcBorders>
              <w:top w:val="single" w:color="000000" w:sz="4" w:space="0"/>
              <w:left w:val="single" w:color="000000" w:sz="4" w:space="0"/>
              <w:bottom w:val="single" w:color="000000" w:sz="4" w:space="0"/>
              <w:right w:val="single" w:color="000000" w:sz="4" w:space="0"/>
            </w:tcBorders>
            <w:vAlign w:val="center"/>
          </w:tcPr>
          <w:p w14:paraId="03A0061A">
            <w:pPr>
              <w:pStyle w:val="8"/>
              <w:widowControl/>
              <w:spacing w:line="96" w:lineRule="atLeast"/>
              <w:rPr>
                <w:rFonts w:ascii="宋体" w:hAnsi="宋体"/>
                <w:color w:val="auto"/>
                <w:sz w:val="21"/>
                <w:szCs w:val="21"/>
              </w:rPr>
            </w:pPr>
          </w:p>
        </w:tc>
      </w:tr>
      <w:tr w14:paraId="35DCE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4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2B5E533">
            <w:pPr>
              <w:pStyle w:val="8"/>
              <w:widowControl/>
              <w:spacing w:line="96" w:lineRule="atLeast"/>
              <w:rPr>
                <w:rFonts w:ascii="宋体" w:hAnsi="宋体"/>
                <w:color w:val="auto"/>
                <w:sz w:val="21"/>
                <w:szCs w:val="21"/>
              </w:rPr>
            </w:pPr>
          </w:p>
        </w:tc>
        <w:tc>
          <w:tcPr>
            <w:tcW w:w="2146" w:type="dxa"/>
            <w:tcBorders>
              <w:top w:val="single" w:color="000000" w:sz="4" w:space="0"/>
              <w:left w:val="single" w:color="000000" w:sz="4" w:space="0"/>
              <w:bottom w:val="single" w:color="000000" w:sz="4" w:space="0"/>
              <w:right w:val="single" w:color="000000" w:sz="4" w:space="0"/>
            </w:tcBorders>
            <w:vAlign w:val="center"/>
          </w:tcPr>
          <w:p w14:paraId="6DFE3791">
            <w:pPr>
              <w:pStyle w:val="8"/>
              <w:widowControl/>
              <w:spacing w:line="96" w:lineRule="atLeast"/>
              <w:rPr>
                <w:rFonts w:ascii="宋体" w:hAnsi="宋体"/>
                <w:color w:val="auto"/>
                <w:sz w:val="21"/>
                <w:szCs w:val="21"/>
              </w:rPr>
            </w:pPr>
            <w:r>
              <w:rPr>
                <w:rFonts w:hint="eastAsia" w:ascii="宋体" w:hAnsi="宋体"/>
                <w:color w:val="auto"/>
                <w:sz w:val="21"/>
                <w:szCs w:val="21"/>
              </w:rPr>
              <w:t>┄</w:t>
            </w:r>
          </w:p>
        </w:tc>
        <w:tc>
          <w:tcPr>
            <w:tcW w:w="1991" w:type="dxa"/>
            <w:vMerge w:val="continue"/>
            <w:tcBorders>
              <w:top w:val="single" w:color="000000" w:sz="4" w:space="0"/>
              <w:left w:val="single" w:color="000000" w:sz="4" w:space="0"/>
              <w:bottom w:val="single" w:color="000000" w:sz="4" w:space="0"/>
              <w:right w:val="single" w:color="000000" w:sz="4" w:space="0"/>
            </w:tcBorders>
            <w:vAlign w:val="center"/>
          </w:tcPr>
          <w:p w14:paraId="331DA478">
            <w:pPr>
              <w:pStyle w:val="8"/>
              <w:widowControl/>
              <w:spacing w:line="96" w:lineRule="atLeast"/>
              <w:rPr>
                <w:rFonts w:ascii="宋体" w:hAnsi="宋体"/>
                <w:color w:val="auto"/>
                <w:sz w:val="21"/>
                <w:szCs w:val="21"/>
              </w:rPr>
            </w:pPr>
          </w:p>
        </w:tc>
      </w:tr>
      <w:tr w14:paraId="2A74D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49" w:type="dxa"/>
            <w:gridSpan w:val="2"/>
            <w:tcBorders>
              <w:top w:val="single" w:color="000000" w:sz="4" w:space="0"/>
              <w:left w:val="single" w:color="000000" w:sz="4" w:space="0"/>
              <w:bottom w:val="single" w:color="000000" w:sz="4" w:space="0"/>
              <w:right w:val="single" w:color="000000" w:sz="4" w:space="0"/>
            </w:tcBorders>
            <w:vAlign w:val="center"/>
          </w:tcPr>
          <w:p w14:paraId="5DC1C1EF">
            <w:pPr>
              <w:pStyle w:val="8"/>
              <w:widowControl/>
              <w:spacing w:line="96" w:lineRule="atLeast"/>
              <w:rPr>
                <w:rFonts w:ascii="宋体" w:hAnsi="宋体"/>
                <w:color w:val="auto"/>
                <w:sz w:val="21"/>
                <w:szCs w:val="21"/>
              </w:rPr>
            </w:pPr>
            <w:r>
              <w:rPr>
                <w:rFonts w:hint="eastAsia" w:ascii="宋体" w:hAnsi="宋体"/>
                <w:color w:val="auto"/>
                <w:sz w:val="21"/>
                <w:szCs w:val="21"/>
              </w:rPr>
              <w:t>垂直变形</w:t>
            </w:r>
          </w:p>
        </w:tc>
        <w:tc>
          <w:tcPr>
            <w:tcW w:w="2146" w:type="dxa"/>
            <w:tcBorders>
              <w:top w:val="single" w:color="000000" w:sz="4" w:space="0"/>
              <w:left w:val="single" w:color="000000" w:sz="4" w:space="0"/>
              <w:bottom w:val="single" w:color="000000" w:sz="4" w:space="0"/>
              <w:right w:val="single" w:color="000000" w:sz="4" w:space="0"/>
            </w:tcBorders>
            <w:vAlign w:val="center"/>
          </w:tcPr>
          <w:p w14:paraId="17117A2E">
            <w:pPr>
              <w:pStyle w:val="8"/>
              <w:widowControl/>
              <w:spacing w:line="96" w:lineRule="atLeast"/>
              <w:rPr>
                <w:rFonts w:ascii="宋体" w:hAnsi="宋体"/>
                <w:color w:val="auto"/>
                <w:sz w:val="21"/>
                <w:szCs w:val="21"/>
              </w:rPr>
            </w:pPr>
            <w:r>
              <w:rPr>
                <w:rFonts w:hint="eastAsia" w:ascii="宋体" w:hAnsi="宋体"/>
                <w:color w:val="auto"/>
                <w:sz w:val="21"/>
                <w:szCs w:val="21"/>
              </w:rPr>
              <w:t>mm</w:t>
            </w:r>
          </w:p>
        </w:tc>
        <w:tc>
          <w:tcPr>
            <w:tcW w:w="1991" w:type="dxa"/>
            <w:tcBorders>
              <w:top w:val="single" w:color="000000" w:sz="4" w:space="0"/>
              <w:left w:val="single" w:color="000000" w:sz="4" w:space="0"/>
              <w:bottom w:val="single" w:color="000000" w:sz="4" w:space="0"/>
              <w:right w:val="single" w:color="000000" w:sz="4" w:space="0"/>
            </w:tcBorders>
            <w:vAlign w:val="center"/>
          </w:tcPr>
          <w:p w14:paraId="4BA297B4">
            <w:pPr>
              <w:pStyle w:val="8"/>
              <w:widowControl/>
              <w:spacing w:line="96" w:lineRule="atLeast"/>
              <w:rPr>
                <w:rFonts w:ascii="宋体" w:hAnsi="宋体"/>
                <w:color w:val="auto"/>
                <w:sz w:val="21"/>
                <w:szCs w:val="21"/>
              </w:rPr>
            </w:pPr>
            <w:r>
              <w:rPr>
                <w:rFonts w:hint="eastAsia" w:ascii="宋体" w:hAnsi="宋体"/>
                <w:color w:val="auto"/>
                <w:sz w:val="21"/>
                <w:szCs w:val="21"/>
              </w:rPr>
              <w:t>4～11</w:t>
            </w:r>
          </w:p>
        </w:tc>
      </w:tr>
      <w:tr w14:paraId="389CB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3" w:type="dxa"/>
            <w:tcBorders>
              <w:top w:val="single" w:color="000000" w:sz="4" w:space="0"/>
              <w:left w:val="single" w:color="000000" w:sz="4" w:space="0"/>
              <w:bottom w:val="single" w:color="000000" w:sz="4" w:space="0"/>
              <w:right w:val="single" w:color="000000" w:sz="4" w:space="0"/>
            </w:tcBorders>
            <w:vAlign w:val="center"/>
          </w:tcPr>
          <w:p w14:paraId="3DED0E2D">
            <w:pPr>
              <w:pStyle w:val="8"/>
              <w:widowControl/>
              <w:spacing w:line="96" w:lineRule="atLeast"/>
              <w:rPr>
                <w:rFonts w:ascii="宋体" w:hAnsi="宋体"/>
                <w:color w:val="auto"/>
                <w:sz w:val="21"/>
                <w:szCs w:val="21"/>
              </w:rPr>
            </w:pPr>
            <w:r>
              <w:rPr>
                <w:rFonts w:hint="eastAsia" w:ascii="宋体" w:hAnsi="宋体"/>
                <w:color w:val="auto"/>
                <w:sz w:val="21"/>
                <w:szCs w:val="21"/>
              </w:rPr>
              <w:t>草丝拉断力</w:t>
            </w:r>
          </w:p>
        </w:tc>
        <w:tc>
          <w:tcPr>
            <w:tcW w:w="2146" w:type="dxa"/>
            <w:tcBorders>
              <w:top w:val="single" w:color="000000" w:sz="4" w:space="0"/>
              <w:left w:val="single" w:color="000000" w:sz="4" w:space="0"/>
              <w:bottom w:val="single" w:color="000000" w:sz="4" w:space="0"/>
              <w:right w:val="single" w:color="000000" w:sz="4" w:space="0"/>
            </w:tcBorders>
            <w:vAlign w:val="center"/>
          </w:tcPr>
          <w:p w14:paraId="23129C01">
            <w:pPr>
              <w:pStyle w:val="8"/>
              <w:widowControl/>
              <w:spacing w:line="96" w:lineRule="atLeast"/>
              <w:rPr>
                <w:rFonts w:ascii="宋体" w:hAnsi="宋体"/>
                <w:color w:val="auto"/>
                <w:sz w:val="21"/>
                <w:szCs w:val="21"/>
              </w:rPr>
            </w:pPr>
            <w:r>
              <w:rPr>
                <w:rFonts w:hint="eastAsia" w:ascii="宋体" w:hAnsi="宋体"/>
                <w:color w:val="auto"/>
                <w:sz w:val="21"/>
                <w:szCs w:val="21"/>
              </w:rPr>
              <w:t>单丝</w:t>
            </w:r>
          </w:p>
        </w:tc>
        <w:tc>
          <w:tcPr>
            <w:tcW w:w="2146" w:type="dxa"/>
            <w:tcBorders>
              <w:top w:val="single" w:color="000000" w:sz="4" w:space="0"/>
              <w:left w:val="single" w:color="000000" w:sz="4" w:space="0"/>
              <w:bottom w:val="single" w:color="000000" w:sz="4" w:space="0"/>
              <w:right w:val="single" w:color="000000" w:sz="4" w:space="0"/>
            </w:tcBorders>
            <w:vAlign w:val="center"/>
          </w:tcPr>
          <w:p w14:paraId="36163BA2">
            <w:pPr>
              <w:pStyle w:val="8"/>
              <w:widowControl/>
              <w:spacing w:line="96" w:lineRule="atLeast"/>
              <w:rPr>
                <w:rFonts w:ascii="宋体" w:hAnsi="宋体"/>
                <w:color w:val="auto"/>
                <w:sz w:val="21"/>
                <w:szCs w:val="21"/>
              </w:rPr>
            </w:pPr>
            <w:r>
              <w:rPr>
                <w:rFonts w:hint="eastAsia" w:ascii="宋体" w:hAnsi="宋体"/>
                <w:color w:val="auto"/>
                <w:sz w:val="21"/>
                <w:szCs w:val="21"/>
              </w:rPr>
              <w:t>N</w:t>
            </w:r>
          </w:p>
        </w:tc>
        <w:tc>
          <w:tcPr>
            <w:tcW w:w="1991" w:type="dxa"/>
            <w:tcBorders>
              <w:top w:val="single" w:color="000000" w:sz="4" w:space="0"/>
              <w:left w:val="single" w:color="000000" w:sz="4" w:space="0"/>
              <w:bottom w:val="single" w:color="000000" w:sz="4" w:space="0"/>
              <w:right w:val="single" w:color="000000" w:sz="4" w:space="0"/>
            </w:tcBorders>
            <w:vAlign w:val="center"/>
          </w:tcPr>
          <w:p w14:paraId="5E6E04A9">
            <w:pPr>
              <w:pStyle w:val="8"/>
              <w:widowControl/>
              <w:spacing w:line="96" w:lineRule="atLeast"/>
              <w:rPr>
                <w:rFonts w:ascii="宋体" w:hAnsi="宋体"/>
                <w:color w:val="auto"/>
                <w:sz w:val="21"/>
                <w:szCs w:val="21"/>
              </w:rPr>
            </w:pPr>
            <w:r>
              <w:rPr>
                <w:rFonts w:hint="eastAsia" w:ascii="宋体" w:hAnsi="宋体"/>
                <w:color w:val="auto"/>
                <w:sz w:val="21"/>
                <w:szCs w:val="21"/>
              </w:rPr>
              <w:t>≥10</w:t>
            </w:r>
          </w:p>
        </w:tc>
      </w:tr>
      <w:tr w14:paraId="64D0A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49" w:type="dxa"/>
            <w:gridSpan w:val="2"/>
            <w:tcBorders>
              <w:top w:val="single" w:color="000000" w:sz="4" w:space="0"/>
              <w:left w:val="single" w:color="000000" w:sz="4" w:space="0"/>
              <w:bottom w:val="single" w:color="000000" w:sz="4" w:space="0"/>
              <w:right w:val="single" w:color="000000" w:sz="4" w:space="0"/>
            </w:tcBorders>
            <w:vAlign w:val="center"/>
          </w:tcPr>
          <w:p w14:paraId="71FF3158">
            <w:pPr>
              <w:pStyle w:val="8"/>
              <w:widowControl/>
              <w:spacing w:line="96" w:lineRule="atLeast"/>
              <w:rPr>
                <w:rFonts w:ascii="宋体" w:hAnsi="宋体"/>
                <w:color w:val="auto"/>
                <w:sz w:val="21"/>
                <w:szCs w:val="21"/>
              </w:rPr>
            </w:pPr>
            <w:r>
              <w:rPr>
                <w:rFonts w:hint="eastAsia" w:ascii="宋体" w:hAnsi="宋体"/>
                <w:color w:val="auto"/>
                <w:sz w:val="21"/>
                <w:szCs w:val="21"/>
              </w:rPr>
              <w:t>单簇草丝拔出力</w:t>
            </w:r>
          </w:p>
        </w:tc>
        <w:tc>
          <w:tcPr>
            <w:tcW w:w="2146" w:type="dxa"/>
            <w:tcBorders>
              <w:top w:val="single" w:color="000000" w:sz="4" w:space="0"/>
              <w:left w:val="single" w:color="000000" w:sz="4" w:space="0"/>
              <w:bottom w:val="single" w:color="000000" w:sz="4" w:space="0"/>
              <w:right w:val="single" w:color="000000" w:sz="4" w:space="0"/>
            </w:tcBorders>
            <w:vAlign w:val="center"/>
          </w:tcPr>
          <w:p w14:paraId="0EFC469C">
            <w:pPr>
              <w:pStyle w:val="8"/>
              <w:widowControl/>
              <w:spacing w:line="96" w:lineRule="atLeast"/>
              <w:rPr>
                <w:rFonts w:ascii="宋体" w:hAnsi="宋体"/>
                <w:color w:val="auto"/>
                <w:sz w:val="21"/>
                <w:szCs w:val="21"/>
              </w:rPr>
            </w:pPr>
            <w:r>
              <w:rPr>
                <w:rFonts w:hint="eastAsia" w:ascii="宋体" w:hAnsi="宋体"/>
                <w:color w:val="auto"/>
                <w:sz w:val="21"/>
                <w:szCs w:val="21"/>
              </w:rPr>
              <w:t>N</w:t>
            </w:r>
          </w:p>
        </w:tc>
        <w:tc>
          <w:tcPr>
            <w:tcW w:w="1991" w:type="dxa"/>
            <w:tcBorders>
              <w:top w:val="single" w:color="000000" w:sz="4" w:space="0"/>
              <w:left w:val="single" w:color="000000" w:sz="4" w:space="0"/>
              <w:bottom w:val="single" w:color="000000" w:sz="4" w:space="0"/>
              <w:right w:val="single" w:color="000000" w:sz="4" w:space="0"/>
            </w:tcBorders>
            <w:vAlign w:val="center"/>
          </w:tcPr>
          <w:p w14:paraId="2383CDDC">
            <w:pPr>
              <w:pStyle w:val="8"/>
              <w:widowControl/>
              <w:spacing w:line="96" w:lineRule="atLeast"/>
              <w:rPr>
                <w:rFonts w:ascii="宋体" w:hAnsi="宋体"/>
                <w:color w:val="auto"/>
                <w:sz w:val="21"/>
                <w:szCs w:val="21"/>
              </w:rPr>
            </w:pPr>
            <w:r>
              <w:rPr>
                <w:rFonts w:hint="eastAsia" w:ascii="宋体" w:hAnsi="宋体"/>
                <w:color w:val="auto"/>
                <w:sz w:val="21"/>
                <w:szCs w:val="21"/>
              </w:rPr>
              <w:t>≥20</w:t>
            </w:r>
          </w:p>
        </w:tc>
      </w:tr>
    </w:tbl>
    <w:p w14:paraId="290A97AD">
      <w:pPr>
        <w:numPr>
          <w:ilvl w:val="0"/>
          <w:numId w:val="0"/>
        </w:numPr>
        <w:rPr>
          <w:rFonts w:hint="eastAsia"/>
          <w:color w:val="auto"/>
        </w:rPr>
      </w:pPr>
      <w:r>
        <w:rPr>
          <w:rStyle w:val="12"/>
          <w:rFonts w:hint="eastAsia" w:ascii="宋体" w:hAnsi="宋体" w:eastAsia="宋体" w:cs="宋体"/>
          <w:b w:val="0"/>
          <w:bCs/>
          <w:color w:val="auto"/>
          <w:spacing w:val="0"/>
          <w:sz w:val="28"/>
          <w:szCs w:val="28"/>
          <w:vertAlign w:val="baseline"/>
          <w:lang w:val="en-US" w:eastAsia="zh-CN"/>
        </w:rPr>
        <w:t>▲</w:t>
      </w:r>
      <w:r>
        <w:rPr>
          <w:rStyle w:val="12"/>
          <w:rFonts w:hint="eastAsia" w:ascii="宋体" w:hAnsi="宋体" w:cs="宋体"/>
          <w:b w:val="0"/>
          <w:bCs/>
          <w:color w:val="auto"/>
          <w:spacing w:val="0"/>
          <w:sz w:val="28"/>
          <w:szCs w:val="28"/>
          <w:vertAlign w:val="baseline"/>
          <w:lang w:val="en-US" w:eastAsia="zh-CN"/>
        </w:rPr>
        <w:t>6.2</w:t>
      </w:r>
      <w:r>
        <w:rPr>
          <w:rFonts w:hint="eastAsia"/>
          <w:color w:val="auto"/>
        </w:rPr>
        <w:t>人造草坪生产企业出具的人造草坪产品依据GB/T 20394-2019标准进行氙灯老化84小时+耐冷凝水老化84小时循环测试，累计交替循环测试达672小时以后单簇草丝拔出力≥54N及单簇草丝拔出力保留率≥82%专项报告</w:t>
      </w:r>
    </w:p>
    <w:p w14:paraId="7D18DDCF">
      <w:pPr>
        <w:numPr>
          <w:ilvl w:val="0"/>
          <w:numId w:val="0"/>
        </w:numPr>
        <w:rPr>
          <w:rFonts w:hint="eastAsia"/>
          <w:color w:val="auto"/>
        </w:rPr>
      </w:pPr>
    </w:p>
    <w:p w14:paraId="345D1097">
      <w:pPr>
        <w:rPr>
          <w:rFonts w:hint="eastAsia"/>
          <w:color w:val="auto"/>
        </w:rPr>
      </w:pPr>
      <w:r>
        <w:rPr>
          <w:rStyle w:val="12"/>
          <w:rFonts w:hint="eastAsia" w:ascii="宋体" w:hAnsi="宋体" w:eastAsia="宋体" w:cs="宋体"/>
          <w:b w:val="0"/>
          <w:bCs/>
          <w:color w:val="auto"/>
          <w:spacing w:val="0"/>
          <w:sz w:val="28"/>
          <w:szCs w:val="28"/>
          <w:vertAlign w:val="baseline"/>
          <w:lang w:val="en-US" w:eastAsia="zh-CN"/>
        </w:rPr>
        <w:t>▲</w:t>
      </w:r>
      <w:r>
        <w:rPr>
          <w:rFonts w:hint="eastAsia"/>
          <w:color w:val="auto"/>
          <w:lang w:val="en-US" w:eastAsia="zh-CN"/>
        </w:rPr>
        <w:t>6.3</w:t>
      </w:r>
      <w:r>
        <w:rPr>
          <w:rFonts w:hint="eastAsia"/>
          <w:color w:val="auto"/>
        </w:rPr>
        <w:t>人造草坪生产企业出具的人造草坪产品依据GB 36246-2018标准测试草丝拉断力≥12N、单簇草丝拔出力≥40N，经过氙灯老化500小时+雨水（3%乙酸，40℃）老化500小时+高低温老化20次循环（每个循环60℃ 12小时、常温1小时、－40℃ 12小时）老化后测试草丝拉断力保留率≥91%、单簇草丝拔出力保留率≥95%合格专项报告</w:t>
      </w:r>
    </w:p>
    <w:p w14:paraId="75980254">
      <w:pPr>
        <w:rPr>
          <w:rFonts w:hint="eastAsia"/>
          <w:color w:val="auto"/>
        </w:rPr>
      </w:pPr>
    </w:p>
    <w:p w14:paraId="4A716870">
      <w:pPr>
        <w:rPr>
          <w:rFonts w:hint="eastAsia"/>
          <w:color w:val="auto"/>
        </w:rPr>
      </w:pPr>
      <w:r>
        <w:rPr>
          <w:rStyle w:val="12"/>
          <w:rFonts w:hint="eastAsia" w:ascii="宋体" w:hAnsi="宋体" w:eastAsia="宋体" w:cs="宋体"/>
          <w:b w:val="0"/>
          <w:bCs/>
          <w:color w:val="auto"/>
          <w:spacing w:val="0"/>
          <w:sz w:val="28"/>
          <w:szCs w:val="28"/>
          <w:vertAlign w:val="baseline"/>
          <w:lang w:val="en-US" w:eastAsia="zh-CN"/>
        </w:rPr>
        <w:t>▲</w:t>
      </w:r>
      <w:r>
        <w:rPr>
          <w:rFonts w:hint="eastAsia"/>
          <w:color w:val="auto"/>
          <w:lang w:val="en-US" w:eastAsia="zh-CN"/>
        </w:rPr>
        <w:t>6.4</w:t>
      </w:r>
      <w:r>
        <w:rPr>
          <w:rFonts w:hint="eastAsia"/>
          <w:color w:val="auto"/>
        </w:rPr>
        <w:t>人造草坪生产企业出具的人造草坪产品依据GB 36246-2018标准进行氙灯老化500小时+雨水（3%乙酸，40℃）老化500小时+高低温老化20次循环（每个循环60℃ 12小时、常温1小时、－40℃ 12小时）后测试有害物质释放量及有害物质含量均未检出专项报告</w:t>
      </w:r>
    </w:p>
    <w:p w14:paraId="263EA137">
      <w:pPr>
        <w:rPr>
          <w:rFonts w:hint="eastAsia"/>
          <w:color w:val="auto"/>
        </w:rPr>
      </w:pPr>
    </w:p>
    <w:p w14:paraId="7B0363C1">
      <w:pPr>
        <w:rPr>
          <w:rFonts w:hint="eastAsia"/>
          <w:color w:val="auto"/>
          <w:lang w:val="en-US" w:eastAsia="zh-CN"/>
        </w:rPr>
      </w:pPr>
      <w:r>
        <w:rPr>
          <w:rStyle w:val="12"/>
          <w:rFonts w:hint="eastAsia" w:ascii="宋体" w:hAnsi="宋体" w:eastAsia="宋体" w:cs="宋体"/>
          <w:b w:val="0"/>
          <w:bCs/>
          <w:color w:val="auto"/>
          <w:spacing w:val="0"/>
          <w:sz w:val="28"/>
          <w:szCs w:val="28"/>
          <w:vertAlign w:val="baseline"/>
          <w:lang w:val="en-US" w:eastAsia="zh-CN"/>
        </w:rPr>
        <w:t>▲</w:t>
      </w:r>
      <w:r>
        <w:rPr>
          <w:rFonts w:hint="eastAsia"/>
          <w:color w:val="auto"/>
          <w:lang w:val="en-US" w:eastAsia="zh-CN"/>
        </w:rPr>
        <w:t>6.5人造草坪生产企业出具的人造草坪产品依据GB 36246-2018、GB/T 14833-2020标准检测拉伸强度≥11Mpa，经过氙灯老化500小时+雨水（3%乙酸，40℃）老化500小时+高低温老化20次循环（每个循环60℃ 12小时、常温1小时、－40℃ 12小时）后测试抗滑值≥85BPN、拉断伸长率≥45%、阻燃性能Ⅰ级、拉伸强度保留率≥85%合格专项报告</w:t>
      </w:r>
    </w:p>
    <w:p w14:paraId="6253CA4C">
      <w:pPr>
        <w:rPr>
          <w:rFonts w:hint="eastAsia"/>
          <w:color w:val="auto"/>
          <w:lang w:val="en-US" w:eastAsia="zh-CN"/>
        </w:rPr>
      </w:pPr>
    </w:p>
    <w:p w14:paraId="25A5B771">
      <w:pPr>
        <w:rPr>
          <w:rFonts w:hint="eastAsia"/>
          <w:color w:val="auto"/>
          <w:lang w:val="en-US" w:eastAsia="zh-CN"/>
        </w:rPr>
      </w:pPr>
      <w:r>
        <w:rPr>
          <w:rStyle w:val="12"/>
          <w:rFonts w:hint="eastAsia" w:ascii="宋体" w:hAnsi="宋体" w:eastAsia="宋体" w:cs="宋体"/>
          <w:b w:val="0"/>
          <w:bCs/>
          <w:color w:val="auto"/>
          <w:spacing w:val="0"/>
          <w:sz w:val="28"/>
          <w:szCs w:val="28"/>
          <w:vertAlign w:val="baseline"/>
          <w:lang w:val="en-US" w:eastAsia="zh-CN"/>
        </w:rPr>
        <w:t>▲</w:t>
      </w:r>
      <w:r>
        <w:rPr>
          <w:rFonts w:hint="eastAsia"/>
          <w:color w:val="auto"/>
          <w:lang w:val="en-US" w:eastAsia="zh-CN"/>
        </w:rPr>
        <w:t>6.6人造草坪生产企业出具的人造草坪产品依据GB/T 20394-2019标准进行氙灯老化168小时+雨水（3%乙酸，40℃）老化168小时+高低温老化7次循环（每个循环60℃ 12小时、常温1小时、－40℃ 12小时）后测试TVOC、甲醛、苯乙烯、4-苯基环己烯及可迁移元素锑Sb、砷As、钡Ba、镉Cd、铬Cr、铅Pb、汞Hg、硒Se结果均为未检出专项报告</w:t>
      </w:r>
    </w:p>
    <w:p w14:paraId="4E21BB8A">
      <w:pPr>
        <w:rPr>
          <w:rFonts w:hint="eastAsia"/>
          <w:color w:val="auto"/>
          <w:lang w:val="en-US" w:eastAsia="zh-CN"/>
        </w:rPr>
      </w:pPr>
    </w:p>
    <w:p w14:paraId="4FAF66E3">
      <w:pPr>
        <w:rPr>
          <w:rFonts w:hint="default"/>
          <w:color w:val="auto"/>
          <w:lang w:val="en-US" w:eastAsia="zh-CN"/>
        </w:rPr>
      </w:pPr>
      <w:r>
        <w:rPr>
          <w:rStyle w:val="12"/>
          <w:rFonts w:hint="eastAsia" w:ascii="宋体" w:hAnsi="宋体" w:eastAsia="宋体" w:cs="宋体"/>
          <w:b w:val="0"/>
          <w:bCs/>
          <w:color w:val="auto"/>
          <w:spacing w:val="0"/>
          <w:sz w:val="28"/>
          <w:szCs w:val="28"/>
          <w:vertAlign w:val="baseline"/>
          <w:lang w:val="en-US" w:eastAsia="zh-CN"/>
        </w:rPr>
        <w:t>▲</w:t>
      </w:r>
      <w:r>
        <w:rPr>
          <w:rFonts w:hint="eastAsia"/>
          <w:color w:val="auto"/>
          <w:lang w:val="en-US" w:eastAsia="zh-CN"/>
        </w:rPr>
        <w:t>6.7</w:t>
      </w:r>
      <w:r>
        <w:rPr>
          <w:rFonts w:hint="default"/>
          <w:color w:val="auto"/>
          <w:lang w:val="en-US" w:eastAsia="zh-CN"/>
        </w:rPr>
        <w:t>人造草坪生产企业获得国际足联FIFA优选供应商证书</w:t>
      </w:r>
    </w:p>
    <w:p w14:paraId="238D11FE">
      <w:pPr>
        <w:pStyle w:val="8"/>
        <w:keepNext w:val="0"/>
        <w:keepLines w:val="0"/>
        <w:widowControl/>
        <w:numPr>
          <w:ilvl w:val="0"/>
          <w:numId w:val="0"/>
        </w:numPr>
        <w:suppressLineNumbers w:val="0"/>
        <w:spacing w:line="360" w:lineRule="atLeast"/>
        <w:ind w:right="0" w:rightChars="0" w:firstLine="560" w:firstLineChars="200"/>
        <w:textAlignment w:val="baseline"/>
        <w:rPr>
          <w:rStyle w:val="12"/>
          <w:rFonts w:hint="default" w:ascii="宋体" w:hAnsi="宋体" w:eastAsia="宋体" w:cs="宋体"/>
          <w:b w:val="0"/>
          <w:bCs/>
          <w:color w:val="auto"/>
          <w:spacing w:val="0"/>
          <w:sz w:val="28"/>
          <w:szCs w:val="28"/>
          <w:vertAlign w:val="baseline"/>
          <w:lang w:val="en-US" w:eastAsia="zh-CN"/>
        </w:rPr>
      </w:pPr>
      <w:r>
        <w:rPr>
          <w:rStyle w:val="12"/>
          <w:rFonts w:hint="eastAsia" w:ascii="宋体" w:hAnsi="宋体" w:eastAsia="宋体" w:cs="宋体"/>
          <w:b w:val="0"/>
          <w:bCs/>
          <w:color w:val="auto"/>
          <w:spacing w:val="0"/>
          <w:sz w:val="28"/>
          <w:szCs w:val="28"/>
          <w:vertAlign w:val="baseline"/>
          <w:lang w:val="en-US" w:eastAsia="zh-CN"/>
        </w:rPr>
        <w:t>注：提供以上检验报告、证书的扫描件进行佐证及提供材料制造商针对本项目的授权书，中标后提供检验报告、证书、授权书原件供采购人核查，如发现</w:t>
      </w:r>
      <w:r>
        <w:rPr>
          <w:rStyle w:val="12"/>
          <w:rFonts w:hint="eastAsia" w:ascii="宋体" w:hAnsi="宋体" w:cs="宋体"/>
          <w:b w:val="0"/>
          <w:bCs/>
          <w:color w:val="auto"/>
          <w:spacing w:val="0"/>
          <w:sz w:val="28"/>
          <w:szCs w:val="28"/>
          <w:vertAlign w:val="baseline"/>
          <w:lang w:val="en-US" w:eastAsia="zh-CN"/>
        </w:rPr>
        <w:t>作</w:t>
      </w:r>
      <w:r>
        <w:rPr>
          <w:rStyle w:val="12"/>
          <w:rFonts w:hint="eastAsia" w:ascii="宋体" w:hAnsi="宋体" w:eastAsia="宋体" w:cs="宋体"/>
          <w:b w:val="0"/>
          <w:bCs/>
          <w:color w:val="auto"/>
          <w:spacing w:val="0"/>
          <w:sz w:val="28"/>
          <w:szCs w:val="28"/>
          <w:vertAlign w:val="baseline"/>
          <w:lang w:val="en-US" w:eastAsia="zh-CN"/>
        </w:rPr>
        <w:t>假，将取消其中标资格并依法追究相关责任。</w:t>
      </w:r>
    </w:p>
    <w:p w14:paraId="38743AFB">
      <w:pPr>
        <w:pStyle w:val="8"/>
        <w:keepNext w:val="0"/>
        <w:keepLines w:val="0"/>
        <w:widowControl/>
        <w:suppressLineNumbers w:val="0"/>
        <w:spacing w:line="360" w:lineRule="atLeast"/>
        <w:ind w:left="0" w:firstLine="555"/>
        <w:textAlignment w:val="baseline"/>
        <w:rPr>
          <w:color w:val="auto"/>
        </w:rPr>
      </w:pPr>
      <w:r>
        <w:rPr>
          <w:rStyle w:val="12"/>
          <w:rFonts w:hint="eastAsia" w:ascii="宋体" w:hAnsi="宋体" w:cs="宋体"/>
          <w:color w:val="auto"/>
          <w:spacing w:val="0"/>
          <w:kern w:val="2"/>
          <w:sz w:val="28"/>
          <w:szCs w:val="28"/>
          <w:vertAlign w:val="baseline"/>
          <w:lang w:val="en-US" w:eastAsia="zh-CN" w:bidi="ar-SA"/>
        </w:rPr>
        <w:t>7</w:t>
      </w:r>
      <w:r>
        <w:rPr>
          <w:rStyle w:val="12"/>
          <w:rFonts w:hint="eastAsia" w:ascii="宋体" w:hAnsi="宋体" w:eastAsia="宋体" w:cs="宋体"/>
          <w:color w:val="auto"/>
          <w:spacing w:val="0"/>
          <w:kern w:val="2"/>
          <w:sz w:val="28"/>
          <w:szCs w:val="28"/>
          <w:vertAlign w:val="baseline"/>
          <w:lang w:bidi="ar-SA"/>
        </w:rPr>
        <w:t>、工程质量</w:t>
      </w:r>
    </w:p>
    <w:p w14:paraId="51219407">
      <w:pPr>
        <w:pStyle w:val="8"/>
        <w:keepNext w:val="0"/>
        <w:keepLines w:val="0"/>
        <w:widowControl/>
        <w:suppressLineNumbers w:val="0"/>
        <w:spacing w:line="360" w:lineRule="atLeast"/>
        <w:ind w:left="0" w:firstLine="480"/>
        <w:textAlignment w:val="baseline"/>
        <w:rPr>
          <w:color w:val="auto"/>
        </w:rPr>
      </w:pPr>
      <w:r>
        <w:rPr>
          <w:rFonts w:hint="eastAsia" w:ascii="宋体" w:hAnsi="宋体" w:cs="宋体"/>
          <w:color w:val="auto"/>
          <w:spacing w:val="0"/>
          <w:sz w:val="28"/>
          <w:szCs w:val="28"/>
          <w:vertAlign w:val="baseline"/>
          <w:lang w:val="en-US" w:eastAsia="zh-CN"/>
        </w:rPr>
        <w:t>7</w:t>
      </w:r>
      <w:r>
        <w:rPr>
          <w:rFonts w:hint="eastAsia" w:ascii="宋体" w:hAnsi="宋体" w:eastAsia="宋体" w:cs="宋体"/>
          <w:color w:val="auto"/>
          <w:spacing w:val="0"/>
          <w:sz w:val="28"/>
          <w:szCs w:val="28"/>
          <w:vertAlign w:val="baseline"/>
        </w:rPr>
        <w:t>.1本工程的施工质量按国家</w:t>
      </w:r>
      <w:r>
        <w:rPr>
          <w:rFonts w:hint="eastAsia" w:ascii="宋体" w:hAnsi="宋体" w:cs="宋体"/>
          <w:color w:val="auto"/>
          <w:spacing w:val="0"/>
          <w:sz w:val="28"/>
          <w:szCs w:val="28"/>
          <w:vertAlign w:val="baseline"/>
          <w:lang w:val="en-US" w:eastAsia="zh-CN"/>
        </w:rPr>
        <w:t>标准</w:t>
      </w:r>
      <w:r>
        <w:rPr>
          <w:rFonts w:hint="eastAsia" w:ascii="宋体" w:hAnsi="宋体" w:eastAsia="宋体" w:cs="宋体"/>
          <w:color w:val="auto"/>
          <w:spacing w:val="0"/>
          <w:sz w:val="28"/>
          <w:szCs w:val="28"/>
          <w:vertAlign w:val="baseline"/>
        </w:rPr>
        <w:t>并达到合格标准。</w:t>
      </w:r>
    </w:p>
    <w:p w14:paraId="2EE0CE4E">
      <w:pPr>
        <w:pStyle w:val="8"/>
        <w:keepNext w:val="0"/>
        <w:keepLines w:val="0"/>
        <w:widowControl/>
        <w:suppressLineNumbers w:val="0"/>
        <w:spacing w:line="360" w:lineRule="atLeast"/>
        <w:ind w:left="0" w:firstLine="480"/>
        <w:textAlignment w:val="baseline"/>
        <w:rPr>
          <w:color w:val="auto"/>
        </w:rPr>
      </w:pPr>
      <w:r>
        <w:rPr>
          <w:rFonts w:hint="eastAsia" w:ascii="宋体" w:hAnsi="宋体" w:cs="宋体"/>
          <w:color w:val="auto"/>
          <w:spacing w:val="0"/>
          <w:sz w:val="28"/>
          <w:szCs w:val="28"/>
          <w:vertAlign w:val="baseline"/>
          <w:lang w:val="en-US" w:eastAsia="zh-CN"/>
        </w:rPr>
        <w:t>7</w:t>
      </w:r>
      <w:r>
        <w:rPr>
          <w:rFonts w:hint="eastAsia" w:ascii="宋体" w:hAnsi="宋体" w:eastAsia="宋体" w:cs="宋体"/>
          <w:color w:val="auto"/>
          <w:spacing w:val="0"/>
          <w:sz w:val="28"/>
          <w:szCs w:val="28"/>
          <w:vertAlign w:val="baseline"/>
        </w:rPr>
        <w:t>.2隐蔽工程和中间验收：按质检部门规定的部位组织验收。如未通过采购人验收，成交方擅自进行下道工序施工，则无论此部分工程是否合格，成交方都将按此部分工程价款的5%向采购人支付违约金。隐蔽工程等关键工序，采购人可请权威机构或部门进行复核或检验，复核或检验合格则由采购人承担相应费用，如不合格，成交方承担相应费用、工期延误责任及一切由此造成的损失。</w:t>
      </w:r>
    </w:p>
    <w:p w14:paraId="13A74500">
      <w:pPr>
        <w:pStyle w:val="8"/>
        <w:keepNext w:val="0"/>
        <w:keepLines w:val="0"/>
        <w:widowControl/>
        <w:suppressLineNumbers w:val="0"/>
        <w:spacing w:line="360" w:lineRule="atLeast"/>
        <w:ind w:left="0" w:firstLine="480"/>
        <w:textAlignment w:val="baseline"/>
        <w:rPr>
          <w:color w:val="auto"/>
        </w:rPr>
      </w:pPr>
      <w:r>
        <w:rPr>
          <w:rFonts w:hint="eastAsia" w:ascii="宋体" w:hAnsi="宋体" w:cs="宋体"/>
          <w:color w:val="auto"/>
          <w:spacing w:val="0"/>
          <w:sz w:val="28"/>
          <w:szCs w:val="28"/>
          <w:vertAlign w:val="baseline"/>
          <w:lang w:val="en-US" w:eastAsia="zh-CN"/>
        </w:rPr>
        <w:t>7</w:t>
      </w:r>
      <w:r>
        <w:rPr>
          <w:rFonts w:hint="eastAsia" w:ascii="宋体" w:hAnsi="宋体" w:eastAsia="宋体" w:cs="宋体"/>
          <w:color w:val="auto"/>
          <w:spacing w:val="0"/>
          <w:sz w:val="28"/>
          <w:szCs w:val="28"/>
          <w:vertAlign w:val="baseline"/>
        </w:rPr>
        <w:t>.3工程完成后，要求竣工验收一次性通过合格，中标方应整理全部质检资料、竣工图纸，作为整个工程竣工验收的一部分，报业主会同有关单位进行验收，经业主检查认为质量不合格时，中标方应按业主要求进行整修和返工，由此引起的工程延误和费用中标方自负。整改完毕再次会同验收，验收达到采购人满意，验收结果经双方确认签字、加盖各自单位的公章，验收过程费用由中标方承担。</w:t>
      </w:r>
    </w:p>
    <w:p w14:paraId="02D68898">
      <w:pPr>
        <w:pStyle w:val="8"/>
        <w:keepNext w:val="0"/>
        <w:keepLines w:val="0"/>
        <w:widowControl/>
        <w:suppressLineNumbers w:val="0"/>
        <w:spacing w:line="360" w:lineRule="atLeast"/>
        <w:ind w:left="0" w:firstLine="480"/>
        <w:textAlignment w:val="baseline"/>
        <w:rPr>
          <w:rFonts w:hint="default" w:eastAsia="宋体"/>
          <w:color w:val="auto"/>
          <w:lang w:val="en-US" w:eastAsia="zh-CN"/>
        </w:rPr>
      </w:pPr>
      <w:r>
        <w:rPr>
          <w:rFonts w:hint="eastAsia" w:ascii="微软雅黑" w:hAnsi="微软雅黑" w:eastAsia="微软雅黑" w:cs="微软雅黑"/>
          <w:color w:val="auto"/>
          <w:spacing w:val="0"/>
          <w:sz w:val="28"/>
          <w:szCs w:val="28"/>
          <w:vertAlign w:val="baseline"/>
        </w:rPr>
        <w:t>▲</w:t>
      </w:r>
      <w:r>
        <w:rPr>
          <w:rFonts w:hint="eastAsia" w:ascii="宋体" w:hAnsi="宋体" w:cs="宋体"/>
          <w:color w:val="auto"/>
          <w:spacing w:val="0"/>
          <w:sz w:val="28"/>
          <w:szCs w:val="28"/>
          <w:vertAlign w:val="baseline"/>
          <w:lang w:val="en-US" w:eastAsia="zh-CN"/>
        </w:rPr>
        <w:t>7</w:t>
      </w:r>
      <w:r>
        <w:rPr>
          <w:rFonts w:hint="eastAsia" w:ascii="宋体" w:hAnsi="宋体" w:eastAsia="宋体" w:cs="宋体"/>
          <w:color w:val="auto"/>
          <w:spacing w:val="0"/>
          <w:sz w:val="28"/>
          <w:szCs w:val="28"/>
          <w:vertAlign w:val="baseline"/>
        </w:rPr>
        <w:t>.4本项目整体保修年限至少2年，中标方应在采购方通知起12小时内维修响应，并在48小时内修复完成。</w:t>
      </w:r>
      <w:r>
        <w:rPr>
          <w:rFonts w:hint="eastAsia" w:ascii="宋体" w:hAnsi="宋体" w:cs="宋体"/>
          <w:color w:val="auto"/>
          <w:spacing w:val="0"/>
          <w:sz w:val="28"/>
          <w:szCs w:val="28"/>
          <w:vertAlign w:val="baseline"/>
          <w:lang w:val="en-US" w:eastAsia="zh-CN"/>
        </w:rPr>
        <w:t>本项目缺陷责任期为一年。</w:t>
      </w:r>
    </w:p>
    <w:p w14:paraId="7B0117B0">
      <w:pPr>
        <w:pStyle w:val="14"/>
        <w:jc w:val="left"/>
        <w:outlineLvl w:val="2"/>
        <w:rPr>
          <w:color w:val="auto"/>
        </w:rPr>
      </w:pPr>
      <w:r>
        <w:rPr>
          <w:b/>
          <w:color w:val="auto"/>
          <w:sz w:val="28"/>
        </w:rPr>
        <w:t>三、商务条件</w:t>
      </w:r>
    </w:p>
    <w:p w14:paraId="5AD03FF2">
      <w:pPr>
        <w:pStyle w:val="14"/>
        <w:jc w:val="left"/>
        <w:rPr>
          <w:color w:val="auto"/>
        </w:rPr>
      </w:pPr>
    </w:p>
    <w:p w14:paraId="6430E896">
      <w:pPr>
        <w:pStyle w:val="14"/>
        <w:jc w:val="left"/>
        <w:rPr>
          <w:color w:val="auto"/>
        </w:rPr>
      </w:pPr>
      <w:r>
        <w:rPr>
          <w:color w:val="auto"/>
        </w:rP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1497"/>
        <w:gridCol w:w="2655"/>
      </w:tblGrid>
      <w:tr w14:paraId="3D794F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AAC51A7">
            <w:pPr>
              <w:pStyle w:val="14"/>
              <w:jc w:val="left"/>
              <w:rPr>
                <w:color w:val="auto"/>
              </w:rPr>
            </w:pPr>
            <w:r>
              <w:rPr>
                <w:color w:val="auto"/>
              </w:rPr>
              <w:t>序号</w:t>
            </w:r>
          </w:p>
        </w:tc>
        <w:tc>
          <w:tcPr>
            <w:tcW w:w="2076" w:type="dxa"/>
          </w:tcPr>
          <w:p w14:paraId="6F596E10">
            <w:pPr>
              <w:pStyle w:val="14"/>
              <w:jc w:val="left"/>
              <w:rPr>
                <w:color w:val="auto"/>
              </w:rPr>
            </w:pPr>
            <w:r>
              <w:rPr>
                <w:color w:val="auto"/>
              </w:rPr>
              <w:t>参数性质</w:t>
            </w:r>
          </w:p>
        </w:tc>
        <w:tc>
          <w:tcPr>
            <w:tcW w:w="1497" w:type="dxa"/>
          </w:tcPr>
          <w:p w14:paraId="3845B15D">
            <w:pPr>
              <w:pStyle w:val="14"/>
              <w:jc w:val="left"/>
              <w:rPr>
                <w:color w:val="auto"/>
              </w:rPr>
            </w:pPr>
            <w:r>
              <w:rPr>
                <w:color w:val="auto"/>
              </w:rPr>
              <w:t>类型</w:t>
            </w:r>
          </w:p>
        </w:tc>
        <w:tc>
          <w:tcPr>
            <w:tcW w:w="2655" w:type="dxa"/>
          </w:tcPr>
          <w:p w14:paraId="4B17231E">
            <w:pPr>
              <w:pStyle w:val="14"/>
              <w:jc w:val="left"/>
              <w:rPr>
                <w:color w:val="auto"/>
              </w:rPr>
            </w:pPr>
            <w:r>
              <w:rPr>
                <w:color w:val="auto"/>
              </w:rPr>
              <w:t>要求</w:t>
            </w:r>
          </w:p>
        </w:tc>
      </w:tr>
      <w:tr w14:paraId="170E0B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76" w:type="dxa"/>
          </w:tcPr>
          <w:p w14:paraId="7E5C23EC">
            <w:pPr>
              <w:pStyle w:val="14"/>
              <w:jc w:val="left"/>
              <w:rPr>
                <w:color w:val="auto"/>
              </w:rPr>
            </w:pPr>
            <w:r>
              <w:rPr>
                <w:color w:val="auto"/>
              </w:rPr>
              <w:t>1</w:t>
            </w:r>
          </w:p>
        </w:tc>
        <w:tc>
          <w:tcPr>
            <w:tcW w:w="2076" w:type="dxa"/>
          </w:tcPr>
          <w:p w14:paraId="26836628">
            <w:pPr>
              <w:rPr>
                <w:color w:val="auto"/>
              </w:rPr>
            </w:pPr>
            <w:r>
              <w:rPr>
                <w:rFonts w:hint="eastAsia" w:ascii="微软雅黑" w:hAnsi="微软雅黑" w:eastAsia="微软雅黑" w:cs="微软雅黑"/>
                <w:color w:val="auto"/>
                <w:spacing w:val="0"/>
                <w:sz w:val="28"/>
                <w:szCs w:val="28"/>
                <w:vertAlign w:val="baseline"/>
              </w:rPr>
              <w:t>★</w:t>
            </w:r>
          </w:p>
        </w:tc>
        <w:tc>
          <w:tcPr>
            <w:tcW w:w="1497" w:type="dxa"/>
          </w:tcPr>
          <w:p w14:paraId="20D6D3DA">
            <w:pPr>
              <w:pStyle w:val="14"/>
              <w:jc w:val="left"/>
              <w:rPr>
                <w:color w:val="auto"/>
              </w:rPr>
            </w:pPr>
            <w:r>
              <w:rPr>
                <w:color w:val="auto"/>
              </w:rPr>
              <w:t>交货时间</w:t>
            </w:r>
          </w:p>
        </w:tc>
        <w:tc>
          <w:tcPr>
            <w:tcW w:w="2655" w:type="dxa"/>
          </w:tcPr>
          <w:p w14:paraId="3C54B93F">
            <w:pPr>
              <w:pStyle w:val="14"/>
              <w:jc w:val="left"/>
              <w:rPr>
                <w:color w:val="auto"/>
              </w:rPr>
            </w:pPr>
            <w:r>
              <w:rPr>
                <w:color w:val="auto"/>
              </w:rPr>
              <w:t>自合同签订之日起</w:t>
            </w:r>
            <w:r>
              <w:rPr>
                <w:rFonts w:hint="eastAsia"/>
                <w:color w:val="auto"/>
                <w:lang w:val="en-US" w:eastAsia="zh-CN"/>
              </w:rPr>
              <w:t>30</w:t>
            </w:r>
            <w:r>
              <w:rPr>
                <w:color w:val="auto"/>
              </w:rPr>
              <w:t>日</w:t>
            </w:r>
          </w:p>
        </w:tc>
      </w:tr>
      <w:tr w14:paraId="6FE548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4449F73">
            <w:pPr>
              <w:pStyle w:val="14"/>
              <w:jc w:val="left"/>
              <w:rPr>
                <w:color w:val="auto"/>
              </w:rPr>
            </w:pPr>
            <w:r>
              <w:rPr>
                <w:color w:val="auto"/>
              </w:rPr>
              <w:t>2</w:t>
            </w:r>
          </w:p>
        </w:tc>
        <w:tc>
          <w:tcPr>
            <w:tcW w:w="2076" w:type="dxa"/>
          </w:tcPr>
          <w:p w14:paraId="6767D89E">
            <w:pPr>
              <w:rPr>
                <w:color w:val="auto"/>
              </w:rPr>
            </w:pPr>
            <w:r>
              <w:rPr>
                <w:rFonts w:hint="eastAsia" w:ascii="微软雅黑" w:hAnsi="微软雅黑" w:eastAsia="微软雅黑" w:cs="微软雅黑"/>
                <w:color w:val="auto"/>
                <w:spacing w:val="0"/>
                <w:sz w:val="28"/>
                <w:szCs w:val="28"/>
                <w:vertAlign w:val="baseline"/>
              </w:rPr>
              <w:t>★</w:t>
            </w:r>
          </w:p>
        </w:tc>
        <w:tc>
          <w:tcPr>
            <w:tcW w:w="1497" w:type="dxa"/>
          </w:tcPr>
          <w:p w14:paraId="00858A24">
            <w:pPr>
              <w:pStyle w:val="14"/>
              <w:jc w:val="left"/>
              <w:rPr>
                <w:color w:val="auto"/>
              </w:rPr>
            </w:pPr>
            <w:r>
              <w:rPr>
                <w:color w:val="auto"/>
              </w:rPr>
              <w:t>交货地点</w:t>
            </w:r>
          </w:p>
        </w:tc>
        <w:tc>
          <w:tcPr>
            <w:tcW w:w="2655" w:type="dxa"/>
          </w:tcPr>
          <w:p w14:paraId="2263F52B">
            <w:pPr>
              <w:pStyle w:val="14"/>
              <w:jc w:val="left"/>
              <w:rPr>
                <w:color w:val="auto"/>
              </w:rPr>
            </w:pPr>
            <w:r>
              <w:rPr>
                <w:color w:val="auto"/>
              </w:rPr>
              <w:t>福建省三明市</w:t>
            </w:r>
            <w:r>
              <w:rPr>
                <w:rFonts w:hint="eastAsia"/>
                <w:color w:val="auto"/>
                <w:lang w:eastAsia="zh-CN"/>
              </w:rPr>
              <w:t>大田县第七中学</w:t>
            </w:r>
            <w:r>
              <w:rPr>
                <w:color w:val="auto"/>
              </w:rPr>
              <w:t>校园内</w:t>
            </w:r>
          </w:p>
        </w:tc>
      </w:tr>
      <w:tr w14:paraId="082C3F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4384AEB">
            <w:pPr>
              <w:pStyle w:val="14"/>
              <w:jc w:val="left"/>
              <w:rPr>
                <w:color w:val="auto"/>
              </w:rPr>
            </w:pPr>
            <w:r>
              <w:rPr>
                <w:color w:val="auto"/>
              </w:rPr>
              <w:t>3</w:t>
            </w:r>
          </w:p>
        </w:tc>
        <w:tc>
          <w:tcPr>
            <w:tcW w:w="2076" w:type="dxa"/>
          </w:tcPr>
          <w:p w14:paraId="47304CE9">
            <w:pPr>
              <w:rPr>
                <w:color w:val="auto"/>
              </w:rPr>
            </w:pPr>
            <w:r>
              <w:rPr>
                <w:rFonts w:hint="eastAsia" w:ascii="微软雅黑" w:hAnsi="微软雅黑" w:eastAsia="微软雅黑" w:cs="微软雅黑"/>
                <w:color w:val="auto"/>
                <w:spacing w:val="0"/>
                <w:sz w:val="28"/>
                <w:szCs w:val="28"/>
                <w:vertAlign w:val="baseline"/>
              </w:rPr>
              <w:t>★</w:t>
            </w:r>
          </w:p>
        </w:tc>
        <w:tc>
          <w:tcPr>
            <w:tcW w:w="1497" w:type="dxa"/>
          </w:tcPr>
          <w:p w14:paraId="69779106">
            <w:pPr>
              <w:pStyle w:val="14"/>
              <w:jc w:val="left"/>
              <w:rPr>
                <w:color w:val="auto"/>
              </w:rPr>
            </w:pPr>
            <w:r>
              <w:rPr>
                <w:color w:val="auto"/>
              </w:rPr>
              <w:t>交货条件</w:t>
            </w:r>
          </w:p>
        </w:tc>
        <w:tc>
          <w:tcPr>
            <w:tcW w:w="2655" w:type="dxa"/>
          </w:tcPr>
          <w:p w14:paraId="52BC3060">
            <w:pPr>
              <w:pStyle w:val="14"/>
              <w:jc w:val="left"/>
              <w:rPr>
                <w:color w:val="auto"/>
              </w:rPr>
            </w:pPr>
            <w:r>
              <w:rPr>
                <w:color w:val="auto"/>
              </w:rPr>
              <w:t>符合现行国家《工程施工质量验收规范》及其他相关规范合格标准，通过采购人最终验收合格。</w:t>
            </w:r>
          </w:p>
        </w:tc>
      </w:tr>
      <w:tr w14:paraId="1B4E1C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57FFA9B">
            <w:pPr>
              <w:pStyle w:val="14"/>
              <w:jc w:val="left"/>
              <w:rPr>
                <w:color w:val="auto"/>
              </w:rPr>
            </w:pPr>
            <w:r>
              <w:rPr>
                <w:color w:val="auto"/>
              </w:rPr>
              <w:t>4</w:t>
            </w:r>
          </w:p>
        </w:tc>
        <w:tc>
          <w:tcPr>
            <w:tcW w:w="2076" w:type="dxa"/>
          </w:tcPr>
          <w:p w14:paraId="52555ECF">
            <w:pPr>
              <w:rPr>
                <w:color w:val="auto"/>
              </w:rPr>
            </w:pPr>
            <w:r>
              <w:rPr>
                <w:rFonts w:hint="eastAsia" w:ascii="微软雅黑" w:hAnsi="微软雅黑" w:eastAsia="微软雅黑" w:cs="微软雅黑"/>
                <w:color w:val="auto"/>
                <w:spacing w:val="0"/>
                <w:sz w:val="28"/>
                <w:szCs w:val="28"/>
                <w:vertAlign w:val="baseline"/>
              </w:rPr>
              <w:t>★</w:t>
            </w:r>
          </w:p>
        </w:tc>
        <w:tc>
          <w:tcPr>
            <w:tcW w:w="1497" w:type="dxa"/>
          </w:tcPr>
          <w:p w14:paraId="64EDF237">
            <w:pPr>
              <w:pStyle w:val="14"/>
              <w:jc w:val="left"/>
              <w:rPr>
                <w:color w:val="auto"/>
              </w:rPr>
            </w:pPr>
            <w:r>
              <w:rPr>
                <w:color w:val="auto"/>
              </w:rPr>
              <w:t>是否邀请投标人验收</w:t>
            </w:r>
          </w:p>
        </w:tc>
        <w:tc>
          <w:tcPr>
            <w:tcW w:w="2655" w:type="dxa"/>
          </w:tcPr>
          <w:p w14:paraId="3FA56CD5">
            <w:pPr>
              <w:pStyle w:val="14"/>
              <w:jc w:val="left"/>
              <w:rPr>
                <w:color w:val="auto"/>
              </w:rPr>
            </w:pPr>
            <w:r>
              <w:rPr>
                <w:color w:val="auto"/>
              </w:rPr>
              <w:t>不邀请投标人验收</w:t>
            </w:r>
          </w:p>
        </w:tc>
      </w:tr>
      <w:tr w14:paraId="3BB8F6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83A8E2A">
            <w:pPr>
              <w:pStyle w:val="14"/>
              <w:jc w:val="left"/>
              <w:rPr>
                <w:color w:val="auto"/>
              </w:rPr>
            </w:pPr>
            <w:r>
              <w:rPr>
                <w:color w:val="auto"/>
              </w:rPr>
              <w:t>5</w:t>
            </w:r>
          </w:p>
        </w:tc>
        <w:tc>
          <w:tcPr>
            <w:tcW w:w="2076" w:type="dxa"/>
          </w:tcPr>
          <w:p w14:paraId="44879831">
            <w:pPr>
              <w:rPr>
                <w:color w:val="auto"/>
              </w:rPr>
            </w:pPr>
            <w:r>
              <w:rPr>
                <w:rFonts w:hint="eastAsia" w:ascii="微软雅黑" w:hAnsi="微软雅黑" w:eastAsia="微软雅黑" w:cs="微软雅黑"/>
                <w:color w:val="auto"/>
                <w:spacing w:val="0"/>
                <w:sz w:val="28"/>
                <w:szCs w:val="28"/>
                <w:vertAlign w:val="baseline"/>
              </w:rPr>
              <w:t>★</w:t>
            </w:r>
          </w:p>
        </w:tc>
        <w:tc>
          <w:tcPr>
            <w:tcW w:w="1497" w:type="dxa"/>
          </w:tcPr>
          <w:p w14:paraId="358549E2">
            <w:pPr>
              <w:pStyle w:val="14"/>
              <w:jc w:val="left"/>
              <w:rPr>
                <w:color w:val="auto"/>
              </w:rPr>
            </w:pPr>
            <w:r>
              <w:rPr>
                <w:color w:val="auto"/>
              </w:rPr>
              <w:t>履约验收方式</w:t>
            </w:r>
          </w:p>
        </w:tc>
        <w:tc>
          <w:tcPr>
            <w:tcW w:w="2655" w:type="dxa"/>
          </w:tcPr>
          <w:p w14:paraId="2C784F42">
            <w:pPr>
              <w:pStyle w:val="14"/>
              <w:jc w:val="left"/>
              <w:rPr>
                <w:color w:val="auto"/>
              </w:rPr>
            </w:pPr>
            <w:r>
              <w:rPr>
                <w:color w:val="auto"/>
              </w:rPr>
              <w:t xml:space="preserve">1、期次1，说明：期次1，说明：（1）验收标准：工程量清单、施工图纸、国家及行业规范、竞争性磋商文件要求、响应文件的承诺及合同约定等； </w:t>
            </w:r>
            <w:r>
              <w:rPr>
                <w:rFonts w:hint="eastAsia" w:ascii="Times New Roman" w:eastAsia="宋体"/>
                <w:color w:val="auto"/>
                <w:lang w:val="en-US" w:eastAsia="zh-CN"/>
              </w:rPr>
              <w:t>(2)</w:t>
            </w:r>
            <w:r>
              <w:rPr>
                <w:color w:val="auto"/>
                <w:lang w:val="en-US" w:eastAsia="zh-CN"/>
              </w:rPr>
              <w:t>原材料到场在三方见证下抽样备检，</w:t>
            </w:r>
            <w:r>
              <w:rPr>
                <w:rFonts w:hint="eastAsia" w:ascii="Times New Roman" w:eastAsia="宋体"/>
                <w:color w:val="auto"/>
                <w:lang w:val="en-US" w:eastAsia="zh-CN"/>
              </w:rPr>
              <w:t>完工后</w:t>
            </w:r>
            <w:r>
              <w:rPr>
                <w:color w:val="auto"/>
                <w:lang w:val="en-US" w:eastAsia="zh-CN"/>
              </w:rPr>
              <w:t>对平行制样的成品在三方见证下现场取样送有资质的第三方机构检测</w:t>
            </w:r>
            <w:r>
              <w:rPr>
                <w:rFonts w:hint="eastAsia" w:ascii="Times New Roman" w:eastAsia="宋体"/>
                <w:color w:val="auto"/>
                <w:lang w:val="en-US" w:eastAsia="zh-CN"/>
              </w:rPr>
              <w:t>进行</w:t>
            </w:r>
            <w:r>
              <w:rPr>
                <w:color w:val="auto"/>
                <w:lang w:val="en-US" w:eastAsia="zh-CN"/>
              </w:rPr>
              <w:t>有害物质</w:t>
            </w:r>
            <w:r>
              <w:rPr>
                <w:rFonts w:hint="eastAsia" w:ascii="Times New Roman" w:eastAsia="宋体"/>
                <w:color w:val="auto"/>
                <w:lang w:val="en-US" w:eastAsia="zh-CN"/>
              </w:rPr>
              <w:t>检测</w:t>
            </w:r>
            <w:r>
              <w:rPr>
                <w:color w:val="auto"/>
                <w:lang w:val="en-US" w:eastAsia="zh-CN"/>
              </w:rPr>
              <w:t>，</w:t>
            </w:r>
            <w:r>
              <w:rPr>
                <w:rFonts w:hint="eastAsia" w:ascii="Times New Roman" w:eastAsia="宋体"/>
                <w:color w:val="auto"/>
                <w:lang w:val="en-US" w:eastAsia="zh-CN"/>
              </w:rPr>
              <w:t>检测不合格，由中标人承担检测相关费用，检测合格，则</w:t>
            </w:r>
            <w:r>
              <w:rPr>
                <w:color w:val="auto"/>
                <w:lang w:val="en-US" w:eastAsia="zh-CN"/>
              </w:rPr>
              <w:t>检测费用由采购人承担</w:t>
            </w:r>
            <w:r>
              <w:rPr>
                <w:rFonts w:hint="eastAsia" w:ascii="Times New Roman" w:eastAsia="宋体"/>
                <w:color w:val="auto"/>
                <w:lang w:val="en-US" w:eastAsia="zh-CN"/>
              </w:rPr>
              <w:t>；</w:t>
            </w:r>
            <w:r>
              <w:rPr>
                <w:color w:val="auto"/>
                <w:lang w:val="en-US" w:eastAsia="zh-CN"/>
              </w:rPr>
              <w:t>检测机构由采购人指定。</w:t>
            </w:r>
            <w:r>
              <w:rPr>
                <w:color w:val="auto"/>
              </w:rPr>
              <w:t>（</w:t>
            </w:r>
            <w:r>
              <w:rPr>
                <w:rFonts w:hint="eastAsia"/>
                <w:color w:val="auto"/>
                <w:lang w:val="en-US" w:eastAsia="zh-CN"/>
              </w:rPr>
              <w:t>3</w:t>
            </w:r>
            <w:r>
              <w:rPr>
                <w:color w:val="auto"/>
              </w:rPr>
              <w:t>）最终验收：成交供 应商完成所有工程内容后，由采购人负责联系相关管理部门与成交供 应商按规定的标准进行验收。成交供 应商届时不派人参加的，验收结果以采购人的验收报告为最终验收结果，若验收不合格，成交供应商应立即整改直至满足验收要求，并承担相关违约责任，所有验收费用均由成交供 应商承担。</w:t>
            </w:r>
          </w:p>
        </w:tc>
      </w:tr>
      <w:tr w14:paraId="6A1EEE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66E3990">
            <w:pPr>
              <w:pStyle w:val="14"/>
              <w:jc w:val="left"/>
              <w:rPr>
                <w:color w:val="auto"/>
              </w:rPr>
            </w:pPr>
            <w:r>
              <w:rPr>
                <w:color w:val="auto"/>
              </w:rPr>
              <w:t>6</w:t>
            </w:r>
          </w:p>
        </w:tc>
        <w:tc>
          <w:tcPr>
            <w:tcW w:w="2076" w:type="dxa"/>
          </w:tcPr>
          <w:p w14:paraId="0DAB30A3">
            <w:pPr>
              <w:rPr>
                <w:color w:val="auto"/>
              </w:rPr>
            </w:pPr>
            <w:r>
              <w:rPr>
                <w:rFonts w:hint="eastAsia" w:ascii="微软雅黑" w:hAnsi="微软雅黑" w:eastAsia="微软雅黑" w:cs="微软雅黑"/>
                <w:color w:val="auto"/>
                <w:spacing w:val="0"/>
                <w:sz w:val="28"/>
                <w:szCs w:val="28"/>
                <w:vertAlign w:val="baseline"/>
              </w:rPr>
              <w:t>★</w:t>
            </w:r>
          </w:p>
        </w:tc>
        <w:tc>
          <w:tcPr>
            <w:tcW w:w="1497" w:type="dxa"/>
          </w:tcPr>
          <w:p w14:paraId="5550C10B">
            <w:pPr>
              <w:pStyle w:val="14"/>
              <w:jc w:val="left"/>
              <w:rPr>
                <w:color w:val="auto"/>
              </w:rPr>
            </w:pPr>
            <w:r>
              <w:rPr>
                <w:color w:val="auto"/>
              </w:rPr>
              <w:t>合同支付方式</w:t>
            </w:r>
          </w:p>
        </w:tc>
        <w:tc>
          <w:tcPr>
            <w:tcW w:w="2655" w:type="dxa"/>
          </w:tcPr>
          <w:p w14:paraId="35851218">
            <w:pPr>
              <w:pStyle w:val="14"/>
              <w:jc w:val="left"/>
              <w:rPr>
                <w:color w:val="auto"/>
              </w:rPr>
            </w:pPr>
            <w:r>
              <w:rPr>
                <w:color w:val="auto"/>
              </w:rPr>
              <w:t>1、①成交供应商完成合同包中所有工程内容，并通过采购人的最终验收，由成交供应商提出付款申请，开具等额发票，且财政资金到位后15个工作日内支付合同包中所有工程量总金额的80.00% 2、合同包内工程经过结算审核后，达到付款条件起10日，支付合同总金额的17.00% 3、工程最终验收合格2年后无质量及售后服务问题，达到付款条件起30日，支付合同总金额的3.00%，达到付款条件起15日内，支付</w:t>
            </w:r>
            <w:r>
              <w:rPr>
                <w:rFonts w:hint="eastAsia"/>
                <w:color w:val="auto"/>
                <w:lang w:val="en-US" w:eastAsia="zh-CN"/>
              </w:rPr>
              <w:t>至应付</w:t>
            </w:r>
            <w:r>
              <w:rPr>
                <w:color w:val="auto"/>
              </w:rPr>
              <w:t>合同总金额的100.00%</w:t>
            </w:r>
          </w:p>
        </w:tc>
      </w:tr>
      <w:tr w14:paraId="69CE2B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BF3A88C">
            <w:pPr>
              <w:pStyle w:val="14"/>
              <w:jc w:val="left"/>
              <w:rPr>
                <w:color w:val="auto"/>
              </w:rPr>
            </w:pPr>
            <w:r>
              <w:rPr>
                <w:color w:val="auto"/>
              </w:rPr>
              <w:t>7</w:t>
            </w:r>
          </w:p>
        </w:tc>
        <w:tc>
          <w:tcPr>
            <w:tcW w:w="2076" w:type="dxa"/>
          </w:tcPr>
          <w:p w14:paraId="6E6F6780">
            <w:pPr>
              <w:rPr>
                <w:color w:val="auto"/>
              </w:rPr>
            </w:pPr>
          </w:p>
        </w:tc>
        <w:tc>
          <w:tcPr>
            <w:tcW w:w="1497" w:type="dxa"/>
          </w:tcPr>
          <w:p w14:paraId="5371BEFE">
            <w:pPr>
              <w:pStyle w:val="14"/>
              <w:jc w:val="left"/>
              <w:rPr>
                <w:color w:val="auto"/>
              </w:rPr>
            </w:pPr>
            <w:r>
              <w:rPr>
                <w:color w:val="auto"/>
              </w:rPr>
              <w:t>其他</w:t>
            </w:r>
          </w:p>
        </w:tc>
        <w:tc>
          <w:tcPr>
            <w:tcW w:w="2655" w:type="dxa"/>
          </w:tcPr>
          <w:p w14:paraId="23A1F027">
            <w:pPr>
              <w:pStyle w:val="14"/>
              <w:jc w:val="left"/>
              <w:rPr>
                <w:color w:val="auto"/>
              </w:rPr>
            </w:pPr>
            <w:r>
              <w:rPr>
                <w:color w:val="auto"/>
              </w:rPr>
              <w:t>1、履约保证金</w:t>
            </w:r>
            <w:r>
              <w:rPr>
                <w:color w:val="auto"/>
              </w:rPr>
              <w:tab/>
            </w:r>
            <w:r>
              <w:rPr>
                <w:color w:val="auto"/>
              </w:rPr>
              <w:t>合同签订之前，成交供 应商须向采购人缴纳成交金额的10%作为本工程履约保证金，履约保证金以银行保函、保险保函或对公转账方式提交，待</w:t>
            </w:r>
            <w:r>
              <w:rPr>
                <w:rFonts w:hint="eastAsia" w:ascii="Times New Roman" w:eastAsia="宋体"/>
                <w:b/>
                <w:color w:val="auto"/>
                <w:lang w:val="en-US" w:eastAsia="zh-CN"/>
              </w:rPr>
              <w:t>一</w:t>
            </w:r>
            <w:r>
              <w:rPr>
                <w:b/>
                <w:color w:val="auto"/>
              </w:rPr>
              <w:t>年</w:t>
            </w:r>
            <w:r>
              <w:rPr>
                <w:rFonts w:hint="eastAsia" w:ascii="Times New Roman" w:eastAsia="宋体"/>
                <w:b/>
                <w:color w:val="auto"/>
                <w:lang w:val="en-US" w:eastAsia="zh-CN"/>
              </w:rPr>
              <w:t>缺陷责任</w:t>
            </w:r>
            <w:r>
              <w:rPr>
                <w:b/>
                <w:color w:val="auto"/>
              </w:rPr>
              <w:t>期满后</w:t>
            </w:r>
            <w:r>
              <w:rPr>
                <w:color w:val="auto"/>
              </w:rPr>
              <w:t>，采购人无息退还。如成交供应商合同期内有违约行为，按合同约定扣除相应罚金。</w:t>
            </w:r>
          </w:p>
        </w:tc>
      </w:tr>
    </w:tbl>
    <w:p w14:paraId="1A39728D">
      <w:pPr>
        <w:pStyle w:val="14"/>
        <w:jc w:val="left"/>
        <w:rPr>
          <w:color w:val="auto"/>
        </w:rPr>
      </w:pPr>
    </w:p>
    <w:p w14:paraId="44E50B20">
      <w:pPr>
        <w:pStyle w:val="14"/>
        <w:jc w:val="left"/>
        <w:rPr>
          <w:color w:val="auto"/>
        </w:rPr>
      </w:pPr>
      <w:r>
        <w:rPr>
          <w:color w:val="auto"/>
        </w:rPr>
        <w:t>其他商务要求：</w:t>
      </w:r>
    </w:p>
    <w:p w14:paraId="6495E830">
      <w:pPr>
        <w:pStyle w:val="14"/>
        <w:jc w:val="left"/>
        <w:rPr>
          <w:color w:val="auto"/>
        </w:rPr>
      </w:pPr>
    </w:p>
    <w:p w14:paraId="5481E4B6">
      <w:pPr>
        <w:pStyle w:val="14"/>
        <w:jc w:val="left"/>
        <w:rPr>
          <w:color w:val="auto"/>
        </w:rPr>
      </w:pPr>
    </w:p>
    <w:p w14:paraId="1820B357">
      <w:pPr>
        <w:pStyle w:val="14"/>
        <w:ind w:firstLine="442"/>
        <w:jc w:val="left"/>
        <w:rPr>
          <w:color w:val="auto"/>
        </w:rPr>
      </w:pPr>
      <w:r>
        <w:rPr>
          <w:rFonts w:ascii="宋体" w:hAnsi="宋体" w:eastAsia="宋体" w:cs="宋体"/>
          <w:b/>
          <w:color w:val="auto"/>
          <w:sz w:val="24"/>
        </w:rPr>
        <w:t>8、</w:t>
      </w:r>
      <w:r>
        <w:rPr>
          <w:rFonts w:ascii="宋体" w:hAnsi="宋体" w:eastAsia="宋体" w:cs="宋体"/>
          <w:color w:val="auto"/>
          <w:sz w:val="24"/>
        </w:rPr>
        <w:t>采购人不组织现场踏勘，供应商应自行对服务地点情况和周围环境进行勘察，以获取编制响应文件和签署合同所需的资料。勘察现场所发生的费用由供应商自行承担。采购人提供的有关资料和数据，仅供参考，采购人对供应商由此而做出的推论、理解和结论概不负责，除采购人提供的资料外，完成本项目必需的其他资料由成交供应商自行解决。供应商因自身原因未实地踏勘的，签订合同时和履约过程中，不得以不完全了解现场情况为由，提出任何形式的增加款项或索赔要求。</w:t>
      </w:r>
    </w:p>
    <w:p w14:paraId="73AE142F">
      <w:pPr>
        <w:pStyle w:val="14"/>
        <w:ind w:firstLine="442"/>
        <w:jc w:val="left"/>
        <w:rPr>
          <w:color w:val="auto"/>
        </w:rPr>
      </w:pPr>
      <w:r>
        <w:rPr>
          <w:rFonts w:ascii="宋体" w:hAnsi="宋体" w:eastAsia="宋体" w:cs="宋体"/>
          <w:b/>
          <w:color w:val="auto"/>
          <w:sz w:val="24"/>
        </w:rPr>
        <w:t>9、</w:t>
      </w:r>
      <w:r>
        <w:rPr>
          <w:rFonts w:ascii="宋体" w:hAnsi="宋体" w:eastAsia="宋体" w:cs="宋体"/>
          <w:color w:val="auto"/>
          <w:sz w:val="24"/>
        </w:rPr>
        <w:t>响应报价：</w:t>
      </w:r>
    </w:p>
    <w:p w14:paraId="2399B0A6">
      <w:pPr>
        <w:pStyle w:val="14"/>
        <w:ind w:firstLine="480"/>
        <w:jc w:val="left"/>
        <w:rPr>
          <w:color w:val="auto"/>
        </w:rPr>
      </w:pPr>
      <w:r>
        <w:rPr>
          <w:rFonts w:ascii="宋体" w:hAnsi="宋体" w:eastAsia="宋体" w:cs="宋体"/>
          <w:color w:val="auto"/>
          <w:sz w:val="24"/>
        </w:rPr>
        <w:t>9.1投标人二次报价仅提供总价即可，投标人成交后，</w:t>
      </w:r>
      <w:r>
        <w:rPr>
          <w:rFonts w:hint="eastAsia" w:ascii="宋体" w:hAnsi="宋体" w:eastAsia="宋体" w:cs="宋体"/>
          <w:color w:val="auto"/>
          <w:sz w:val="24"/>
          <w:lang w:val="en-US" w:eastAsia="zh-CN"/>
        </w:rPr>
        <w:t>结算</w:t>
      </w:r>
      <w:r>
        <w:rPr>
          <w:rFonts w:ascii="宋体" w:hAnsi="宋体" w:eastAsia="宋体" w:cs="宋体"/>
          <w:color w:val="auto"/>
          <w:sz w:val="24"/>
        </w:rPr>
        <w:t>参照其二次报价与</w:t>
      </w:r>
      <w:r>
        <w:rPr>
          <w:rFonts w:hint="eastAsia" w:ascii="宋体" w:hAnsi="宋体" w:eastAsia="宋体" w:cs="宋体"/>
          <w:color w:val="auto"/>
          <w:sz w:val="24"/>
          <w:lang w:val="en-US" w:eastAsia="zh-CN"/>
        </w:rPr>
        <w:t>预算造价</w:t>
      </w:r>
      <w:r>
        <w:rPr>
          <w:rFonts w:hint="eastAsia" w:ascii="宋体" w:hAnsi="宋体" w:eastAsia="宋体" w:cs="宋体"/>
          <w:color w:val="auto"/>
          <w:sz w:val="24"/>
          <w:lang w:eastAsia="zh-CN"/>
        </w:rPr>
        <w:t>（</w:t>
      </w:r>
      <w:r>
        <w:rPr>
          <w:rFonts w:ascii="宋体" w:hAnsi="宋体" w:eastAsia="宋体" w:cs="宋体"/>
          <w:color w:val="auto"/>
          <w:sz w:val="24"/>
        </w:rPr>
        <w:t>预算审核价</w:t>
      </w:r>
      <w:r>
        <w:rPr>
          <w:rFonts w:hint="eastAsia" w:ascii="宋体" w:hAnsi="宋体" w:eastAsia="宋体" w:cs="宋体"/>
          <w:color w:val="auto"/>
          <w:sz w:val="24"/>
          <w:lang w:eastAsia="zh-CN"/>
        </w:rPr>
        <w:t>）</w:t>
      </w:r>
      <w:r>
        <w:rPr>
          <w:rFonts w:ascii="宋体" w:hAnsi="宋体" w:eastAsia="宋体" w:cs="宋体"/>
          <w:color w:val="auto"/>
          <w:sz w:val="24"/>
        </w:rPr>
        <w:t>的下浮比例，</w:t>
      </w:r>
      <w:r>
        <w:rPr>
          <w:rFonts w:hint="eastAsia" w:ascii="宋体" w:hAnsi="宋体" w:eastAsia="宋体" w:cs="宋体"/>
          <w:color w:val="auto"/>
          <w:sz w:val="24"/>
          <w:lang w:val="en-US" w:eastAsia="zh-CN"/>
        </w:rPr>
        <w:t>反算</w:t>
      </w:r>
      <w:r>
        <w:rPr>
          <w:rFonts w:hint="eastAsia" w:ascii="宋体" w:hAnsi="宋体" w:eastAsia="宋体" w:cs="宋体"/>
          <w:color w:val="auto"/>
          <w:sz w:val="24"/>
        </w:rPr>
        <w:t>中标优惠率</w:t>
      </w:r>
      <w:r>
        <w:rPr>
          <w:rFonts w:hint="eastAsia" w:ascii="宋体" w:hAnsi="宋体" w:eastAsia="宋体" w:cs="宋体"/>
          <w:color w:val="auto"/>
          <w:sz w:val="24"/>
          <w:lang w:val="en-US" w:eastAsia="zh-CN"/>
        </w:rPr>
        <w:t>K值</w:t>
      </w:r>
      <w:r>
        <w:rPr>
          <w:rFonts w:ascii="宋体" w:hAnsi="宋体" w:eastAsia="宋体" w:cs="宋体"/>
          <w:color w:val="auto"/>
          <w:sz w:val="24"/>
        </w:rPr>
        <w:t>。在合同签订时，根据其最后报价</w:t>
      </w:r>
      <w:r>
        <w:rPr>
          <w:rFonts w:hint="eastAsia" w:ascii="宋体" w:hAnsi="宋体" w:eastAsia="宋体" w:cs="宋体"/>
          <w:color w:val="auto"/>
          <w:sz w:val="24"/>
          <w:lang w:val="en-US" w:eastAsia="zh-CN"/>
        </w:rPr>
        <w:t>及反算的中标</w:t>
      </w:r>
      <w:r>
        <w:rPr>
          <w:rFonts w:hint="eastAsia" w:ascii="宋体" w:hAnsi="宋体" w:eastAsia="宋体" w:cs="宋体"/>
          <w:color w:val="auto"/>
          <w:sz w:val="24"/>
        </w:rPr>
        <w:t>优惠率</w:t>
      </w:r>
      <w:r>
        <w:rPr>
          <w:rFonts w:ascii="宋体" w:hAnsi="宋体" w:eastAsia="宋体" w:cs="宋体"/>
          <w:color w:val="auto"/>
          <w:sz w:val="24"/>
        </w:rPr>
        <w:t>将作为合同的组成部分。</w:t>
      </w:r>
    </w:p>
    <w:p w14:paraId="78B351A5">
      <w:pPr>
        <w:pStyle w:val="14"/>
        <w:ind w:firstLine="480"/>
        <w:jc w:val="left"/>
        <w:rPr>
          <w:color w:val="auto"/>
        </w:rPr>
      </w:pPr>
      <w:r>
        <w:rPr>
          <w:rFonts w:ascii="宋体" w:hAnsi="宋体" w:eastAsia="宋体" w:cs="宋体"/>
          <w:color w:val="auto"/>
          <w:sz w:val="24"/>
        </w:rPr>
        <w:t>9.2 投标人在报价时，需将工程量清单、控制价、合同条款、技术标准和要求以及图纸等章节内容一起阅读和理解。</w:t>
      </w:r>
    </w:p>
    <w:p w14:paraId="5895F6E4">
      <w:pPr>
        <w:pStyle w:val="14"/>
        <w:ind w:firstLine="480"/>
        <w:jc w:val="left"/>
        <w:rPr>
          <w:color w:val="auto"/>
        </w:rPr>
      </w:pPr>
      <w:r>
        <w:rPr>
          <w:rFonts w:ascii="宋体" w:hAnsi="宋体" w:eastAsia="宋体" w:cs="宋体"/>
          <w:color w:val="auto"/>
          <w:sz w:val="24"/>
        </w:rPr>
        <w:t>9.3 报价应根据招标文件中的有关计价要求，并按照下列依据自主报价：</w:t>
      </w:r>
    </w:p>
    <w:p w14:paraId="12081CAF">
      <w:pPr>
        <w:pStyle w:val="14"/>
        <w:ind w:firstLine="480"/>
        <w:jc w:val="left"/>
        <w:rPr>
          <w:color w:val="auto"/>
        </w:rPr>
      </w:pPr>
      <w:r>
        <w:rPr>
          <w:rFonts w:ascii="宋体" w:hAnsi="宋体" w:eastAsia="宋体" w:cs="宋体"/>
          <w:color w:val="auto"/>
          <w:sz w:val="24"/>
        </w:rPr>
        <w:t>（1）招标文件、工程量清单及其补充通知、答疑纪要；</w:t>
      </w:r>
    </w:p>
    <w:p w14:paraId="1DB3D3D5">
      <w:pPr>
        <w:pStyle w:val="14"/>
        <w:ind w:firstLine="480"/>
        <w:jc w:val="left"/>
        <w:rPr>
          <w:color w:val="auto"/>
        </w:rPr>
      </w:pPr>
      <w:r>
        <w:rPr>
          <w:rFonts w:ascii="宋体" w:hAnsi="宋体" w:eastAsia="宋体" w:cs="宋体"/>
          <w:color w:val="auto"/>
          <w:sz w:val="24"/>
        </w:rPr>
        <w:t>（2）现行工程量清单计价规范及福建省现行有关规定；</w:t>
      </w:r>
    </w:p>
    <w:p w14:paraId="5CC9EE92">
      <w:pPr>
        <w:pStyle w:val="14"/>
        <w:ind w:firstLine="480"/>
        <w:jc w:val="left"/>
        <w:rPr>
          <w:color w:val="auto"/>
        </w:rPr>
      </w:pPr>
      <w:r>
        <w:rPr>
          <w:rFonts w:ascii="宋体" w:hAnsi="宋体" w:eastAsia="宋体" w:cs="宋体"/>
          <w:color w:val="auto"/>
          <w:sz w:val="24"/>
        </w:rPr>
        <w:t>（3）国家或省级建设主管部门颁发的计价办法；</w:t>
      </w:r>
    </w:p>
    <w:p w14:paraId="401F1AE4">
      <w:pPr>
        <w:pStyle w:val="14"/>
        <w:ind w:firstLine="480"/>
        <w:jc w:val="left"/>
        <w:rPr>
          <w:color w:val="auto"/>
        </w:rPr>
      </w:pPr>
      <w:r>
        <w:rPr>
          <w:rFonts w:ascii="宋体" w:hAnsi="宋体" w:eastAsia="宋体" w:cs="宋体"/>
          <w:color w:val="auto"/>
          <w:sz w:val="24"/>
        </w:rPr>
        <w:t>（4）企业定额，国家或省级建设主管部门颁发的计价定额；</w:t>
      </w:r>
    </w:p>
    <w:p w14:paraId="5BF0492B">
      <w:pPr>
        <w:pStyle w:val="14"/>
        <w:ind w:firstLine="480"/>
        <w:jc w:val="left"/>
        <w:rPr>
          <w:color w:val="auto"/>
        </w:rPr>
      </w:pPr>
      <w:r>
        <w:rPr>
          <w:rFonts w:ascii="宋体" w:hAnsi="宋体" w:eastAsia="宋体" w:cs="宋体"/>
          <w:color w:val="auto"/>
          <w:sz w:val="24"/>
        </w:rPr>
        <w:t>（5）建设工程设计文件及相关资料；</w:t>
      </w:r>
    </w:p>
    <w:p w14:paraId="38F561E7">
      <w:pPr>
        <w:pStyle w:val="14"/>
        <w:ind w:firstLine="480"/>
        <w:jc w:val="left"/>
        <w:rPr>
          <w:color w:val="auto"/>
        </w:rPr>
      </w:pPr>
      <w:r>
        <w:rPr>
          <w:rFonts w:ascii="宋体" w:hAnsi="宋体" w:eastAsia="宋体" w:cs="宋体"/>
          <w:color w:val="auto"/>
          <w:sz w:val="24"/>
        </w:rPr>
        <w:t>（6）施工现场情况、工程特点及响应时拟定的施工组织设计；</w:t>
      </w:r>
    </w:p>
    <w:p w14:paraId="09F2B8DB">
      <w:pPr>
        <w:pStyle w:val="14"/>
        <w:ind w:firstLine="480"/>
        <w:jc w:val="left"/>
        <w:rPr>
          <w:color w:val="auto"/>
        </w:rPr>
      </w:pPr>
      <w:r>
        <w:rPr>
          <w:rFonts w:ascii="宋体" w:hAnsi="宋体" w:eastAsia="宋体" w:cs="宋体"/>
          <w:color w:val="auto"/>
          <w:sz w:val="24"/>
        </w:rPr>
        <w:t>（7）与建设项目相关的标准、规范等技术资料；</w:t>
      </w:r>
    </w:p>
    <w:p w14:paraId="18691B60">
      <w:pPr>
        <w:pStyle w:val="14"/>
        <w:ind w:firstLine="480"/>
        <w:jc w:val="left"/>
        <w:rPr>
          <w:color w:val="auto"/>
        </w:rPr>
      </w:pPr>
      <w:r>
        <w:rPr>
          <w:rFonts w:ascii="宋体" w:hAnsi="宋体" w:eastAsia="宋体" w:cs="宋体"/>
          <w:color w:val="auto"/>
          <w:sz w:val="24"/>
        </w:rPr>
        <w:t>（8）其他的相关资料。</w:t>
      </w:r>
    </w:p>
    <w:p w14:paraId="0D953410">
      <w:pPr>
        <w:pStyle w:val="14"/>
        <w:ind w:firstLine="480"/>
        <w:jc w:val="left"/>
        <w:rPr>
          <w:color w:val="auto"/>
        </w:rPr>
      </w:pPr>
      <w:r>
        <w:rPr>
          <w:rFonts w:ascii="宋体" w:hAnsi="宋体" w:eastAsia="宋体" w:cs="宋体"/>
          <w:color w:val="auto"/>
          <w:sz w:val="24"/>
        </w:rPr>
        <w:t>9.</w:t>
      </w:r>
      <w:r>
        <w:rPr>
          <w:rFonts w:hint="eastAsia" w:ascii="宋体" w:hAnsi="宋体" w:eastAsia="宋体" w:cs="宋体"/>
          <w:color w:val="auto"/>
          <w:sz w:val="24"/>
          <w:lang w:val="en-US" w:eastAsia="zh-CN"/>
        </w:rPr>
        <w:t>4</w:t>
      </w:r>
      <w:r>
        <w:rPr>
          <w:rFonts w:ascii="宋体" w:hAnsi="宋体" w:eastAsia="宋体" w:cs="宋体"/>
          <w:color w:val="auto"/>
          <w:sz w:val="24"/>
        </w:rPr>
        <w:t xml:space="preserve"> 投标人需按照以下要求进行报价</w:t>
      </w:r>
      <w:r>
        <w:rPr>
          <w:rFonts w:hint="eastAsia" w:ascii="宋体" w:hAnsi="宋体" w:eastAsia="宋体" w:cs="宋体"/>
          <w:color w:val="auto"/>
          <w:sz w:val="24"/>
          <w:lang w:val="en-US" w:eastAsia="zh-CN"/>
        </w:rPr>
        <w:t>及结算</w:t>
      </w:r>
      <w:r>
        <w:rPr>
          <w:rFonts w:ascii="宋体" w:hAnsi="宋体" w:eastAsia="宋体" w:cs="宋体"/>
          <w:color w:val="auto"/>
          <w:sz w:val="24"/>
        </w:rPr>
        <w:t>：</w:t>
      </w:r>
    </w:p>
    <w:p w14:paraId="235B4A71">
      <w:pPr>
        <w:pStyle w:val="14"/>
        <w:ind w:firstLine="480"/>
        <w:jc w:val="left"/>
        <w:rPr>
          <w:rFonts w:ascii="宋体" w:hAnsi="宋体" w:eastAsia="宋体" w:cs="宋体"/>
          <w:color w:val="auto"/>
          <w:sz w:val="24"/>
        </w:rPr>
      </w:pPr>
      <w:r>
        <w:rPr>
          <w:rFonts w:ascii="宋体" w:hAnsi="宋体" w:eastAsia="宋体" w:cs="宋体"/>
          <w:color w:val="auto"/>
          <w:sz w:val="24"/>
        </w:rPr>
        <w:t>（1）</w:t>
      </w:r>
      <w:r>
        <w:rPr>
          <w:rFonts w:hint="eastAsia" w:ascii="宋体" w:hAnsi="宋体" w:eastAsia="宋体" w:cs="宋体"/>
          <w:color w:val="auto"/>
          <w:sz w:val="24"/>
        </w:rPr>
        <w:t>本工程按固定单价合同，工程量按实结算。清单外新增的项目按有关定额计取，但必须按中标优惠率优惠；若定额无法套价或低于市场价的，需双方面议协办理签证单价。但经采购人同意的设 计变更、工程签证的允许按签证调整工程造价（调整部分工程造价根据本项目的下浮比例作相应的增减）。清单下浮按照采购人提供的工程量清单下浮，不得更改，更改为无效响应。下浮优惠率（K表示）报价请标明总价和下浮优惠率，两者缺一不可，下浮优惠率（百分比表示）为供 应 商在响应报价时承诺的预算价下降的幅度，下浮后的K值即中标价计算方法为响应报价按招标预算造价</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预算审核价</w:t>
      </w:r>
      <w:r>
        <w:rPr>
          <w:rFonts w:hint="eastAsia" w:ascii="宋体" w:hAnsi="宋体" w:eastAsia="宋体" w:cs="宋体"/>
          <w:color w:val="auto"/>
          <w:sz w:val="24"/>
          <w:lang w:eastAsia="zh-CN"/>
        </w:rPr>
        <w:t>）</w:t>
      </w:r>
      <w:r>
        <w:rPr>
          <w:rFonts w:hint="eastAsia" w:ascii="宋体" w:hAnsi="宋体" w:eastAsia="宋体" w:cs="宋体"/>
          <w:color w:val="auto"/>
          <w:sz w:val="24"/>
        </w:rPr>
        <w:t>下降一定幅度（设定为K）计算。</w:t>
      </w:r>
      <w:r>
        <w:rPr>
          <w:rFonts w:hint="eastAsia" w:ascii="宋体" w:hAnsi="宋体" w:eastAsia="宋体" w:cs="宋体"/>
          <w:b/>
          <w:bCs/>
          <w:color w:val="auto"/>
          <w:sz w:val="24"/>
        </w:rPr>
        <w:t>计算公式为：响应报价＝（预算造价-暂列金-专业工程暂估价）×（1-K）+暂列金+专业工程暂估价。报价总价取整数（以“元”为单位，小数点后第一位“四舍五入”）。报价文件不需要提供分部分项工程量清单计价表和其他造价表，但需要按</w:t>
      </w:r>
      <w:r>
        <w:rPr>
          <w:rFonts w:hint="eastAsia" w:ascii="宋体" w:hAnsi="宋体" w:eastAsia="宋体" w:cs="宋体"/>
          <w:b/>
          <w:bCs/>
          <w:color w:val="auto"/>
          <w:sz w:val="24"/>
          <w:lang w:val="en-US" w:eastAsia="zh-CN"/>
        </w:rPr>
        <w:t>清单填报</w:t>
      </w:r>
      <w:r>
        <w:rPr>
          <w:rFonts w:hint="eastAsia" w:ascii="宋体" w:hAnsi="宋体" w:eastAsia="宋体" w:cs="宋体"/>
          <w:b/>
          <w:bCs/>
          <w:color w:val="auto"/>
          <w:sz w:val="24"/>
        </w:rPr>
        <w:t>响应报价的公式进行报价，并注明</w:t>
      </w:r>
      <w:r>
        <w:rPr>
          <w:rFonts w:hint="eastAsia" w:ascii="宋体" w:hAnsi="宋体" w:eastAsia="宋体" w:cs="宋体"/>
          <w:b/>
          <w:bCs/>
          <w:color w:val="auto"/>
          <w:sz w:val="24"/>
          <w:lang w:val="en-US" w:eastAsia="zh-CN"/>
        </w:rPr>
        <w:t>报价下浮</w:t>
      </w:r>
      <w:r>
        <w:rPr>
          <w:rFonts w:hint="eastAsia" w:ascii="宋体" w:hAnsi="宋体" w:eastAsia="宋体" w:cs="宋体"/>
          <w:b/>
          <w:bCs/>
          <w:color w:val="auto"/>
          <w:sz w:val="24"/>
        </w:rPr>
        <w:t>的K值。投标人最终投标报价必须按预算价进行报价和下浮率，报价按上述计算得出，总价与K值不符按无效报价处理。</w:t>
      </w:r>
    </w:p>
    <w:p w14:paraId="6EB15487">
      <w:pPr>
        <w:pStyle w:val="14"/>
        <w:ind w:firstLine="480"/>
        <w:jc w:val="left"/>
        <w:rPr>
          <w:color w:val="auto"/>
        </w:rPr>
      </w:pPr>
      <w:r>
        <w:rPr>
          <w:rFonts w:ascii="宋体" w:hAnsi="宋体" w:eastAsia="宋体" w:cs="宋体"/>
          <w:color w:val="auto"/>
          <w:sz w:val="24"/>
        </w:rPr>
        <w:t>9.</w:t>
      </w:r>
      <w:r>
        <w:rPr>
          <w:rFonts w:hint="eastAsia" w:ascii="宋体" w:hAnsi="宋体" w:eastAsia="宋体" w:cs="宋体"/>
          <w:color w:val="auto"/>
          <w:sz w:val="24"/>
          <w:lang w:val="en-US" w:eastAsia="zh-CN"/>
        </w:rPr>
        <w:t>5</w:t>
      </w:r>
      <w:r>
        <w:rPr>
          <w:rFonts w:ascii="宋体" w:hAnsi="宋体" w:eastAsia="宋体" w:cs="宋体"/>
          <w:color w:val="auto"/>
          <w:sz w:val="24"/>
        </w:rPr>
        <w:t xml:space="preserve"> 中标价的单价或金额，应包括所需人工费、材料费、施工机械使用费、企业管理费、利润、规费和税金，以及一定范围内的风险。报价时应考虑采购文件中要求投标人承担的风险范围。投标人一旦成交，不论是否计取风险费用即可认为风险费用已包括在各项费用中。</w:t>
      </w:r>
    </w:p>
    <w:p w14:paraId="04A3270A">
      <w:pPr>
        <w:pStyle w:val="14"/>
        <w:ind w:firstLine="480"/>
        <w:jc w:val="left"/>
        <w:rPr>
          <w:color w:val="auto"/>
        </w:rPr>
      </w:pPr>
      <w:r>
        <w:rPr>
          <w:rFonts w:ascii="宋体" w:hAnsi="宋体" w:eastAsia="宋体" w:cs="宋体"/>
          <w:color w:val="auto"/>
          <w:sz w:val="24"/>
        </w:rPr>
        <w:t>9.</w:t>
      </w:r>
      <w:r>
        <w:rPr>
          <w:rFonts w:hint="eastAsia" w:ascii="宋体" w:hAnsi="宋体" w:eastAsia="宋体" w:cs="宋体"/>
          <w:color w:val="auto"/>
          <w:sz w:val="24"/>
          <w:lang w:val="en-US" w:eastAsia="zh-CN"/>
        </w:rPr>
        <w:t>6</w:t>
      </w:r>
      <w:r>
        <w:rPr>
          <w:rFonts w:ascii="宋体" w:hAnsi="宋体" w:eastAsia="宋体" w:cs="宋体"/>
          <w:color w:val="auto"/>
          <w:sz w:val="24"/>
        </w:rPr>
        <w:t xml:space="preserve"> 投标人须提供安装和维修所需的特殊专用工具及随机的易损件、配件清单，该部分费用应包含在投标报价相应项目中。</w:t>
      </w:r>
    </w:p>
    <w:p w14:paraId="169C59C9">
      <w:pPr>
        <w:pStyle w:val="14"/>
        <w:ind w:firstLine="480"/>
        <w:jc w:val="left"/>
        <w:rPr>
          <w:color w:val="auto"/>
        </w:rPr>
      </w:pPr>
      <w:r>
        <w:rPr>
          <w:rFonts w:ascii="宋体" w:hAnsi="宋体" w:eastAsia="宋体" w:cs="宋体"/>
          <w:color w:val="auto"/>
          <w:sz w:val="24"/>
        </w:rPr>
        <w:t>9.</w:t>
      </w:r>
      <w:r>
        <w:rPr>
          <w:rFonts w:hint="eastAsia" w:ascii="宋体" w:hAnsi="宋体" w:eastAsia="宋体" w:cs="宋体"/>
          <w:color w:val="auto"/>
          <w:sz w:val="24"/>
          <w:lang w:val="en-US" w:eastAsia="zh-CN"/>
        </w:rPr>
        <w:t>7</w:t>
      </w:r>
      <w:r>
        <w:rPr>
          <w:rFonts w:ascii="宋体" w:hAnsi="宋体" w:eastAsia="宋体" w:cs="宋体"/>
          <w:color w:val="auto"/>
          <w:sz w:val="24"/>
        </w:rPr>
        <w:t xml:space="preserve"> 若投标人最后报价时没有提交明细报价的，则其最后报价单价按以下公式计算：最后报价单价 = 首次报价单价 ×（最后报价/首次报价），计算结果按四舍五入计算保留至小数点后两位，然后再根据最后报价修正单价。</w:t>
      </w:r>
    </w:p>
    <w:p w14:paraId="7A19CD28">
      <w:pPr>
        <w:pStyle w:val="14"/>
        <w:ind w:firstLine="480"/>
        <w:jc w:val="left"/>
        <w:rPr>
          <w:color w:val="auto"/>
        </w:rPr>
      </w:pPr>
      <w:r>
        <w:rPr>
          <w:rFonts w:ascii="宋体" w:hAnsi="宋体" w:eastAsia="宋体" w:cs="宋体"/>
          <w:color w:val="auto"/>
          <w:sz w:val="24"/>
        </w:rPr>
        <w:t xml:space="preserve"> 9.</w:t>
      </w:r>
      <w:r>
        <w:rPr>
          <w:rFonts w:hint="eastAsia" w:ascii="宋体" w:hAnsi="宋体" w:eastAsia="宋体" w:cs="宋体"/>
          <w:color w:val="auto"/>
          <w:sz w:val="24"/>
          <w:lang w:val="en-US" w:eastAsia="zh-CN"/>
        </w:rPr>
        <w:t>8清单内施工产生的</w:t>
      </w:r>
      <w:r>
        <w:rPr>
          <w:rFonts w:ascii="宋体" w:hAnsi="宋体" w:eastAsia="宋体" w:cs="宋体"/>
          <w:color w:val="auto"/>
          <w:sz w:val="24"/>
        </w:rPr>
        <w:t>建筑垃圾及时清运出</w:t>
      </w:r>
      <w:r>
        <w:rPr>
          <w:rFonts w:hint="eastAsia" w:ascii="宋体" w:hAnsi="宋体" w:eastAsia="宋体" w:cs="宋体"/>
          <w:color w:val="auto"/>
          <w:sz w:val="24"/>
          <w:lang w:val="en-US" w:eastAsia="zh-CN"/>
        </w:rPr>
        <w:t>场</w:t>
      </w:r>
      <w:r>
        <w:rPr>
          <w:rFonts w:ascii="宋体" w:hAnsi="宋体" w:eastAsia="宋体" w:cs="宋体"/>
          <w:color w:val="auto"/>
          <w:sz w:val="24"/>
        </w:rPr>
        <w:t>，垃圾</w:t>
      </w:r>
      <w:r>
        <w:rPr>
          <w:rFonts w:hint="eastAsia" w:ascii="宋体" w:hAnsi="宋体" w:eastAsia="宋体" w:cs="宋体"/>
          <w:color w:val="auto"/>
          <w:sz w:val="24"/>
          <w:lang w:val="en-US" w:eastAsia="zh-CN"/>
        </w:rPr>
        <w:t>装车、</w:t>
      </w:r>
      <w:r>
        <w:rPr>
          <w:rFonts w:ascii="宋体" w:hAnsi="宋体" w:eastAsia="宋体" w:cs="宋体"/>
          <w:color w:val="auto"/>
          <w:sz w:val="24"/>
        </w:rPr>
        <w:t>外运距离及相关费用施工方自行考虑，结算不作增补。施工方必须充分考虑上述费用因素，并在此基础上提供合理报价，不得恶意低价，否则，若无法按要求履行合同将承担违约责任，招标方有权追究由此给招标方造成的所有损失。</w:t>
      </w:r>
    </w:p>
    <w:p w14:paraId="164F9CEA">
      <w:pPr>
        <w:pStyle w:val="14"/>
        <w:ind w:firstLine="480"/>
        <w:jc w:val="left"/>
        <w:rPr>
          <w:color w:val="auto"/>
        </w:rPr>
      </w:pPr>
      <w:r>
        <w:rPr>
          <w:rFonts w:ascii="宋体" w:hAnsi="宋体" w:eastAsia="宋体" w:cs="宋体"/>
          <w:color w:val="auto"/>
          <w:sz w:val="24"/>
        </w:rPr>
        <w:t>9.</w:t>
      </w:r>
      <w:r>
        <w:rPr>
          <w:rFonts w:hint="eastAsia" w:ascii="宋体" w:hAnsi="宋体" w:eastAsia="宋体" w:cs="宋体"/>
          <w:color w:val="auto"/>
          <w:sz w:val="24"/>
          <w:lang w:val="en-US" w:eastAsia="zh-CN"/>
        </w:rPr>
        <w:t>9</w:t>
      </w:r>
      <w:r>
        <w:rPr>
          <w:rFonts w:ascii="宋体" w:hAnsi="宋体" w:eastAsia="宋体" w:cs="宋体"/>
          <w:color w:val="auto"/>
          <w:sz w:val="24"/>
        </w:rPr>
        <w:t>施工方在开标前应综合考虑日后政策性调整及各种材料市场价格、人员工资的浮动等因素造成的项目响应报价变动，上述原因造成的项目响应报价变动不予调整。</w:t>
      </w:r>
    </w:p>
    <w:p w14:paraId="7C45F270">
      <w:pPr>
        <w:pStyle w:val="14"/>
        <w:ind w:firstLine="480"/>
        <w:jc w:val="left"/>
        <w:rPr>
          <w:color w:val="auto"/>
        </w:rPr>
      </w:pPr>
      <w:r>
        <w:rPr>
          <w:rFonts w:ascii="宋体" w:hAnsi="宋体" w:eastAsia="宋体" w:cs="宋体"/>
          <w:color w:val="auto"/>
          <w:sz w:val="24"/>
        </w:rPr>
        <w:t>9.1</w:t>
      </w:r>
      <w:r>
        <w:rPr>
          <w:rFonts w:hint="eastAsia" w:ascii="宋体" w:hAnsi="宋体" w:eastAsia="宋体" w:cs="宋体"/>
          <w:color w:val="auto"/>
          <w:sz w:val="24"/>
          <w:lang w:val="en-US" w:eastAsia="zh-CN"/>
        </w:rPr>
        <w:t>1</w:t>
      </w:r>
      <w:r>
        <w:rPr>
          <w:rFonts w:ascii="宋体" w:hAnsi="宋体" w:eastAsia="宋体" w:cs="宋体"/>
          <w:color w:val="auto"/>
          <w:sz w:val="24"/>
        </w:rPr>
        <w:t>报价应包含供货安装所需的材料、人工、管理费、税费、利润、运输、装卸、各类劳保、保险等一切费用。成交投标人不得以任何方式向招标方额外收取其他</w:t>
      </w:r>
      <w:r>
        <w:rPr>
          <w:rFonts w:hint="eastAsia" w:ascii="宋体" w:hAnsi="宋体" w:eastAsia="宋体" w:cs="宋体"/>
          <w:color w:val="auto"/>
          <w:sz w:val="24"/>
          <w:lang w:val="en-US" w:eastAsia="zh-CN"/>
        </w:rPr>
        <w:t>不合理</w:t>
      </w:r>
      <w:r>
        <w:rPr>
          <w:rFonts w:ascii="宋体" w:hAnsi="宋体" w:eastAsia="宋体" w:cs="宋体"/>
          <w:color w:val="auto"/>
          <w:sz w:val="24"/>
        </w:rPr>
        <w:t>费用。</w:t>
      </w:r>
    </w:p>
    <w:p w14:paraId="4815982B">
      <w:pPr>
        <w:pStyle w:val="14"/>
        <w:spacing w:after="195"/>
        <w:ind w:firstLine="440"/>
        <w:jc w:val="left"/>
        <w:rPr>
          <w:color w:val="auto"/>
        </w:rPr>
      </w:pPr>
      <w:r>
        <w:rPr>
          <w:rFonts w:ascii="宋体" w:hAnsi="宋体" w:eastAsia="宋体" w:cs="宋体"/>
          <w:b/>
          <w:color w:val="auto"/>
          <w:sz w:val="24"/>
        </w:rPr>
        <w:t>1</w:t>
      </w:r>
      <w:r>
        <w:rPr>
          <w:rFonts w:hint="eastAsia" w:ascii="宋体" w:hAnsi="宋体" w:eastAsia="宋体" w:cs="宋体"/>
          <w:b/>
          <w:color w:val="auto"/>
          <w:sz w:val="24"/>
          <w:lang w:val="en-US" w:eastAsia="zh-CN"/>
        </w:rPr>
        <w:t>0</w:t>
      </w:r>
      <w:r>
        <w:rPr>
          <w:rFonts w:ascii="宋体" w:hAnsi="宋体" w:eastAsia="宋体" w:cs="宋体"/>
          <w:b/>
          <w:color w:val="auto"/>
          <w:sz w:val="24"/>
        </w:rPr>
        <w:t>、签订合同前，成交供应商须提供与本项目响应文件所附证明材料的复印件一致的原件供采购人核查，未能提供原件或原件与响应文件所附复印件不一致的，按虚假应标处理，采购人将不予签订合同，取消其成交资格，不予退还磋</w:t>
      </w:r>
      <w:r>
        <w:rPr>
          <w:rFonts w:ascii="宋体" w:hAnsi="宋体" w:eastAsia="宋体" w:cs="宋体"/>
          <w:color w:val="auto"/>
          <w:sz w:val="24"/>
        </w:rPr>
        <w:t>商保证金，且须负责给采购人造成的全部损失。</w:t>
      </w:r>
    </w:p>
    <w:p w14:paraId="44EAFDE1">
      <w:pPr>
        <w:pStyle w:val="14"/>
        <w:ind w:firstLine="480"/>
        <w:jc w:val="left"/>
        <w:rPr>
          <w:color w:val="auto"/>
        </w:rPr>
      </w:pPr>
      <w:r>
        <w:rPr>
          <w:rFonts w:ascii="宋体" w:hAnsi="宋体" w:eastAsia="宋体" w:cs="宋体"/>
          <w:color w:val="auto"/>
          <w:sz w:val="24"/>
        </w:rPr>
        <w:t>1</w:t>
      </w:r>
      <w:r>
        <w:rPr>
          <w:rFonts w:hint="eastAsia" w:ascii="宋体" w:hAnsi="宋体" w:eastAsia="宋体" w:cs="宋体"/>
          <w:color w:val="auto"/>
          <w:sz w:val="24"/>
          <w:lang w:val="en-US" w:eastAsia="zh-CN"/>
        </w:rPr>
        <w:t>1</w:t>
      </w:r>
      <w:r>
        <w:rPr>
          <w:rFonts w:ascii="宋体" w:hAnsi="宋体" w:eastAsia="宋体" w:cs="宋体"/>
          <w:color w:val="auto"/>
          <w:sz w:val="24"/>
        </w:rPr>
        <w:t>、质保期及售后服务要求</w:t>
      </w:r>
    </w:p>
    <w:p w14:paraId="41329EC2">
      <w:pPr>
        <w:pStyle w:val="14"/>
        <w:ind w:firstLine="480"/>
        <w:jc w:val="left"/>
        <w:rPr>
          <w:color w:val="auto"/>
        </w:rPr>
      </w:pPr>
      <w:r>
        <w:rPr>
          <w:rFonts w:ascii="宋体" w:hAnsi="宋体" w:eastAsia="宋体" w:cs="宋体"/>
          <w:color w:val="auto"/>
          <w:sz w:val="24"/>
        </w:rPr>
        <w:t>1</w:t>
      </w:r>
      <w:r>
        <w:rPr>
          <w:rFonts w:hint="eastAsia" w:ascii="宋体" w:hAnsi="宋体" w:eastAsia="宋体" w:cs="宋体"/>
          <w:color w:val="auto"/>
          <w:sz w:val="24"/>
          <w:lang w:val="en-US" w:eastAsia="zh-CN"/>
        </w:rPr>
        <w:t>1</w:t>
      </w:r>
      <w:r>
        <w:rPr>
          <w:rFonts w:ascii="宋体" w:hAnsi="宋体" w:eastAsia="宋体" w:cs="宋体"/>
          <w:color w:val="auto"/>
          <w:sz w:val="24"/>
        </w:rPr>
        <w:t>.1施工方应按《建设工程质量管理条例》及国家有关规定，对本工程进行保修。本项目质量保证期限为项目经验收合格、各种资料移交完毕之日起2年（国家有更长免费质量保修期限规定的从其规定，施工方的响应文件中有承诺更长的质量保证期的从其响应文件的承诺）。</w:t>
      </w:r>
    </w:p>
    <w:p w14:paraId="7D8B5A88">
      <w:pPr>
        <w:pStyle w:val="14"/>
        <w:ind w:firstLine="480"/>
        <w:jc w:val="left"/>
        <w:rPr>
          <w:color w:val="auto"/>
        </w:rPr>
      </w:pPr>
      <w:r>
        <w:rPr>
          <w:rFonts w:ascii="宋体" w:hAnsi="宋体" w:eastAsia="宋体" w:cs="宋体"/>
          <w:color w:val="auto"/>
          <w:sz w:val="24"/>
        </w:rPr>
        <w:t>1</w:t>
      </w:r>
      <w:r>
        <w:rPr>
          <w:rFonts w:hint="eastAsia" w:ascii="宋体" w:hAnsi="宋体" w:eastAsia="宋体" w:cs="宋体"/>
          <w:color w:val="auto"/>
          <w:sz w:val="24"/>
          <w:lang w:val="en-US" w:eastAsia="zh-CN"/>
        </w:rPr>
        <w:t>1</w:t>
      </w:r>
      <w:r>
        <w:rPr>
          <w:rFonts w:ascii="宋体" w:hAnsi="宋体" w:eastAsia="宋体" w:cs="宋体"/>
          <w:color w:val="auto"/>
          <w:sz w:val="24"/>
        </w:rPr>
        <w:t>.2验收时出现的不合格，须及时整改，在质保期内（节假日照常服务）出现质量问题，维修人员接到故障通知后12小时内派人到场修理，涉及结构安全或使用功能的紧急抢修事故，应在接到事故通知后，立即到达事故现场抢修，响应时间不超过2小时。</w:t>
      </w:r>
    </w:p>
    <w:p w14:paraId="770D1C2F">
      <w:pPr>
        <w:pStyle w:val="14"/>
        <w:ind w:firstLine="480"/>
        <w:jc w:val="left"/>
        <w:rPr>
          <w:color w:val="auto"/>
        </w:rPr>
      </w:pPr>
      <w:r>
        <w:rPr>
          <w:rFonts w:ascii="宋体" w:hAnsi="宋体" w:eastAsia="宋体" w:cs="宋体"/>
          <w:color w:val="auto"/>
          <w:sz w:val="24"/>
        </w:rPr>
        <w:t>1</w:t>
      </w:r>
      <w:r>
        <w:rPr>
          <w:rFonts w:hint="eastAsia" w:ascii="宋体" w:hAnsi="宋体" w:eastAsia="宋体" w:cs="宋体"/>
          <w:color w:val="auto"/>
          <w:sz w:val="24"/>
          <w:lang w:val="en-US" w:eastAsia="zh-CN"/>
        </w:rPr>
        <w:t>2</w:t>
      </w:r>
      <w:r>
        <w:rPr>
          <w:rFonts w:ascii="宋体" w:hAnsi="宋体" w:eastAsia="宋体" w:cs="宋体"/>
          <w:color w:val="auto"/>
          <w:sz w:val="24"/>
        </w:rPr>
        <w:t>、工期延误</w:t>
      </w:r>
    </w:p>
    <w:p w14:paraId="543CD9EA">
      <w:pPr>
        <w:pStyle w:val="14"/>
        <w:ind w:firstLine="480"/>
        <w:jc w:val="left"/>
        <w:rPr>
          <w:color w:val="auto"/>
        </w:rPr>
      </w:pPr>
      <w:r>
        <w:rPr>
          <w:rFonts w:ascii="宋体" w:hAnsi="宋体" w:eastAsia="宋体" w:cs="宋体"/>
          <w:color w:val="auto"/>
          <w:sz w:val="24"/>
        </w:rPr>
        <w:t>1</w:t>
      </w:r>
      <w:r>
        <w:rPr>
          <w:rFonts w:hint="eastAsia" w:ascii="宋体" w:hAnsi="宋体" w:eastAsia="宋体" w:cs="宋体"/>
          <w:color w:val="auto"/>
          <w:sz w:val="24"/>
          <w:lang w:val="en-US" w:eastAsia="zh-CN"/>
        </w:rPr>
        <w:t>2</w:t>
      </w:r>
      <w:r>
        <w:rPr>
          <w:rFonts w:ascii="宋体" w:hAnsi="宋体" w:eastAsia="宋体" w:cs="宋体"/>
          <w:color w:val="auto"/>
          <w:sz w:val="24"/>
        </w:rPr>
        <w:t>.1如果由于以下原因造成工期延误，经招标方代表确认后，施工方有理由延期完成工程或部分工程，招标方代表应在同施工方商议后决定竣工时间延长的期限。</w:t>
      </w:r>
    </w:p>
    <w:p w14:paraId="0812CEE0">
      <w:pPr>
        <w:pStyle w:val="14"/>
        <w:ind w:firstLine="480"/>
        <w:jc w:val="left"/>
        <w:rPr>
          <w:color w:val="auto"/>
        </w:rPr>
      </w:pPr>
      <w:r>
        <w:rPr>
          <w:rFonts w:ascii="宋体" w:hAnsi="宋体" w:eastAsia="宋体" w:cs="宋体"/>
          <w:color w:val="auto"/>
          <w:sz w:val="24"/>
        </w:rPr>
        <w:t>①设计变更；</w:t>
      </w:r>
    </w:p>
    <w:p w14:paraId="2A313607">
      <w:pPr>
        <w:pStyle w:val="14"/>
        <w:ind w:firstLine="480"/>
        <w:jc w:val="left"/>
        <w:rPr>
          <w:color w:val="auto"/>
        </w:rPr>
      </w:pPr>
      <w:r>
        <w:rPr>
          <w:rFonts w:ascii="宋体" w:hAnsi="宋体" w:eastAsia="宋体" w:cs="宋体"/>
          <w:color w:val="auto"/>
          <w:sz w:val="24"/>
        </w:rPr>
        <w:t>②由业主方造成的阻止、障碍；</w:t>
      </w:r>
    </w:p>
    <w:p w14:paraId="3EC4BC9C">
      <w:pPr>
        <w:pStyle w:val="14"/>
        <w:ind w:firstLine="480"/>
        <w:jc w:val="left"/>
        <w:rPr>
          <w:color w:val="auto"/>
        </w:rPr>
      </w:pPr>
      <w:r>
        <w:rPr>
          <w:rFonts w:ascii="宋体" w:hAnsi="宋体" w:eastAsia="宋体" w:cs="宋体"/>
          <w:color w:val="auto"/>
          <w:sz w:val="24"/>
        </w:rPr>
        <w:t>③不可抗力；</w:t>
      </w:r>
    </w:p>
    <w:p w14:paraId="5A548935">
      <w:pPr>
        <w:pStyle w:val="14"/>
        <w:ind w:firstLine="480"/>
        <w:jc w:val="left"/>
        <w:rPr>
          <w:color w:val="auto"/>
        </w:rPr>
      </w:pPr>
      <w:r>
        <w:rPr>
          <w:rFonts w:ascii="宋体" w:hAnsi="宋体" w:eastAsia="宋体" w:cs="宋体"/>
          <w:color w:val="auto"/>
          <w:sz w:val="24"/>
        </w:rPr>
        <w:t>④可能会出现的，但不是施工方的过失或违约造成的。</w:t>
      </w:r>
    </w:p>
    <w:p w14:paraId="4E9D4CD7">
      <w:pPr>
        <w:pStyle w:val="14"/>
        <w:ind w:firstLine="480"/>
        <w:jc w:val="left"/>
        <w:rPr>
          <w:color w:val="auto"/>
        </w:rPr>
      </w:pPr>
      <w:r>
        <w:rPr>
          <w:rFonts w:ascii="宋体" w:hAnsi="宋体" w:eastAsia="宋体" w:cs="宋体"/>
          <w:color w:val="auto"/>
          <w:sz w:val="24"/>
        </w:rPr>
        <w:t>1</w:t>
      </w:r>
      <w:r>
        <w:rPr>
          <w:rFonts w:hint="eastAsia" w:ascii="宋体" w:hAnsi="宋体" w:eastAsia="宋体" w:cs="宋体"/>
          <w:color w:val="auto"/>
          <w:sz w:val="24"/>
          <w:lang w:val="en-US" w:eastAsia="zh-CN"/>
        </w:rPr>
        <w:t>2</w:t>
      </w:r>
      <w:r>
        <w:rPr>
          <w:rFonts w:ascii="宋体" w:hAnsi="宋体" w:eastAsia="宋体" w:cs="宋体"/>
          <w:color w:val="auto"/>
          <w:sz w:val="24"/>
        </w:rPr>
        <w:t>.2非上述原因，施工方不能按合同工期完成应承担违约责任，并向招标方赔偿违约金。违约金赔偿办法为：各工程每逾期一天，赔偿违约金人民币1000元/天；延期超过七天后，每逾期一天，赔偿违约金人民币2000元/天。赔偿金由招标方在工程款中直接扣减。</w:t>
      </w:r>
    </w:p>
    <w:p w14:paraId="33FF6805">
      <w:pPr>
        <w:pStyle w:val="14"/>
        <w:ind w:firstLine="480"/>
        <w:jc w:val="left"/>
        <w:rPr>
          <w:color w:val="auto"/>
        </w:rPr>
      </w:pPr>
      <w:r>
        <w:rPr>
          <w:rFonts w:ascii="宋体" w:hAnsi="宋体" w:eastAsia="宋体" w:cs="宋体"/>
          <w:color w:val="auto"/>
          <w:sz w:val="24"/>
        </w:rPr>
        <w:t>1</w:t>
      </w:r>
      <w:r>
        <w:rPr>
          <w:rFonts w:hint="eastAsia" w:ascii="宋体" w:hAnsi="宋体" w:eastAsia="宋体" w:cs="宋体"/>
          <w:color w:val="auto"/>
          <w:sz w:val="24"/>
          <w:lang w:val="en-US" w:eastAsia="zh-CN"/>
        </w:rPr>
        <w:t>3</w:t>
      </w:r>
      <w:r>
        <w:rPr>
          <w:rFonts w:ascii="宋体" w:hAnsi="宋体" w:eastAsia="宋体" w:cs="宋体"/>
          <w:color w:val="auto"/>
          <w:sz w:val="24"/>
        </w:rPr>
        <w:t>、违约责任</w:t>
      </w:r>
    </w:p>
    <w:p w14:paraId="46039EBB">
      <w:pPr>
        <w:pStyle w:val="14"/>
        <w:ind w:firstLine="480"/>
        <w:jc w:val="left"/>
        <w:rPr>
          <w:color w:val="auto"/>
        </w:rPr>
      </w:pPr>
      <w:r>
        <w:rPr>
          <w:rFonts w:ascii="宋体" w:hAnsi="宋体" w:eastAsia="宋体" w:cs="宋体"/>
          <w:color w:val="auto"/>
          <w:sz w:val="24"/>
        </w:rPr>
        <w:t>1</w:t>
      </w:r>
      <w:r>
        <w:rPr>
          <w:rFonts w:hint="eastAsia" w:ascii="宋体" w:hAnsi="宋体" w:eastAsia="宋体" w:cs="宋体"/>
          <w:color w:val="auto"/>
          <w:sz w:val="24"/>
          <w:lang w:val="en-US" w:eastAsia="zh-CN"/>
        </w:rPr>
        <w:t>3</w:t>
      </w:r>
      <w:r>
        <w:rPr>
          <w:rFonts w:ascii="宋体" w:hAnsi="宋体" w:eastAsia="宋体" w:cs="宋体"/>
          <w:color w:val="auto"/>
          <w:sz w:val="24"/>
        </w:rPr>
        <w:t>.1除本合同另有约定外，合同生效后无正当理由，甲乙双方均不得随意解除合同。否则提出解除合同一方，向另一方支付合同总金额10％违约金。</w:t>
      </w:r>
    </w:p>
    <w:p w14:paraId="0746DEBF">
      <w:pPr>
        <w:pStyle w:val="14"/>
        <w:ind w:firstLine="480"/>
        <w:jc w:val="left"/>
        <w:rPr>
          <w:color w:val="auto"/>
        </w:rPr>
      </w:pPr>
      <w:r>
        <w:rPr>
          <w:rFonts w:ascii="宋体" w:hAnsi="宋体" w:eastAsia="宋体" w:cs="宋体"/>
          <w:color w:val="auto"/>
          <w:sz w:val="24"/>
        </w:rPr>
        <w:t>1</w:t>
      </w:r>
      <w:r>
        <w:rPr>
          <w:rFonts w:hint="eastAsia" w:ascii="宋体" w:hAnsi="宋体" w:eastAsia="宋体" w:cs="宋体"/>
          <w:color w:val="auto"/>
          <w:sz w:val="24"/>
          <w:lang w:val="en-US" w:eastAsia="zh-CN"/>
        </w:rPr>
        <w:t>3</w:t>
      </w:r>
      <w:r>
        <w:rPr>
          <w:rFonts w:ascii="宋体" w:hAnsi="宋体" w:eastAsia="宋体" w:cs="宋体"/>
          <w:color w:val="auto"/>
          <w:sz w:val="24"/>
        </w:rPr>
        <w:t>.2服务期内甲方若遇政策性变动需中途终止履行合同的，或因不可抗拒力因素（如地震、台风等）造成的合同被迫中止的，甲方不承担补偿责任。</w:t>
      </w:r>
    </w:p>
    <w:p w14:paraId="5CF8D12C">
      <w:pPr>
        <w:pStyle w:val="14"/>
        <w:ind w:firstLine="480"/>
        <w:jc w:val="left"/>
        <w:rPr>
          <w:color w:val="auto"/>
        </w:rPr>
      </w:pPr>
      <w:r>
        <w:rPr>
          <w:rFonts w:ascii="宋体" w:hAnsi="宋体" w:eastAsia="宋体" w:cs="宋体"/>
          <w:color w:val="auto"/>
          <w:sz w:val="24"/>
        </w:rPr>
        <w:t>1</w:t>
      </w:r>
      <w:r>
        <w:rPr>
          <w:rFonts w:hint="eastAsia" w:ascii="宋体" w:hAnsi="宋体" w:eastAsia="宋体" w:cs="宋体"/>
          <w:color w:val="auto"/>
          <w:sz w:val="24"/>
          <w:lang w:val="en-US" w:eastAsia="zh-CN"/>
        </w:rPr>
        <w:t>3</w:t>
      </w:r>
      <w:r>
        <w:rPr>
          <w:rFonts w:ascii="宋体" w:hAnsi="宋体" w:eastAsia="宋体" w:cs="宋体"/>
          <w:color w:val="auto"/>
          <w:sz w:val="24"/>
        </w:rPr>
        <w:t>.</w:t>
      </w:r>
      <w:r>
        <w:rPr>
          <w:rFonts w:hint="eastAsia" w:ascii="宋体" w:hAnsi="宋体" w:eastAsia="宋体" w:cs="宋体"/>
          <w:color w:val="auto"/>
          <w:sz w:val="24"/>
          <w:lang w:val="en-US" w:eastAsia="zh-CN"/>
        </w:rPr>
        <w:t>3</w:t>
      </w:r>
      <w:r>
        <w:rPr>
          <w:rFonts w:ascii="宋体" w:hAnsi="宋体" w:eastAsia="宋体" w:cs="宋体"/>
          <w:color w:val="auto"/>
          <w:sz w:val="24"/>
        </w:rPr>
        <w:t>在补救违约而采取的任何其他措施未能实现的情况下，即在甲方有权单方面解除合同，同时乙方还应赔偿甲方的全部经济损失：发出的违约通知后30天内（或经甲方书面确认的更长时间内）仍未纠正其下述任何一种违约行为，</w:t>
      </w:r>
    </w:p>
    <w:p w14:paraId="319BFC88">
      <w:pPr>
        <w:pStyle w:val="14"/>
        <w:ind w:firstLine="480"/>
        <w:jc w:val="left"/>
        <w:rPr>
          <w:color w:val="auto"/>
        </w:rPr>
      </w:pPr>
      <w:r>
        <w:rPr>
          <w:rFonts w:ascii="宋体" w:hAnsi="宋体" w:eastAsia="宋体" w:cs="宋体"/>
          <w:color w:val="auto"/>
          <w:sz w:val="24"/>
        </w:rPr>
        <w:t>a)所提供的工程质量或服务与响应文件的承诺不相符；</w:t>
      </w:r>
    </w:p>
    <w:p w14:paraId="74D71D53">
      <w:pPr>
        <w:pStyle w:val="14"/>
        <w:ind w:firstLine="480"/>
        <w:jc w:val="left"/>
        <w:rPr>
          <w:color w:val="auto"/>
        </w:rPr>
      </w:pPr>
      <w:r>
        <w:rPr>
          <w:rFonts w:ascii="宋体" w:hAnsi="宋体" w:eastAsia="宋体" w:cs="宋体"/>
          <w:color w:val="auto"/>
          <w:sz w:val="24"/>
        </w:rPr>
        <w:t>b)不能达到国家或行业相关标准要求的；</w:t>
      </w:r>
    </w:p>
    <w:p w14:paraId="188B51FF">
      <w:pPr>
        <w:pStyle w:val="14"/>
        <w:ind w:firstLine="480"/>
        <w:jc w:val="left"/>
        <w:rPr>
          <w:color w:val="auto"/>
        </w:rPr>
      </w:pPr>
      <w:r>
        <w:rPr>
          <w:rFonts w:ascii="宋体" w:hAnsi="宋体" w:eastAsia="宋体" w:cs="宋体"/>
          <w:color w:val="auto"/>
          <w:sz w:val="24"/>
        </w:rPr>
        <w:t>c)未经甲方同意将项目转包他人；</w:t>
      </w:r>
    </w:p>
    <w:p w14:paraId="0798ABA4">
      <w:pPr>
        <w:pStyle w:val="14"/>
        <w:ind w:firstLine="480"/>
        <w:jc w:val="left"/>
        <w:rPr>
          <w:color w:val="auto"/>
        </w:rPr>
      </w:pPr>
      <w:r>
        <w:rPr>
          <w:rFonts w:ascii="宋体" w:hAnsi="宋体" w:eastAsia="宋体" w:cs="宋体"/>
          <w:color w:val="auto"/>
          <w:sz w:val="24"/>
        </w:rPr>
        <w:t>d)乙方不配合甲方参加验收工作或不提供有关资料；</w:t>
      </w:r>
    </w:p>
    <w:p w14:paraId="1F32FDC1">
      <w:pPr>
        <w:pStyle w:val="14"/>
        <w:ind w:firstLine="480"/>
        <w:jc w:val="left"/>
        <w:rPr>
          <w:color w:val="auto"/>
        </w:rPr>
      </w:pPr>
      <w:r>
        <w:rPr>
          <w:rFonts w:ascii="宋体" w:hAnsi="宋体" w:eastAsia="宋体" w:cs="宋体"/>
          <w:color w:val="auto"/>
          <w:sz w:val="24"/>
        </w:rPr>
        <w:t>e)乙方未能履行合同项下的任何其它义务。</w:t>
      </w:r>
    </w:p>
    <w:p w14:paraId="5B717E30">
      <w:pPr>
        <w:pStyle w:val="14"/>
        <w:ind w:firstLine="480"/>
        <w:jc w:val="left"/>
        <w:rPr>
          <w:color w:val="auto"/>
        </w:rPr>
      </w:pPr>
      <w:r>
        <w:rPr>
          <w:rFonts w:ascii="宋体" w:hAnsi="宋体" w:eastAsia="宋体" w:cs="宋体"/>
          <w:color w:val="auto"/>
          <w:sz w:val="24"/>
        </w:rPr>
        <w:t>1</w:t>
      </w:r>
      <w:r>
        <w:rPr>
          <w:rFonts w:hint="eastAsia" w:ascii="宋体" w:hAnsi="宋体" w:eastAsia="宋体" w:cs="宋体"/>
          <w:color w:val="auto"/>
          <w:sz w:val="24"/>
          <w:lang w:val="en-US" w:eastAsia="zh-CN"/>
        </w:rPr>
        <w:t>3</w:t>
      </w:r>
      <w:r>
        <w:rPr>
          <w:rFonts w:ascii="宋体" w:hAnsi="宋体" w:eastAsia="宋体" w:cs="宋体"/>
          <w:color w:val="auto"/>
          <w:sz w:val="24"/>
        </w:rPr>
        <w:t>.</w:t>
      </w:r>
      <w:r>
        <w:rPr>
          <w:rFonts w:hint="eastAsia" w:ascii="宋体" w:hAnsi="宋体" w:eastAsia="宋体" w:cs="宋体"/>
          <w:color w:val="auto"/>
          <w:sz w:val="24"/>
          <w:lang w:val="en-US" w:eastAsia="zh-CN"/>
        </w:rPr>
        <w:t>4</w:t>
      </w:r>
      <w:r>
        <w:rPr>
          <w:rFonts w:ascii="宋体" w:hAnsi="宋体" w:eastAsia="宋体" w:cs="宋体"/>
          <w:color w:val="auto"/>
          <w:sz w:val="24"/>
        </w:rPr>
        <w:t>乙方在工程施工及售 后 服 务的各个环节中产生的一切意外事故，包括不可抗拒力因素造成的事故，造成设备的损坏，人员损伤概由乙方负责。</w:t>
      </w:r>
    </w:p>
    <w:p w14:paraId="3A99C2B2">
      <w:pPr>
        <w:pStyle w:val="14"/>
        <w:ind w:firstLine="480"/>
        <w:jc w:val="left"/>
        <w:rPr>
          <w:color w:val="auto"/>
        </w:rPr>
      </w:pPr>
      <w:r>
        <w:rPr>
          <w:rFonts w:ascii="宋体" w:hAnsi="宋体" w:eastAsia="宋体" w:cs="宋体"/>
          <w:color w:val="auto"/>
          <w:sz w:val="24"/>
        </w:rPr>
        <w:t>1</w:t>
      </w:r>
      <w:r>
        <w:rPr>
          <w:rFonts w:hint="eastAsia" w:ascii="宋体" w:hAnsi="宋体" w:eastAsia="宋体" w:cs="宋体"/>
          <w:color w:val="auto"/>
          <w:sz w:val="24"/>
          <w:lang w:val="en-US" w:eastAsia="zh-CN"/>
        </w:rPr>
        <w:t>4</w:t>
      </w:r>
      <w:r>
        <w:rPr>
          <w:rFonts w:ascii="宋体" w:hAnsi="宋体" w:eastAsia="宋体" w:cs="宋体"/>
          <w:color w:val="auto"/>
          <w:sz w:val="24"/>
        </w:rPr>
        <w:t>、供 应 商竣工应提交的文本资料（包含但理限以下内容）</w:t>
      </w:r>
    </w:p>
    <w:p w14:paraId="4B69CAC6">
      <w:pPr>
        <w:pStyle w:val="14"/>
        <w:ind w:firstLine="480"/>
        <w:jc w:val="left"/>
        <w:rPr>
          <w:color w:val="auto"/>
        </w:rPr>
      </w:pPr>
      <w:r>
        <w:rPr>
          <w:rFonts w:ascii="宋体" w:hAnsi="宋体" w:eastAsia="宋体" w:cs="宋体"/>
          <w:color w:val="auto"/>
          <w:sz w:val="24"/>
        </w:rPr>
        <w:t>1</w:t>
      </w:r>
      <w:r>
        <w:rPr>
          <w:rFonts w:hint="eastAsia" w:ascii="宋体" w:hAnsi="宋体" w:eastAsia="宋体" w:cs="宋体"/>
          <w:color w:val="auto"/>
          <w:sz w:val="24"/>
          <w:lang w:val="en-US" w:eastAsia="zh-CN"/>
        </w:rPr>
        <w:t>4</w:t>
      </w:r>
      <w:r>
        <w:rPr>
          <w:rFonts w:ascii="宋体" w:hAnsi="宋体" w:eastAsia="宋体" w:cs="宋体"/>
          <w:color w:val="auto"/>
          <w:sz w:val="24"/>
        </w:rPr>
        <w:t>.1竣工图；</w:t>
      </w:r>
    </w:p>
    <w:p w14:paraId="5EA9ABA2">
      <w:pPr>
        <w:pStyle w:val="14"/>
        <w:ind w:firstLine="480"/>
        <w:jc w:val="left"/>
        <w:rPr>
          <w:color w:val="auto"/>
        </w:rPr>
      </w:pPr>
      <w:r>
        <w:rPr>
          <w:rFonts w:ascii="宋体" w:hAnsi="宋体" w:eastAsia="宋体" w:cs="宋体"/>
          <w:color w:val="auto"/>
          <w:sz w:val="24"/>
        </w:rPr>
        <w:t>1</w:t>
      </w:r>
      <w:r>
        <w:rPr>
          <w:rFonts w:hint="eastAsia" w:ascii="宋体" w:hAnsi="宋体" w:eastAsia="宋体" w:cs="宋体"/>
          <w:color w:val="auto"/>
          <w:sz w:val="24"/>
          <w:lang w:val="en-US" w:eastAsia="zh-CN"/>
        </w:rPr>
        <w:t>4</w:t>
      </w:r>
      <w:r>
        <w:rPr>
          <w:rFonts w:ascii="宋体" w:hAnsi="宋体" w:eastAsia="宋体" w:cs="宋体"/>
          <w:color w:val="auto"/>
          <w:sz w:val="24"/>
        </w:rPr>
        <w:t>.2工程内业资料；</w:t>
      </w:r>
    </w:p>
    <w:p w14:paraId="7797A59F">
      <w:pPr>
        <w:pStyle w:val="14"/>
        <w:ind w:firstLine="480"/>
        <w:jc w:val="left"/>
        <w:rPr>
          <w:color w:val="auto"/>
        </w:rPr>
      </w:pPr>
      <w:r>
        <w:rPr>
          <w:rFonts w:ascii="宋体" w:hAnsi="宋体" w:eastAsia="宋体" w:cs="宋体"/>
          <w:color w:val="auto"/>
          <w:sz w:val="24"/>
        </w:rPr>
        <w:t>1</w:t>
      </w:r>
      <w:r>
        <w:rPr>
          <w:rFonts w:hint="eastAsia" w:ascii="宋体" w:hAnsi="宋体" w:eastAsia="宋体" w:cs="宋体"/>
          <w:color w:val="auto"/>
          <w:sz w:val="24"/>
          <w:lang w:val="en-US" w:eastAsia="zh-CN"/>
        </w:rPr>
        <w:t>4</w:t>
      </w:r>
      <w:r>
        <w:rPr>
          <w:rFonts w:ascii="宋体" w:hAnsi="宋体" w:eastAsia="宋体" w:cs="宋体"/>
          <w:color w:val="auto"/>
          <w:sz w:val="24"/>
        </w:rPr>
        <w:t>.3工程竣工验收报告；</w:t>
      </w:r>
    </w:p>
    <w:p w14:paraId="4DCCF4E3">
      <w:pPr>
        <w:pStyle w:val="14"/>
        <w:ind w:firstLine="480"/>
        <w:jc w:val="left"/>
        <w:rPr>
          <w:color w:val="auto"/>
        </w:rPr>
      </w:pPr>
      <w:r>
        <w:rPr>
          <w:rFonts w:ascii="宋体" w:hAnsi="宋体" w:eastAsia="宋体" w:cs="宋体"/>
          <w:color w:val="auto"/>
          <w:sz w:val="24"/>
        </w:rPr>
        <w:t>1</w:t>
      </w:r>
      <w:r>
        <w:rPr>
          <w:rFonts w:hint="eastAsia" w:ascii="宋体" w:hAnsi="宋体" w:eastAsia="宋体" w:cs="宋体"/>
          <w:color w:val="auto"/>
          <w:sz w:val="24"/>
          <w:lang w:val="en-US" w:eastAsia="zh-CN"/>
        </w:rPr>
        <w:t>4</w:t>
      </w:r>
      <w:r>
        <w:rPr>
          <w:rFonts w:ascii="宋体" w:hAnsi="宋体" w:eastAsia="宋体" w:cs="宋体"/>
          <w:color w:val="auto"/>
          <w:sz w:val="24"/>
        </w:rPr>
        <w:t>.4工程签证单（若有）；</w:t>
      </w:r>
    </w:p>
    <w:p w14:paraId="077512A4">
      <w:pPr>
        <w:pStyle w:val="14"/>
        <w:ind w:firstLine="480"/>
        <w:jc w:val="left"/>
        <w:rPr>
          <w:color w:val="auto"/>
        </w:rPr>
      </w:pPr>
      <w:r>
        <w:rPr>
          <w:rFonts w:ascii="宋体" w:hAnsi="宋体" w:eastAsia="宋体" w:cs="宋体"/>
          <w:color w:val="auto"/>
          <w:sz w:val="24"/>
        </w:rPr>
        <w:t>1</w:t>
      </w:r>
      <w:r>
        <w:rPr>
          <w:rFonts w:hint="eastAsia" w:ascii="宋体" w:hAnsi="宋体" w:eastAsia="宋体" w:cs="宋体"/>
          <w:color w:val="auto"/>
          <w:sz w:val="24"/>
          <w:lang w:val="en-US" w:eastAsia="zh-CN"/>
        </w:rPr>
        <w:t>4</w:t>
      </w:r>
      <w:r>
        <w:rPr>
          <w:rFonts w:ascii="宋体" w:hAnsi="宋体" w:eastAsia="宋体" w:cs="宋体"/>
          <w:color w:val="auto"/>
          <w:sz w:val="24"/>
        </w:rPr>
        <w:t>.5工程联系单（若有）；</w:t>
      </w:r>
    </w:p>
    <w:p w14:paraId="7CAD90F9">
      <w:pPr>
        <w:pStyle w:val="14"/>
        <w:ind w:firstLine="480"/>
        <w:jc w:val="left"/>
        <w:rPr>
          <w:color w:val="auto"/>
        </w:rPr>
      </w:pPr>
      <w:r>
        <w:rPr>
          <w:rFonts w:ascii="宋体" w:hAnsi="宋体" w:eastAsia="宋体" w:cs="宋体"/>
          <w:color w:val="auto"/>
          <w:sz w:val="24"/>
        </w:rPr>
        <w:t>1</w:t>
      </w:r>
      <w:r>
        <w:rPr>
          <w:rFonts w:hint="eastAsia" w:ascii="宋体" w:hAnsi="宋体" w:eastAsia="宋体" w:cs="宋体"/>
          <w:color w:val="auto"/>
          <w:sz w:val="24"/>
          <w:lang w:val="en-US" w:eastAsia="zh-CN"/>
        </w:rPr>
        <w:t>4</w:t>
      </w:r>
      <w:r>
        <w:rPr>
          <w:rFonts w:ascii="宋体" w:hAnsi="宋体" w:eastAsia="宋体" w:cs="宋体"/>
          <w:color w:val="auto"/>
          <w:sz w:val="24"/>
        </w:rPr>
        <w:t>.6招标方认为需要提交的其他资料。</w:t>
      </w:r>
    </w:p>
    <w:p w14:paraId="06E7016C">
      <w:pPr>
        <w:pStyle w:val="14"/>
        <w:ind w:firstLine="480"/>
        <w:jc w:val="left"/>
        <w:rPr>
          <w:color w:val="auto"/>
        </w:rPr>
      </w:pPr>
      <w:r>
        <w:rPr>
          <w:rFonts w:ascii="宋体" w:hAnsi="宋体" w:eastAsia="宋体" w:cs="宋体"/>
          <w:color w:val="auto"/>
          <w:sz w:val="24"/>
        </w:rPr>
        <w:t>1</w:t>
      </w:r>
      <w:r>
        <w:rPr>
          <w:rFonts w:hint="eastAsia" w:ascii="宋体" w:hAnsi="宋体" w:eastAsia="宋体" w:cs="宋体"/>
          <w:color w:val="auto"/>
          <w:sz w:val="24"/>
          <w:lang w:val="en-US" w:eastAsia="zh-CN"/>
        </w:rPr>
        <w:t>5</w:t>
      </w:r>
      <w:r>
        <w:rPr>
          <w:rFonts w:ascii="宋体" w:hAnsi="宋体" w:eastAsia="宋体" w:cs="宋体"/>
          <w:color w:val="auto"/>
          <w:sz w:val="24"/>
        </w:rPr>
        <w:t>、本项目不允许施工方以任何名义和理由在成交后将本工程项目的主体、非主体、关键性工作、非关键性工作进行转包、分包，在履行合同过程中如有发现，招标方有权单方终止合同。视为施工方违约，施工方违约对招标方造成的损失的，需另行支付相应的赔偿，并追究相关法律责任。</w:t>
      </w:r>
    </w:p>
    <w:p w14:paraId="47A30B72">
      <w:pPr>
        <w:pStyle w:val="14"/>
        <w:ind w:firstLine="480"/>
        <w:jc w:val="left"/>
        <w:rPr>
          <w:color w:val="auto"/>
        </w:rPr>
      </w:pPr>
      <w:r>
        <w:rPr>
          <w:rFonts w:ascii="宋体" w:hAnsi="宋体" w:eastAsia="宋体" w:cs="宋体"/>
          <w:color w:val="auto"/>
          <w:sz w:val="24"/>
        </w:rPr>
        <w:t>1</w:t>
      </w:r>
      <w:r>
        <w:rPr>
          <w:rFonts w:hint="eastAsia" w:ascii="宋体" w:hAnsi="宋体" w:eastAsia="宋体" w:cs="宋体"/>
          <w:color w:val="auto"/>
          <w:sz w:val="24"/>
          <w:lang w:val="en-US" w:eastAsia="zh-CN"/>
        </w:rPr>
        <w:t>7</w:t>
      </w:r>
      <w:r>
        <w:rPr>
          <w:rFonts w:ascii="宋体" w:hAnsi="宋体" w:eastAsia="宋体" w:cs="宋体"/>
          <w:color w:val="auto"/>
          <w:sz w:val="24"/>
        </w:rPr>
        <w:t>、本招标文件未明确的其它约定事项或条款，待招标方与施工方签订合同时，由双方协商订立。</w:t>
      </w:r>
    </w:p>
    <w:p w14:paraId="2DF29BDF">
      <w:pPr>
        <w:pStyle w:val="14"/>
        <w:ind w:firstLine="480"/>
        <w:jc w:val="left"/>
        <w:rPr>
          <w:color w:val="auto"/>
        </w:rPr>
      </w:pPr>
      <w:r>
        <w:rPr>
          <w:rFonts w:ascii="宋体" w:hAnsi="宋体" w:eastAsia="宋体" w:cs="宋体"/>
          <w:color w:val="auto"/>
          <w:sz w:val="24"/>
        </w:rPr>
        <w:t>以上商务条件均不可负偏离响应，一项负偏离即为无效响应。</w:t>
      </w:r>
    </w:p>
    <w:p w14:paraId="3D9812CB">
      <w:pPr>
        <w:pStyle w:val="14"/>
        <w:jc w:val="left"/>
        <w:outlineLvl w:val="2"/>
        <w:rPr>
          <w:color w:val="auto"/>
        </w:rPr>
      </w:pPr>
      <w:r>
        <w:rPr>
          <w:b/>
          <w:color w:val="auto"/>
          <w:sz w:val="28"/>
        </w:rPr>
        <w:t>四、其他事项</w:t>
      </w:r>
    </w:p>
    <w:p w14:paraId="26B1CEB4">
      <w:pPr>
        <w:pStyle w:val="14"/>
        <w:jc w:val="left"/>
        <w:rPr>
          <w:color w:val="auto"/>
        </w:rPr>
      </w:pPr>
    </w:p>
    <w:p w14:paraId="53A1C024">
      <w:pPr>
        <w:pStyle w:val="14"/>
        <w:jc w:val="left"/>
        <w:rPr>
          <w:color w:val="auto"/>
        </w:rPr>
      </w:pPr>
      <w:r>
        <w:rPr>
          <w:color w:val="auto"/>
        </w:rPr>
        <w:t>无</w:t>
      </w:r>
    </w:p>
    <w:p w14:paraId="484684A3">
      <w:pPr>
        <w:pStyle w:val="14"/>
        <w:jc w:val="left"/>
        <w:rPr>
          <w:color w:val="auto"/>
        </w:rPr>
      </w:pPr>
    </w:p>
    <w:p w14:paraId="59B26729">
      <w:pPr>
        <w:pStyle w:val="14"/>
        <w:jc w:val="left"/>
        <w:rPr>
          <w:color w:val="auto"/>
        </w:rPr>
      </w:pPr>
      <w:r>
        <w:rPr>
          <w:color w:val="auto"/>
        </w:rPr>
        <w:t xml:space="preserve"> </w:t>
      </w:r>
    </w:p>
    <w:p w14:paraId="021C25E8">
      <w:pPr>
        <w:pStyle w:val="14"/>
        <w:jc w:val="center"/>
        <w:outlineLvl w:val="1"/>
        <w:rPr>
          <w:color w:val="auto"/>
        </w:rPr>
      </w:pPr>
      <w:r>
        <w:rPr>
          <w:b/>
          <w:color w:val="auto"/>
          <w:sz w:val="36"/>
        </w:rPr>
        <w:t>第四章  合同主要条款及格式</w:t>
      </w:r>
    </w:p>
    <w:p w14:paraId="1F91A96D">
      <w:pPr>
        <w:pStyle w:val="14"/>
        <w:jc w:val="center"/>
        <w:outlineLvl w:val="2"/>
        <w:rPr>
          <w:color w:val="auto"/>
        </w:rPr>
      </w:pPr>
      <w:r>
        <w:rPr>
          <w:b/>
          <w:color w:val="auto"/>
          <w:sz w:val="28"/>
        </w:rPr>
        <w:t>参考文本</w:t>
      </w:r>
    </w:p>
    <w:p w14:paraId="6B28EF72">
      <w:pPr>
        <w:pStyle w:val="14"/>
        <w:jc w:val="left"/>
        <w:rPr>
          <w:color w:val="auto"/>
        </w:rPr>
      </w:pPr>
    </w:p>
    <w:p w14:paraId="42B102EF">
      <w:pPr>
        <w:pStyle w:val="14"/>
        <w:jc w:val="left"/>
        <w:rPr>
          <w:color w:val="auto"/>
        </w:rPr>
      </w:pPr>
    </w:p>
    <w:p w14:paraId="21696039">
      <w:pPr>
        <w:pStyle w:val="14"/>
        <w:jc w:val="left"/>
        <w:rPr>
          <w:color w:val="auto"/>
        </w:rPr>
      </w:pPr>
    </w:p>
    <w:p w14:paraId="23D91EB0">
      <w:pPr>
        <w:pStyle w:val="14"/>
        <w:jc w:val="left"/>
        <w:rPr>
          <w:color w:val="auto"/>
        </w:rPr>
      </w:pPr>
    </w:p>
    <w:p w14:paraId="6569DA0F">
      <w:pPr>
        <w:pStyle w:val="14"/>
        <w:jc w:val="left"/>
        <w:rPr>
          <w:color w:val="auto"/>
        </w:rPr>
      </w:pPr>
    </w:p>
    <w:p w14:paraId="3BD82FF8">
      <w:pPr>
        <w:pStyle w:val="14"/>
        <w:jc w:val="center"/>
        <w:outlineLvl w:val="1"/>
        <w:rPr>
          <w:color w:val="auto"/>
        </w:rPr>
      </w:pPr>
      <w:r>
        <w:rPr>
          <w:b/>
          <w:color w:val="auto"/>
          <w:sz w:val="36"/>
        </w:rPr>
        <w:t>福建省政府采购合同</w:t>
      </w:r>
    </w:p>
    <w:p w14:paraId="6B92DAFB">
      <w:pPr>
        <w:pStyle w:val="14"/>
        <w:jc w:val="center"/>
        <w:outlineLvl w:val="3"/>
        <w:rPr>
          <w:rFonts w:hint="eastAsia" w:eastAsiaTheme="minorEastAsia"/>
          <w:b/>
          <w:color w:val="auto"/>
          <w:sz w:val="24"/>
          <w:lang w:eastAsia="zh-CN"/>
        </w:rPr>
      </w:pPr>
      <w:r>
        <w:rPr>
          <w:b/>
          <w:color w:val="auto"/>
          <w:sz w:val="24"/>
        </w:rPr>
        <w:t>编制说明</w:t>
      </w:r>
    </w:p>
    <w:p w14:paraId="35856832">
      <w:pPr>
        <w:pStyle w:val="14"/>
        <w:jc w:val="center"/>
        <w:outlineLvl w:val="3"/>
        <w:rPr>
          <w:rFonts w:hint="eastAsia" w:eastAsiaTheme="minorEastAsia"/>
          <w:b/>
          <w:color w:val="auto"/>
          <w:sz w:val="24"/>
          <w:lang w:eastAsia="zh-CN"/>
        </w:rPr>
      </w:pPr>
    </w:p>
    <w:p w14:paraId="44CFF521">
      <w:pPr>
        <w:pStyle w:val="14"/>
        <w:jc w:val="left"/>
        <w:outlineLvl w:val="3"/>
        <w:rPr>
          <w:color w:val="auto"/>
        </w:rPr>
      </w:pPr>
      <w:r>
        <w:rPr>
          <w:b/>
          <w:color w:val="auto"/>
          <w:sz w:val="24"/>
        </w:rPr>
        <w:t>1、签订合同应遵守《中华人民共和国政府采购法》、《中华人民共和国民法典》。</w:t>
      </w:r>
    </w:p>
    <w:p w14:paraId="636B3708">
      <w:pPr>
        <w:pStyle w:val="14"/>
        <w:jc w:val="left"/>
        <w:outlineLvl w:val="3"/>
        <w:rPr>
          <w:rFonts w:hint="eastAsia" w:eastAsiaTheme="minorEastAsia"/>
          <w:b/>
          <w:color w:val="auto"/>
          <w:sz w:val="24"/>
          <w:lang w:eastAsia="zh-CN"/>
        </w:rPr>
      </w:pPr>
      <w:r>
        <w:rPr>
          <w:b/>
          <w:color w:val="auto"/>
          <w:sz w:val="24"/>
        </w:rPr>
        <w:t>2、签订合同时，采购人与中标人应结合招标文件第五章规定填列相应内容。招标文件第五章已有规定的，双方均不得对规定进行变更或调整；招标文件第五章未作规定的，双方可通过友好协商进行约定</w:t>
      </w:r>
    </w:p>
    <w:p w14:paraId="4D8C854E">
      <w:pPr>
        <w:pStyle w:val="14"/>
        <w:jc w:val="left"/>
        <w:outlineLvl w:val="3"/>
        <w:rPr>
          <w:rFonts w:hint="eastAsia" w:eastAsiaTheme="minorEastAsia"/>
          <w:b/>
          <w:color w:val="auto"/>
          <w:sz w:val="24"/>
          <w:lang w:eastAsia="zh-CN"/>
        </w:rPr>
      </w:pPr>
    </w:p>
    <w:p w14:paraId="23E52467">
      <w:pPr>
        <w:pStyle w:val="14"/>
        <w:jc w:val="left"/>
        <w:rPr>
          <w:color w:val="auto"/>
        </w:rPr>
      </w:pPr>
      <w:r>
        <w:rPr>
          <w:color w:val="auto"/>
        </w:rPr>
        <w:t>甲方：__________________</w:t>
      </w:r>
    </w:p>
    <w:p w14:paraId="7E0A92DC">
      <w:pPr>
        <w:pStyle w:val="14"/>
        <w:jc w:val="left"/>
        <w:rPr>
          <w:color w:val="auto"/>
        </w:rPr>
      </w:pPr>
      <w:r>
        <w:rPr>
          <w:color w:val="auto"/>
        </w:rPr>
        <w:t>乙方：__________________</w:t>
      </w:r>
    </w:p>
    <w:p w14:paraId="491773D4">
      <w:pPr>
        <w:pStyle w:val="14"/>
        <w:jc w:val="left"/>
        <w:rPr>
          <w:color w:val="auto"/>
        </w:rPr>
      </w:pPr>
      <w:r>
        <w:rPr>
          <w:color w:val="auto"/>
        </w:rPr>
        <w:t>根据项目编号为_______的______项目（以下简称：“本项目”）的招标结果，乙方为中标人。现经甲乙双方友好协商，就以下事项达成一致并签订本合同：</w:t>
      </w:r>
    </w:p>
    <w:p w14:paraId="754383CD">
      <w:pPr>
        <w:pStyle w:val="14"/>
        <w:jc w:val="left"/>
        <w:outlineLvl w:val="3"/>
        <w:rPr>
          <w:color w:val="auto"/>
        </w:rPr>
      </w:pPr>
      <w:r>
        <w:rPr>
          <w:b/>
          <w:color w:val="auto"/>
          <w:sz w:val="24"/>
        </w:rPr>
        <w:t>1、下列合同文件是构成本合同不可分割的部分</w:t>
      </w:r>
    </w:p>
    <w:p w14:paraId="33CE098D">
      <w:pPr>
        <w:pStyle w:val="14"/>
        <w:jc w:val="left"/>
        <w:rPr>
          <w:color w:val="auto"/>
        </w:rPr>
      </w:pPr>
      <w:r>
        <w:rPr>
          <w:color w:val="auto"/>
        </w:rPr>
        <w:t>1.1合同条款；</w:t>
      </w:r>
    </w:p>
    <w:p w14:paraId="74508A5A">
      <w:pPr>
        <w:pStyle w:val="14"/>
        <w:jc w:val="left"/>
        <w:rPr>
          <w:color w:val="auto"/>
        </w:rPr>
      </w:pPr>
      <w:r>
        <w:rPr>
          <w:color w:val="auto"/>
        </w:rPr>
        <w:t>1.2招标文件、乙方的投标文件；</w:t>
      </w:r>
    </w:p>
    <w:p w14:paraId="1940D136">
      <w:pPr>
        <w:pStyle w:val="14"/>
        <w:jc w:val="left"/>
        <w:rPr>
          <w:color w:val="auto"/>
        </w:rPr>
      </w:pPr>
      <w:r>
        <w:rPr>
          <w:color w:val="auto"/>
        </w:rPr>
        <w:t>1.3其他文件或材料：</w:t>
      </w:r>
    </w:p>
    <w:p w14:paraId="6DFC067D">
      <w:pPr>
        <w:pStyle w:val="14"/>
        <w:jc w:val="left"/>
        <w:outlineLvl w:val="3"/>
        <w:rPr>
          <w:rFonts w:hint="eastAsia" w:eastAsiaTheme="minorEastAsia"/>
          <w:b/>
          <w:color w:val="auto"/>
          <w:sz w:val="24"/>
          <w:lang w:eastAsia="zh-CN"/>
        </w:rPr>
      </w:pPr>
      <w:r>
        <w:rPr>
          <w:b/>
          <w:color w:val="auto"/>
          <w:sz w:val="24"/>
        </w:rPr>
        <w:t>2、合同标的</w:t>
      </w:r>
    </w:p>
    <w:p w14:paraId="29584097">
      <w:pPr>
        <w:pStyle w:val="14"/>
        <w:jc w:val="left"/>
        <w:outlineLvl w:val="3"/>
        <w:rPr>
          <w:rFonts w:hint="eastAsia" w:eastAsiaTheme="minorEastAsia"/>
          <w:b/>
          <w:color w:val="auto"/>
          <w:sz w:val="24"/>
          <w:lang w:eastAsia="zh-CN"/>
        </w:rPr>
      </w:pPr>
    </w:p>
    <w:p w14:paraId="4EA116E6">
      <w:pPr>
        <w:pStyle w:val="14"/>
        <w:jc w:val="left"/>
        <w:outlineLvl w:val="3"/>
        <w:rPr>
          <w:color w:val="auto"/>
        </w:rPr>
      </w:pPr>
      <w:r>
        <w:rPr>
          <w:b/>
          <w:color w:val="auto"/>
          <w:sz w:val="24"/>
        </w:rPr>
        <w:t>3、合同总金额</w:t>
      </w:r>
    </w:p>
    <w:p w14:paraId="4D271D1C">
      <w:pPr>
        <w:pStyle w:val="14"/>
        <w:jc w:val="left"/>
        <w:rPr>
          <w:color w:val="auto"/>
        </w:rPr>
      </w:pPr>
      <w:r>
        <w:rPr>
          <w:color w:val="auto"/>
        </w:rPr>
        <w:t>3.1合同总金额为人民币大写：</w:t>
      </w:r>
    </w:p>
    <w:p w14:paraId="0168E943">
      <w:pPr>
        <w:pStyle w:val="14"/>
        <w:jc w:val="left"/>
        <w:outlineLvl w:val="3"/>
        <w:rPr>
          <w:color w:val="auto"/>
        </w:rPr>
      </w:pPr>
      <w:r>
        <w:rPr>
          <w:b/>
          <w:color w:val="auto"/>
          <w:sz w:val="24"/>
        </w:rPr>
        <w:t>4、合同标的交付时间、地点和条件</w:t>
      </w:r>
    </w:p>
    <w:p w14:paraId="1A0D0FA2">
      <w:pPr>
        <w:pStyle w:val="14"/>
        <w:jc w:val="left"/>
        <w:rPr>
          <w:color w:val="auto"/>
        </w:rPr>
      </w:pPr>
      <w:r>
        <w:rPr>
          <w:color w:val="auto"/>
        </w:rPr>
        <w:t>4.1交付时间：</w:t>
      </w:r>
    </w:p>
    <w:p w14:paraId="49CD19E0">
      <w:pPr>
        <w:pStyle w:val="14"/>
        <w:jc w:val="left"/>
        <w:rPr>
          <w:color w:val="auto"/>
        </w:rPr>
      </w:pPr>
      <w:r>
        <w:rPr>
          <w:color w:val="auto"/>
        </w:rPr>
        <w:t>4.2交付地点：</w:t>
      </w:r>
    </w:p>
    <w:p w14:paraId="3A030EBE">
      <w:pPr>
        <w:pStyle w:val="14"/>
        <w:jc w:val="left"/>
        <w:rPr>
          <w:color w:val="auto"/>
        </w:rPr>
      </w:pPr>
      <w:r>
        <w:rPr>
          <w:color w:val="auto"/>
        </w:rPr>
        <w:t>4.3交付条件：</w:t>
      </w:r>
    </w:p>
    <w:p w14:paraId="55F398D6">
      <w:pPr>
        <w:pStyle w:val="14"/>
        <w:jc w:val="left"/>
        <w:outlineLvl w:val="3"/>
        <w:rPr>
          <w:rFonts w:hint="eastAsia" w:eastAsiaTheme="minorEastAsia"/>
          <w:b/>
          <w:color w:val="auto"/>
          <w:sz w:val="24"/>
          <w:lang w:eastAsia="zh-CN"/>
        </w:rPr>
      </w:pPr>
      <w:r>
        <w:rPr>
          <w:b/>
          <w:color w:val="auto"/>
          <w:sz w:val="24"/>
        </w:rPr>
        <w:t>5、合同标的应符合招标文件、乙方投标文件的规定或约定，具体如下：</w:t>
      </w:r>
    </w:p>
    <w:p w14:paraId="4FF1DF7B">
      <w:pPr>
        <w:pStyle w:val="14"/>
        <w:jc w:val="left"/>
        <w:outlineLvl w:val="3"/>
        <w:rPr>
          <w:rFonts w:hint="eastAsia" w:eastAsiaTheme="minorEastAsia"/>
          <w:b/>
          <w:color w:val="auto"/>
          <w:sz w:val="24"/>
          <w:lang w:eastAsia="zh-CN"/>
        </w:rPr>
      </w:pPr>
    </w:p>
    <w:p w14:paraId="0DB092F2">
      <w:pPr>
        <w:pStyle w:val="14"/>
        <w:jc w:val="left"/>
        <w:outlineLvl w:val="3"/>
        <w:rPr>
          <w:color w:val="auto"/>
        </w:rPr>
      </w:pPr>
      <w:r>
        <w:rPr>
          <w:b/>
          <w:color w:val="auto"/>
          <w:sz w:val="24"/>
        </w:rPr>
        <w:t>6、验收</w:t>
      </w:r>
    </w:p>
    <w:p w14:paraId="27F85D9A">
      <w:pPr>
        <w:pStyle w:val="14"/>
        <w:jc w:val="left"/>
        <w:rPr>
          <w:color w:val="auto"/>
        </w:rPr>
      </w:pPr>
      <w:r>
        <w:rPr>
          <w:color w:val="auto"/>
        </w:rPr>
        <w:t>6.1验收应按照招标文件、乙方投标文件的规定或约定进行，具体如下：</w:t>
      </w:r>
    </w:p>
    <w:p w14:paraId="1F09CF0F">
      <w:pPr>
        <w:pStyle w:val="14"/>
        <w:jc w:val="left"/>
        <w:rPr>
          <w:color w:val="auto"/>
        </w:rPr>
      </w:pPr>
      <w:r>
        <w:rPr>
          <w:color w:val="auto"/>
        </w:rPr>
        <w:t>6.2本项目是否邀请其他投标人参与验收：</w:t>
      </w:r>
    </w:p>
    <w:p w14:paraId="215A6836">
      <w:pPr>
        <w:pStyle w:val="14"/>
        <w:jc w:val="left"/>
        <w:outlineLvl w:val="3"/>
        <w:rPr>
          <w:rFonts w:hint="eastAsia" w:eastAsiaTheme="minorEastAsia"/>
          <w:b/>
          <w:color w:val="auto"/>
          <w:sz w:val="24"/>
          <w:lang w:eastAsia="zh-CN"/>
        </w:rPr>
      </w:pPr>
      <w:r>
        <w:rPr>
          <w:b/>
          <w:color w:val="auto"/>
          <w:sz w:val="24"/>
        </w:rPr>
        <w:t>7、合同款项的支付应按照招标文件的规定进行，具体如下：</w:t>
      </w:r>
    </w:p>
    <w:p w14:paraId="627A9786">
      <w:pPr>
        <w:pStyle w:val="14"/>
        <w:jc w:val="left"/>
        <w:outlineLvl w:val="3"/>
        <w:rPr>
          <w:rFonts w:hint="eastAsia" w:eastAsiaTheme="minorEastAsia"/>
          <w:b/>
          <w:color w:val="auto"/>
          <w:sz w:val="24"/>
          <w:lang w:eastAsia="zh-CN"/>
        </w:rPr>
      </w:pPr>
    </w:p>
    <w:p w14:paraId="131EC8A5">
      <w:pPr>
        <w:pStyle w:val="14"/>
        <w:jc w:val="left"/>
        <w:outlineLvl w:val="3"/>
        <w:rPr>
          <w:rFonts w:hint="eastAsia" w:eastAsiaTheme="minorEastAsia"/>
          <w:b/>
          <w:color w:val="auto"/>
          <w:sz w:val="24"/>
          <w:lang w:eastAsia="zh-CN"/>
        </w:rPr>
      </w:pPr>
      <w:r>
        <w:rPr>
          <w:b/>
          <w:color w:val="auto"/>
          <w:sz w:val="24"/>
        </w:rPr>
        <w:t>8、履约保证金</w:t>
      </w:r>
    </w:p>
    <w:p w14:paraId="66BF9B9A">
      <w:pPr>
        <w:pStyle w:val="14"/>
        <w:jc w:val="left"/>
        <w:outlineLvl w:val="3"/>
        <w:rPr>
          <w:rFonts w:hint="eastAsia" w:eastAsiaTheme="minorEastAsia"/>
          <w:b/>
          <w:color w:val="auto"/>
          <w:sz w:val="24"/>
          <w:lang w:eastAsia="zh-CN"/>
        </w:rPr>
      </w:pPr>
    </w:p>
    <w:p w14:paraId="10CC0EF2">
      <w:pPr>
        <w:pStyle w:val="14"/>
        <w:jc w:val="left"/>
        <w:outlineLvl w:val="3"/>
        <w:rPr>
          <w:rFonts w:hint="eastAsia" w:eastAsiaTheme="minorEastAsia"/>
          <w:b/>
          <w:color w:val="auto"/>
          <w:sz w:val="24"/>
          <w:lang w:eastAsia="zh-CN"/>
        </w:rPr>
      </w:pPr>
      <w:r>
        <w:rPr>
          <w:b/>
          <w:color w:val="auto"/>
          <w:sz w:val="24"/>
        </w:rPr>
        <w:t>9、合同有效期</w:t>
      </w:r>
    </w:p>
    <w:p w14:paraId="54C65B1A">
      <w:pPr>
        <w:pStyle w:val="14"/>
        <w:jc w:val="left"/>
        <w:outlineLvl w:val="3"/>
        <w:rPr>
          <w:rFonts w:hint="eastAsia" w:eastAsiaTheme="minorEastAsia"/>
          <w:b/>
          <w:color w:val="auto"/>
          <w:sz w:val="24"/>
          <w:lang w:eastAsia="zh-CN"/>
        </w:rPr>
      </w:pPr>
    </w:p>
    <w:p w14:paraId="5B6A8A59">
      <w:pPr>
        <w:pStyle w:val="14"/>
        <w:jc w:val="left"/>
        <w:outlineLvl w:val="3"/>
        <w:rPr>
          <w:rFonts w:hint="eastAsia" w:eastAsiaTheme="minorEastAsia"/>
          <w:b/>
          <w:color w:val="auto"/>
          <w:sz w:val="24"/>
          <w:lang w:eastAsia="zh-CN"/>
        </w:rPr>
      </w:pPr>
      <w:r>
        <w:rPr>
          <w:b/>
          <w:color w:val="auto"/>
          <w:sz w:val="24"/>
        </w:rPr>
        <w:t>10、违约责任</w:t>
      </w:r>
    </w:p>
    <w:p w14:paraId="247918A9">
      <w:pPr>
        <w:pStyle w:val="14"/>
        <w:jc w:val="left"/>
        <w:outlineLvl w:val="3"/>
        <w:rPr>
          <w:rFonts w:hint="eastAsia" w:eastAsiaTheme="minorEastAsia"/>
          <w:b/>
          <w:color w:val="auto"/>
          <w:sz w:val="24"/>
          <w:lang w:eastAsia="zh-CN"/>
        </w:rPr>
      </w:pPr>
    </w:p>
    <w:p w14:paraId="4F78DB70">
      <w:pPr>
        <w:pStyle w:val="14"/>
        <w:jc w:val="left"/>
        <w:outlineLvl w:val="3"/>
        <w:rPr>
          <w:color w:val="auto"/>
        </w:rPr>
      </w:pPr>
      <w:r>
        <w:rPr>
          <w:b/>
          <w:color w:val="auto"/>
          <w:sz w:val="24"/>
        </w:rPr>
        <w:t>11、知识产权</w:t>
      </w:r>
    </w:p>
    <w:p w14:paraId="5042D84F">
      <w:pPr>
        <w:pStyle w:val="14"/>
        <w:jc w:val="left"/>
        <w:rPr>
          <w:color w:val="auto"/>
        </w:rPr>
      </w:pPr>
      <w:r>
        <w:rPr>
          <w:color w:val="auto"/>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57FCA481">
      <w:pPr>
        <w:pStyle w:val="14"/>
        <w:jc w:val="left"/>
        <w:rPr>
          <w:color w:val="auto"/>
        </w:rPr>
      </w:pPr>
      <w:r>
        <w:rPr>
          <w:color w:val="auto"/>
        </w:rPr>
        <w:t>11.2若乙方提供的采购标的不符合国家知识产权法律、法规的规定或被有关主管机关认定为假冒伪劣品，则乙方中标资格将被取消；甲方还将按照有关法律、法规和规章的规定进行处理，具体如下：</w:t>
      </w:r>
    </w:p>
    <w:p w14:paraId="5719377B">
      <w:pPr>
        <w:pStyle w:val="14"/>
        <w:jc w:val="left"/>
        <w:outlineLvl w:val="3"/>
        <w:rPr>
          <w:color w:val="auto"/>
        </w:rPr>
      </w:pPr>
      <w:r>
        <w:rPr>
          <w:b/>
          <w:color w:val="auto"/>
          <w:sz w:val="24"/>
        </w:rPr>
        <w:t>12、解决争议的方法</w:t>
      </w:r>
    </w:p>
    <w:p w14:paraId="00F92533">
      <w:pPr>
        <w:pStyle w:val="14"/>
        <w:jc w:val="left"/>
        <w:rPr>
          <w:color w:val="auto"/>
        </w:rPr>
      </w:pPr>
      <w:r>
        <w:rPr>
          <w:color w:val="auto"/>
        </w:rPr>
        <w:t>12.1甲、乙双方协商解决。</w:t>
      </w:r>
    </w:p>
    <w:p w14:paraId="106FCB9E">
      <w:pPr>
        <w:pStyle w:val="14"/>
        <w:jc w:val="left"/>
        <w:rPr>
          <w:color w:val="auto"/>
        </w:rPr>
      </w:pPr>
      <w:r>
        <w:rPr>
          <w:color w:val="auto"/>
        </w:rPr>
        <w:t>12.2若协商解决不成，则通过下列途径之一解决：</w:t>
      </w:r>
    </w:p>
    <w:p w14:paraId="2FDCAD5B">
      <w:pPr>
        <w:pStyle w:val="14"/>
        <w:spacing w:line="300" w:lineRule="auto"/>
        <w:jc w:val="left"/>
        <w:rPr>
          <w:color w:val="auto"/>
        </w:rPr>
      </w:pPr>
      <w:r>
        <w:rPr>
          <w:color w:val="auto"/>
        </w:rPr>
        <w:t>提交仲裁委员会仲裁，具体如下：</w:t>
      </w:r>
    </w:p>
    <w:p w14:paraId="639ACCEB">
      <w:pPr>
        <w:pStyle w:val="14"/>
        <w:spacing w:line="300" w:lineRule="auto"/>
        <w:jc w:val="left"/>
        <w:rPr>
          <w:color w:val="auto"/>
        </w:rPr>
      </w:pPr>
      <w:r>
        <w:rPr>
          <w:color w:val="auto"/>
        </w:rPr>
        <w:t>向人民法院提起诉讼，具体如下：</w:t>
      </w:r>
    </w:p>
    <w:p w14:paraId="1D5D6557">
      <w:pPr>
        <w:pStyle w:val="14"/>
        <w:jc w:val="left"/>
        <w:outlineLvl w:val="3"/>
        <w:rPr>
          <w:color w:val="auto"/>
        </w:rPr>
      </w:pPr>
      <w:r>
        <w:rPr>
          <w:b/>
          <w:color w:val="auto"/>
          <w:sz w:val="24"/>
        </w:rPr>
        <w:t>13、不可抗力</w:t>
      </w:r>
    </w:p>
    <w:p w14:paraId="2BE8D328">
      <w:pPr>
        <w:pStyle w:val="14"/>
        <w:jc w:val="left"/>
        <w:rPr>
          <w:color w:val="auto"/>
        </w:rPr>
      </w:pPr>
      <w:r>
        <w:rPr>
          <w:color w:val="auto"/>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4D57E61D">
      <w:pPr>
        <w:pStyle w:val="14"/>
        <w:jc w:val="left"/>
        <w:rPr>
          <w:color w:val="auto"/>
        </w:rPr>
      </w:pPr>
      <w:r>
        <w:rPr>
          <w:color w:val="auto"/>
        </w:rPr>
        <w:t>13.2本合同中的不可抗力指不能预见、不能避免、不能克服的客观情况，包括但不限于：自然灾害如地震、台风、洪水、火灾及政府行为、法律规定或其适用的变化或其他任何无法预见、避免或控制的事件。</w:t>
      </w:r>
    </w:p>
    <w:p w14:paraId="64134900">
      <w:pPr>
        <w:pStyle w:val="14"/>
        <w:jc w:val="left"/>
        <w:outlineLvl w:val="3"/>
        <w:rPr>
          <w:rFonts w:hint="eastAsia" w:eastAsiaTheme="minorEastAsia"/>
          <w:b/>
          <w:color w:val="auto"/>
          <w:sz w:val="24"/>
          <w:lang w:eastAsia="zh-CN"/>
        </w:rPr>
      </w:pPr>
      <w:r>
        <w:rPr>
          <w:b/>
          <w:color w:val="auto"/>
          <w:sz w:val="24"/>
        </w:rPr>
        <w:t>14、合同条款</w:t>
      </w:r>
    </w:p>
    <w:p w14:paraId="7F9DC3AC">
      <w:pPr>
        <w:pStyle w:val="14"/>
        <w:jc w:val="left"/>
        <w:outlineLvl w:val="3"/>
        <w:rPr>
          <w:rFonts w:hint="eastAsia" w:eastAsiaTheme="minorEastAsia"/>
          <w:b/>
          <w:color w:val="auto"/>
          <w:sz w:val="24"/>
          <w:lang w:eastAsia="zh-CN"/>
        </w:rPr>
      </w:pPr>
    </w:p>
    <w:p w14:paraId="4CC18CC0">
      <w:pPr>
        <w:pStyle w:val="14"/>
        <w:jc w:val="left"/>
        <w:outlineLvl w:val="3"/>
        <w:rPr>
          <w:color w:val="auto"/>
        </w:rPr>
      </w:pPr>
      <w:r>
        <w:rPr>
          <w:b/>
          <w:color w:val="auto"/>
          <w:sz w:val="24"/>
        </w:rPr>
        <w:t>15、其他约定</w:t>
      </w:r>
    </w:p>
    <w:p w14:paraId="1CF6AE1D">
      <w:pPr>
        <w:pStyle w:val="14"/>
        <w:jc w:val="left"/>
        <w:rPr>
          <w:color w:val="auto"/>
        </w:rPr>
      </w:pPr>
      <w:r>
        <w:rPr>
          <w:color w:val="auto"/>
        </w:rPr>
        <w:t>15.1合同文件与本合同具有同等法律效力。</w:t>
      </w:r>
    </w:p>
    <w:p w14:paraId="0BFA1D53">
      <w:pPr>
        <w:pStyle w:val="14"/>
        <w:jc w:val="left"/>
        <w:rPr>
          <w:color w:val="auto"/>
        </w:rPr>
      </w:pPr>
      <w:r>
        <w:rPr>
          <w:color w:val="auto"/>
        </w:rPr>
        <w:t>15.2本合同未尽事宜，双方可另行补充。</w:t>
      </w:r>
    </w:p>
    <w:p w14:paraId="5F9831A8">
      <w:pPr>
        <w:pStyle w:val="14"/>
        <w:jc w:val="left"/>
        <w:rPr>
          <w:color w:val="auto"/>
        </w:rPr>
      </w:pPr>
      <w:r>
        <w:rPr>
          <w:color w:val="auto"/>
        </w:rPr>
        <w:t>15.3本合同自签订之日起生效。</w:t>
      </w:r>
    </w:p>
    <w:p w14:paraId="3F8599D6">
      <w:pPr>
        <w:pStyle w:val="14"/>
        <w:jc w:val="left"/>
        <w:rPr>
          <w:color w:val="auto"/>
        </w:rPr>
      </w:pPr>
      <w:r>
        <w:rPr>
          <w:color w:val="auto"/>
        </w:rPr>
        <w:t>15.4本合同纸质文件一式__份。合同电子文本通过政府采购网上公开信息系统自动备案。合同纸质文本需与备案电子文本一致，以备案电子文本为准，具有同等效力</w:t>
      </w:r>
    </w:p>
    <w:p w14:paraId="6EA5070F">
      <w:pPr>
        <w:pStyle w:val="14"/>
        <w:jc w:val="left"/>
        <w:rPr>
          <w:rFonts w:hint="eastAsia" w:eastAsiaTheme="minorEastAsia"/>
          <w:color w:val="auto"/>
          <w:lang w:eastAsia="zh-CN"/>
        </w:rPr>
      </w:pPr>
      <w:r>
        <w:rPr>
          <w:color w:val="auto"/>
        </w:rPr>
        <w:t>15.5其他：</w:t>
      </w:r>
    </w:p>
    <w:p w14:paraId="43706E54">
      <w:pPr>
        <w:pStyle w:val="14"/>
        <w:jc w:val="left"/>
        <w:rPr>
          <w:rFonts w:hint="eastAsia" w:eastAsiaTheme="minorEastAsia"/>
          <w:color w:val="auto"/>
          <w:lang w:eastAsia="zh-CN"/>
        </w:rPr>
      </w:pPr>
    </w:p>
    <w:p w14:paraId="5D37AA97">
      <w:pPr>
        <w:pStyle w:val="14"/>
        <w:jc w:val="left"/>
        <w:rPr>
          <w:rFonts w:hint="eastAsia" w:eastAsiaTheme="minorEastAsia"/>
          <w:color w:val="auto"/>
          <w:lang w:eastAsia="zh-CN"/>
        </w:rPr>
      </w:pPr>
    </w:p>
    <w:p w14:paraId="751EE38D">
      <w:pPr>
        <w:pStyle w:val="14"/>
        <w:jc w:val="left"/>
        <w:rPr>
          <w:rFonts w:hint="eastAsia" w:eastAsiaTheme="minorEastAsia"/>
          <w:color w:val="auto"/>
          <w:lang w:eastAsia="zh-CN"/>
        </w:rPr>
      </w:pPr>
    </w:p>
    <w:p w14:paraId="7A8A1BDF">
      <w:pPr>
        <w:pStyle w:val="14"/>
        <w:jc w:val="left"/>
        <w:rPr>
          <w:color w:val="auto"/>
        </w:rPr>
      </w:pPr>
    </w:p>
    <w:p w14:paraId="14EE5368">
      <w:pPr>
        <w:pStyle w:val="14"/>
        <w:jc w:val="left"/>
        <w:rPr>
          <w:color w:val="auto"/>
        </w:rPr>
      </w:pPr>
    </w:p>
    <w:p w14:paraId="2A40071F">
      <w:pPr>
        <w:pStyle w:val="14"/>
        <w:jc w:val="left"/>
        <w:rPr>
          <w:color w:val="auto"/>
        </w:rPr>
      </w:pPr>
    </w:p>
    <w:p w14:paraId="3B0FFA62">
      <w:pPr>
        <w:pStyle w:val="14"/>
        <w:jc w:val="left"/>
        <w:rPr>
          <w:color w:val="auto"/>
        </w:rPr>
      </w:pPr>
      <w:r>
        <w:rPr>
          <w:color w:val="auto"/>
        </w:rPr>
        <w:t>甲方（采购人）：</w:t>
      </w:r>
    </w:p>
    <w:p w14:paraId="4527AB53">
      <w:pPr>
        <w:pStyle w:val="14"/>
        <w:jc w:val="left"/>
        <w:rPr>
          <w:color w:val="auto"/>
        </w:rPr>
      </w:pPr>
      <w:r>
        <w:rPr>
          <w:color w:val="auto"/>
        </w:rPr>
        <w:t>法定（授权）代表人</w:t>
      </w:r>
    </w:p>
    <w:p w14:paraId="238D1C49">
      <w:pPr>
        <w:pStyle w:val="14"/>
        <w:jc w:val="left"/>
        <w:rPr>
          <w:color w:val="auto"/>
        </w:rPr>
      </w:pPr>
      <w:r>
        <w:rPr>
          <w:color w:val="auto"/>
        </w:rPr>
        <w:t>纳税人识别号：</w:t>
      </w:r>
    </w:p>
    <w:p w14:paraId="2DF4D181">
      <w:pPr>
        <w:pStyle w:val="14"/>
        <w:jc w:val="left"/>
        <w:rPr>
          <w:color w:val="auto"/>
        </w:rPr>
      </w:pPr>
      <w:r>
        <w:rPr>
          <w:color w:val="auto"/>
        </w:rPr>
        <w:t>开户银行：</w:t>
      </w:r>
    </w:p>
    <w:p w14:paraId="42690C32">
      <w:pPr>
        <w:pStyle w:val="14"/>
        <w:jc w:val="left"/>
        <w:rPr>
          <w:color w:val="auto"/>
        </w:rPr>
      </w:pPr>
      <w:r>
        <w:rPr>
          <w:color w:val="auto"/>
        </w:rPr>
        <w:t>银行账号：</w:t>
      </w:r>
    </w:p>
    <w:p w14:paraId="66D4A90A">
      <w:pPr>
        <w:pStyle w:val="14"/>
        <w:jc w:val="left"/>
        <w:rPr>
          <w:color w:val="auto"/>
        </w:rPr>
      </w:pPr>
    </w:p>
    <w:p w14:paraId="7DDF489A">
      <w:pPr>
        <w:pStyle w:val="14"/>
        <w:spacing w:after="375"/>
        <w:jc w:val="left"/>
        <w:rPr>
          <w:color w:val="auto"/>
        </w:rPr>
      </w:pPr>
    </w:p>
    <w:p w14:paraId="392E428B">
      <w:pPr>
        <w:pStyle w:val="14"/>
        <w:jc w:val="left"/>
        <w:rPr>
          <w:color w:val="auto"/>
        </w:rPr>
      </w:pPr>
      <w:r>
        <w:rPr>
          <w:color w:val="auto"/>
        </w:rPr>
        <w:t>乙方（中标或成交人）：</w:t>
      </w:r>
    </w:p>
    <w:p w14:paraId="1AB52502">
      <w:pPr>
        <w:pStyle w:val="14"/>
        <w:jc w:val="left"/>
        <w:rPr>
          <w:color w:val="auto"/>
        </w:rPr>
      </w:pPr>
      <w:r>
        <w:rPr>
          <w:color w:val="auto"/>
        </w:rPr>
        <w:t>法定（授权）代表人：</w:t>
      </w:r>
    </w:p>
    <w:p w14:paraId="72A2731B">
      <w:pPr>
        <w:pStyle w:val="14"/>
        <w:jc w:val="left"/>
        <w:rPr>
          <w:color w:val="auto"/>
        </w:rPr>
      </w:pPr>
      <w:r>
        <w:rPr>
          <w:color w:val="auto"/>
        </w:rPr>
        <w:t>纳税人识别号：</w:t>
      </w:r>
    </w:p>
    <w:p w14:paraId="03439C07">
      <w:pPr>
        <w:pStyle w:val="14"/>
        <w:jc w:val="left"/>
        <w:rPr>
          <w:color w:val="auto"/>
        </w:rPr>
      </w:pPr>
      <w:r>
        <w:rPr>
          <w:color w:val="auto"/>
        </w:rPr>
        <w:t>开户银行：</w:t>
      </w:r>
    </w:p>
    <w:p w14:paraId="40B143AA">
      <w:pPr>
        <w:pStyle w:val="14"/>
        <w:jc w:val="left"/>
        <w:rPr>
          <w:color w:val="auto"/>
        </w:rPr>
      </w:pPr>
      <w:r>
        <w:rPr>
          <w:color w:val="auto"/>
        </w:rPr>
        <w:t>银行账号：</w:t>
      </w:r>
    </w:p>
    <w:p w14:paraId="24B48F8A">
      <w:pPr>
        <w:pStyle w:val="14"/>
        <w:jc w:val="left"/>
        <w:rPr>
          <w:color w:val="auto"/>
        </w:rPr>
      </w:pPr>
      <w:r>
        <w:rPr>
          <w:color w:val="auto"/>
        </w:rPr>
        <w:t>签订地点： __________________</w:t>
      </w:r>
    </w:p>
    <w:p w14:paraId="3E302C52">
      <w:pPr>
        <w:pStyle w:val="14"/>
        <w:jc w:val="left"/>
        <w:rPr>
          <w:color w:val="auto"/>
        </w:rPr>
      </w:pPr>
      <w:r>
        <w:rPr>
          <w:color w:val="auto"/>
        </w:rPr>
        <w:t>签订日期：___年___月___日</w:t>
      </w:r>
    </w:p>
    <w:p w14:paraId="5E3EA54B">
      <w:pPr>
        <w:pStyle w:val="14"/>
        <w:jc w:val="left"/>
        <w:rPr>
          <w:color w:val="auto"/>
        </w:rPr>
      </w:pPr>
    </w:p>
    <w:p w14:paraId="609ACF19">
      <w:pPr>
        <w:pStyle w:val="14"/>
        <w:jc w:val="left"/>
        <w:rPr>
          <w:color w:val="auto"/>
        </w:rPr>
      </w:pPr>
      <w:r>
        <w:rPr>
          <w:color w:val="auto"/>
        </w:rPr>
        <w:t xml:space="preserve"> </w:t>
      </w:r>
    </w:p>
    <w:p w14:paraId="2A8A98F0">
      <w:pPr>
        <w:pStyle w:val="14"/>
        <w:jc w:val="center"/>
        <w:outlineLvl w:val="1"/>
        <w:rPr>
          <w:color w:val="auto"/>
        </w:rPr>
      </w:pPr>
      <w:r>
        <w:rPr>
          <w:b/>
          <w:color w:val="auto"/>
          <w:sz w:val="36"/>
        </w:rPr>
        <w:t>第五章  首次响应文件格式</w:t>
      </w:r>
    </w:p>
    <w:p w14:paraId="18801799">
      <w:pPr>
        <w:pStyle w:val="14"/>
        <w:jc w:val="center"/>
        <w:outlineLvl w:val="2"/>
        <w:rPr>
          <w:color w:val="auto"/>
        </w:rPr>
      </w:pPr>
      <w:r>
        <w:rPr>
          <w:b/>
          <w:color w:val="auto"/>
          <w:sz w:val="28"/>
        </w:rPr>
        <w:t>编制说明</w:t>
      </w:r>
    </w:p>
    <w:p w14:paraId="413B6FD5">
      <w:pPr>
        <w:pStyle w:val="14"/>
        <w:ind w:firstLine="480"/>
        <w:jc w:val="left"/>
        <w:rPr>
          <w:color w:val="auto"/>
        </w:rPr>
      </w:pPr>
      <w:r>
        <w:rPr>
          <w:color w:val="auto"/>
        </w:rPr>
        <w:t>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14:paraId="08841CF6">
      <w:pPr>
        <w:pStyle w:val="14"/>
        <w:jc w:val="center"/>
        <w:rPr>
          <w:color w:val="auto"/>
        </w:rPr>
      </w:pPr>
    </w:p>
    <w:p w14:paraId="66D3DB64">
      <w:pPr>
        <w:pStyle w:val="14"/>
        <w:jc w:val="center"/>
        <w:rPr>
          <w:color w:val="auto"/>
        </w:rPr>
      </w:pPr>
      <w:r>
        <w:rPr>
          <w:color w:val="auto"/>
        </w:rPr>
        <w:t xml:space="preserve"> </w:t>
      </w:r>
    </w:p>
    <w:p w14:paraId="7DED2B42">
      <w:pPr>
        <w:pStyle w:val="14"/>
        <w:jc w:val="center"/>
        <w:outlineLvl w:val="0"/>
        <w:rPr>
          <w:color w:val="auto"/>
        </w:rPr>
      </w:pPr>
      <w:r>
        <w:rPr>
          <w:b/>
          <w:color w:val="auto"/>
          <w:sz w:val="48"/>
        </w:rPr>
        <w:t>福建省政府采购项目竞争性磋商</w:t>
      </w:r>
    </w:p>
    <w:p w14:paraId="15C99BAB">
      <w:pPr>
        <w:pStyle w:val="14"/>
        <w:jc w:val="center"/>
        <w:outlineLvl w:val="1"/>
        <w:rPr>
          <w:color w:val="auto"/>
        </w:rPr>
      </w:pPr>
      <w:r>
        <w:rPr>
          <w:b/>
          <w:color w:val="auto"/>
          <w:sz w:val="36"/>
        </w:rPr>
        <w:t>响应文件</w:t>
      </w:r>
    </w:p>
    <w:p w14:paraId="317B3745">
      <w:pPr>
        <w:pStyle w:val="14"/>
        <w:jc w:val="center"/>
        <w:outlineLvl w:val="1"/>
        <w:rPr>
          <w:rFonts w:hint="eastAsia" w:eastAsiaTheme="minorEastAsia"/>
          <w:b/>
          <w:color w:val="auto"/>
          <w:sz w:val="36"/>
          <w:lang w:eastAsia="zh-CN"/>
        </w:rPr>
      </w:pPr>
      <w:r>
        <w:rPr>
          <w:b/>
          <w:color w:val="auto"/>
          <w:sz w:val="36"/>
        </w:rPr>
        <w:t>（首次）</w:t>
      </w:r>
    </w:p>
    <w:p w14:paraId="63B1EB95">
      <w:pPr>
        <w:pStyle w:val="14"/>
        <w:jc w:val="center"/>
        <w:outlineLvl w:val="1"/>
        <w:rPr>
          <w:rFonts w:hint="eastAsia" w:eastAsiaTheme="minorEastAsia"/>
          <w:b/>
          <w:color w:val="auto"/>
          <w:sz w:val="36"/>
          <w:lang w:eastAsia="zh-CN"/>
        </w:rPr>
      </w:pPr>
    </w:p>
    <w:p w14:paraId="3FF06904">
      <w:pPr>
        <w:pStyle w:val="14"/>
        <w:jc w:val="center"/>
        <w:outlineLvl w:val="1"/>
        <w:rPr>
          <w:rFonts w:hint="eastAsia" w:eastAsiaTheme="minorEastAsia"/>
          <w:color w:val="auto"/>
          <w:lang w:eastAsia="zh-CN"/>
        </w:rPr>
      </w:pPr>
    </w:p>
    <w:p w14:paraId="33CA7463">
      <w:pPr>
        <w:pStyle w:val="14"/>
        <w:jc w:val="center"/>
        <w:outlineLvl w:val="1"/>
        <w:rPr>
          <w:rFonts w:hint="eastAsia" w:eastAsiaTheme="minorEastAsia"/>
          <w:color w:val="auto"/>
          <w:lang w:eastAsia="zh-CN"/>
        </w:rPr>
      </w:pPr>
    </w:p>
    <w:p w14:paraId="1BC889ED">
      <w:pPr>
        <w:pStyle w:val="14"/>
        <w:jc w:val="center"/>
        <w:outlineLvl w:val="1"/>
        <w:rPr>
          <w:rFonts w:hint="eastAsia" w:eastAsiaTheme="minorEastAsia"/>
          <w:color w:val="auto"/>
          <w:lang w:eastAsia="zh-CN"/>
        </w:rPr>
      </w:pPr>
    </w:p>
    <w:p w14:paraId="5825C2EA">
      <w:pPr>
        <w:pStyle w:val="14"/>
        <w:jc w:val="center"/>
        <w:outlineLvl w:val="1"/>
        <w:rPr>
          <w:rFonts w:hint="eastAsia" w:eastAsiaTheme="minorEastAsia"/>
          <w:color w:val="auto"/>
          <w:lang w:eastAsia="zh-CN"/>
        </w:rPr>
      </w:pPr>
    </w:p>
    <w:p w14:paraId="07C287EF">
      <w:pPr>
        <w:pStyle w:val="14"/>
        <w:jc w:val="center"/>
        <w:outlineLvl w:val="2"/>
        <w:rPr>
          <w:color w:val="auto"/>
        </w:rPr>
      </w:pPr>
      <w:r>
        <w:rPr>
          <w:b/>
          <w:color w:val="auto"/>
          <w:sz w:val="28"/>
        </w:rPr>
        <w:t>项目名称：</w:t>
      </w:r>
      <w:r>
        <w:rPr>
          <w:b/>
          <w:color w:val="auto"/>
          <w:sz w:val="28"/>
          <w:u w:val="single"/>
        </w:rPr>
        <w:t xml:space="preserve">                      </w:t>
      </w:r>
    </w:p>
    <w:p w14:paraId="3C8DD6A4">
      <w:pPr>
        <w:pStyle w:val="14"/>
        <w:jc w:val="center"/>
        <w:outlineLvl w:val="2"/>
        <w:rPr>
          <w:color w:val="auto"/>
        </w:rPr>
      </w:pPr>
      <w:r>
        <w:rPr>
          <w:b/>
          <w:color w:val="auto"/>
          <w:sz w:val="28"/>
        </w:rPr>
        <w:t>项目编号：</w:t>
      </w:r>
      <w:r>
        <w:rPr>
          <w:b/>
          <w:color w:val="auto"/>
          <w:sz w:val="28"/>
          <w:u w:val="single"/>
        </w:rPr>
        <w:t xml:space="preserve">                      </w:t>
      </w:r>
    </w:p>
    <w:p w14:paraId="10E6C594">
      <w:pPr>
        <w:pStyle w:val="14"/>
        <w:jc w:val="center"/>
        <w:outlineLvl w:val="2"/>
        <w:rPr>
          <w:rFonts w:hint="eastAsia" w:eastAsiaTheme="minorEastAsia"/>
          <w:b/>
          <w:color w:val="auto"/>
          <w:sz w:val="28"/>
          <w:u w:val="single"/>
          <w:lang w:eastAsia="zh-CN"/>
        </w:rPr>
      </w:pPr>
      <w:r>
        <w:rPr>
          <w:b/>
          <w:color w:val="auto"/>
          <w:sz w:val="28"/>
        </w:rPr>
        <w:t>采购包：</w:t>
      </w:r>
      <w:r>
        <w:rPr>
          <w:b/>
          <w:color w:val="auto"/>
          <w:sz w:val="28"/>
          <w:u w:val="single"/>
        </w:rPr>
        <w:t xml:space="preserve">                      </w:t>
      </w:r>
    </w:p>
    <w:p w14:paraId="5D3FAE01">
      <w:pPr>
        <w:pStyle w:val="14"/>
        <w:jc w:val="center"/>
        <w:outlineLvl w:val="2"/>
        <w:rPr>
          <w:rFonts w:hint="eastAsia" w:eastAsiaTheme="minorEastAsia"/>
          <w:b/>
          <w:color w:val="auto"/>
          <w:sz w:val="28"/>
          <w:u w:val="single"/>
          <w:lang w:eastAsia="zh-CN"/>
        </w:rPr>
      </w:pPr>
    </w:p>
    <w:p w14:paraId="4F8DEB5F">
      <w:pPr>
        <w:pStyle w:val="14"/>
        <w:jc w:val="center"/>
        <w:outlineLvl w:val="2"/>
        <w:rPr>
          <w:rFonts w:hint="eastAsia" w:eastAsiaTheme="minorEastAsia"/>
          <w:color w:val="auto"/>
          <w:lang w:eastAsia="zh-CN"/>
        </w:rPr>
      </w:pPr>
    </w:p>
    <w:p w14:paraId="5887B50E">
      <w:pPr>
        <w:pStyle w:val="14"/>
        <w:jc w:val="center"/>
        <w:outlineLvl w:val="2"/>
        <w:rPr>
          <w:color w:val="auto"/>
        </w:rPr>
      </w:pPr>
      <w:r>
        <w:rPr>
          <w:b/>
          <w:color w:val="auto"/>
          <w:sz w:val="28"/>
        </w:rPr>
        <w:t>供应商名称：</w:t>
      </w:r>
      <w:r>
        <w:rPr>
          <w:b/>
          <w:color w:val="auto"/>
          <w:sz w:val="28"/>
          <w:u w:val="single"/>
        </w:rPr>
        <w:t xml:space="preserve">                      </w:t>
      </w:r>
    </w:p>
    <w:p w14:paraId="7CA94C5C">
      <w:pPr>
        <w:pStyle w:val="14"/>
        <w:jc w:val="center"/>
        <w:outlineLvl w:val="2"/>
        <w:rPr>
          <w:color w:val="auto"/>
        </w:rPr>
      </w:pPr>
      <w:r>
        <w:rPr>
          <w:b/>
          <w:color w:val="auto"/>
          <w:sz w:val="28"/>
        </w:rPr>
        <w:t>日        期：</w:t>
      </w:r>
      <w:r>
        <w:rPr>
          <w:b/>
          <w:color w:val="auto"/>
          <w:sz w:val="28"/>
          <w:u w:val="single"/>
        </w:rPr>
        <w:t xml:space="preserve">                      </w:t>
      </w:r>
    </w:p>
    <w:p w14:paraId="6D48D431">
      <w:pPr>
        <w:pStyle w:val="14"/>
        <w:jc w:val="center"/>
        <w:rPr>
          <w:color w:val="auto"/>
        </w:rPr>
      </w:pPr>
    </w:p>
    <w:p w14:paraId="531BFE36">
      <w:pPr>
        <w:pStyle w:val="14"/>
        <w:jc w:val="center"/>
        <w:rPr>
          <w:color w:val="auto"/>
        </w:rPr>
      </w:pPr>
      <w:r>
        <w:rPr>
          <w:color w:val="auto"/>
        </w:rPr>
        <w:t xml:space="preserve"> </w:t>
      </w:r>
    </w:p>
    <w:p w14:paraId="3EBDB5B9">
      <w:pPr>
        <w:pStyle w:val="14"/>
        <w:jc w:val="center"/>
        <w:outlineLvl w:val="2"/>
        <w:rPr>
          <w:color w:val="auto"/>
        </w:rPr>
      </w:pPr>
      <w:r>
        <w:rPr>
          <w:b/>
          <w:color w:val="auto"/>
          <w:sz w:val="28"/>
        </w:rPr>
        <w:t>目  录</w:t>
      </w:r>
    </w:p>
    <w:p w14:paraId="00F27D4E">
      <w:pPr>
        <w:pStyle w:val="14"/>
        <w:ind w:firstLine="480"/>
        <w:jc w:val="center"/>
        <w:rPr>
          <w:color w:val="auto"/>
        </w:rPr>
      </w:pPr>
      <w:r>
        <w:rPr>
          <w:color w:val="auto"/>
        </w:rPr>
        <w:t>附件1：响应函</w:t>
      </w:r>
    </w:p>
    <w:p w14:paraId="026EEF18">
      <w:pPr>
        <w:pStyle w:val="14"/>
        <w:ind w:firstLine="480"/>
        <w:jc w:val="center"/>
        <w:rPr>
          <w:color w:val="auto"/>
        </w:rPr>
      </w:pPr>
      <w:r>
        <w:rPr>
          <w:color w:val="auto"/>
        </w:rPr>
        <w:t>附件2：报价一览表（含详细报价书）</w:t>
      </w:r>
    </w:p>
    <w:p w14:paraId="5F478E2D">
      <w:pPr>
        <w:pStyle w:val="14"/>
        <w:ind w:firstLine="480"/>
        <w:jc w:val="center"/>
        <w:rPr>
          <w:color w:val="auto"/>
        </w:rPr>
      </w:pPr>
      <w:r>
        <w:rPr>
          <w:color w:val="auto"/>
        </w:rPr>
        <w:t>附件3：资格证明文件</w:t>
      </w:r>
    </w:p>
    <w:p w14:paraId="63FAB0A4">
      <w:pPr>
        <w:pStyle w:val="14"/>
        <w:ind w:firstLine="480"/>
        <w:jc w:val="center"/>
        <w:rPr>
          <w:color w:val="auto"/>
        </w:rPr>
      </w:pPr>
      <w:r>
        <w:rPr>
          <w:color w:val="auto"/>
        </w:rPr>
        <w:t>附件4：磋商保证金凭证</w:t>
      </w:r>
    </w:p>
    <w:p w14:paraId="33185442">
      <w:pPr>
        <w:pStyle w:val="14"/>
        <w:ind w:firstLine="480"/>
        <w:jc w:val="center"/>
        <w:rPr>
          <w:color w:val="auto"/>
        </w:rPr>
      </w:pPr>
      <w:r>
        <w:rPr>
          <w:color w:val="auto"/>
        </w:rPr>
        <w:t>附件5：技术和商务偏离表</w:t>
      </w:r>
    </w:p>
    <w:p w14:paraId="1C1AE7F7">
      <w:pPr>
        <w:pStyle w:val="14"/>
        <w:ind w:firstLine="480"/>
        <w:jc w:val="center"/>
        <w:rPr>
          <w:color w:val="auto"/>
        </w:rPr>
      </w:pPr>
      <w:r>
        <w:rPr>
          <w:color w:val="auto"/>
        </w:rPr>
        <w:t>附件6：相关技术、商务、服务响应承诺及资料</w:t>
      </w:r>
    </w:p>
    <w:p w14:paraId="7C81BC8B">
      <w:pPr>
        <w:pStyle w:val="14"/>
        <w:ind w:firstLine="480"/>
        <w:jc w:val="center"/>
        <w:rPr>
          <w:color w:val="auto"/>
        </w:rPr>
      </w:pPr>
      <w:r>
        <w:rPr>
          <w:color w:val="auto"/>
        </w:rPr>
        <w:t>附件7：供应商提交的其他资料</w:t>
      </w:r>
    </w:p>
    <w:p w14:paraId="66795B22">
      <w:pPr>
        <w:pStyle w:val="14"/>
        <w:ind w:firstLine="480"/>
        <w:jc w:val="center"/>
        <w:rPr>
          <w:color w:val="auto"/>
        </w:rPr>
      </w:pPr>
      <w:r>
        <w:rPr>
          <w:color w:val="auto"/>
        </w:rPr>
        <w:t>附件8：要求作为响应文件组成部分的其他内容（若有）</w:t>
      </w:r>
    </w:p>
    <w:p w14:paraId="7E066A1A">
      <w:pPr>
        <w:pStyle w:val="14"/>
        <w:jc w:val="center"/>
        <w:rPr>
          <w:color w:val="auto"/>
        </w:rPr>
      </w:pPr>
    </w:p>
    <w:p w14:paraId="62DD0108">
      <w:pPr>
        <w:pStyle w:val="14"/>
        <w:jc w:val="center"/>
        <w:rPr>
          <w:color w:val="auto"/>
        </w:rPr>
      </w:pPr>
      <w:r>
        <w:rPr>
          <w:color w:val="auto"/>
        </w:rPr>
        <w:t xml:space="preserve"> </w:t>
      </w:r>
    </w:p>
    <w:p w14:paraId="46DF75CC">
      <w:pPr>
        <w:pStyle w:val="14"/>
        <w:jc w:val="center"/>
        <w:outlineLvl w:val="2"/>
        <w:rPr>
          <w:color w:val="auto"/>
        </w:rPr>
      </w:pPr>
      <w:r>
        <w:rPr>
          <w:b/>
          <w:color w:val="auto"/>
          <w:sz w:val="28"/>
        </w:rPr>
        <w:t>附件1          磋商响应声明</w:t>
      </w:r>
    </w:p>
    <w:p w14:paraId="2C2AB806">
      <w:pPr>
        <w:pStyle w:val="14"/>
        <w:ind w:firstLine="480"/>
        <w:jc w:val="center"/>
        <w:rPr>
          <w:color w:val="auto"/>
        </w:rPr>
      </w:pPr>
      <w:r>
        <w:rPr>
          <w:color w:val="auto"/>
        </w:rPr>
        <w:t>致：</w:t>
      </w:r>
      <w:r>
        <w:rPr>
          <w:color w:val="auto"/>
          <w:u w:val="single"/>
        </w:rPr>
        <w:t>（采购人或采购代理机构）</w:t>
      </w:r>
    </w:p>
    <w:p w14:paraId="13888B6A">
      <w:pPr>
        <w:pStyle w:val="14"/>
        <w:ind w:firstLine="480"/>
        <w:jc w:val="center"/>
        <w:rPr>
          <w:color w:val="auto"/>
        </w:rPr>
      </w:pPr>
      <w:r>
        <w:rPr>
          <w:color w:val="auto"/>
        </w:rPr>
        <w:t>1.根据贵方为</w:t>
      </w:r>
      <w:r>
        <w:rPr>
          <w:color w:val="auto"/>
          <w:u w:val="single"/>
        </w:rPr>
        <w:t>　　　　    　　　　　</w:t>
      </w:r>
      <w:r>
        <w:rPr>
          <w:color w:val="auto"/>
        </w:rPr>
        <w:t>项目（项目编号）:</w:t>
      </w:r>
      <w:r>
        <w:rPr>
          <w:color w:val="auto"/>
          <w:u w:val="single"/>
        </w:rPr>
        <w:t>　　　　　　　　    　</w:t>
      </w:r>
      <w:r>
        <w:rPr>
          <w:color w:val="auto"/>
        </w:rPr>
        <w:t>的采购公告（或采购邀请书），我方签字代表</w:t>
      </w:r>
      <w:r>
        <w:rPr>
          <w:color w:val="auto"/>
          <w:u w:val="single"/>
        </w:rPr>
        <w:t>（全名、职务）</w:t>
      </w:r>
      <w:r>
        <w:rPr>
          <w:color w:val="auto"/>
        </w:rPr>
        <w:t>经正式授权并代表的供应商</w:t>
      </w:r>
      <w:r>
        <w:rPr>
          <w:color w:val="auto"/>
          <w:u w:val="single"/>
        </w:rPr>
        <w:t>（供应商名称、地址）</w:t>
      </w:r>
      <w:r>
        <w:rPr>
          <w:color w:val="auto"/>
        </w:rPr>
        <w:t>提交包含下述内容的首次响应纸质文件正本</w:t>
      </w:r>
      <w:r>
        <w:rPr>
          <w:color w:val="auto"/>
          <w:u w:val="single"/>
        </w:rPr>
        <w:t>　　</w:t>
      </w:r>
      <w:r>
        <w:rPr>
          <w:color w:val="auto"/>
        </w:rPr>
        <w:t>套，副本</w:t>
      </w:r>
      <w:r>
        <w:rPr>
          <w:color w:val="auto"/>
          <w:u w:val="single"/>
        </w:rPr>
        <w:t>　　</w:t>
      </w:r>
      <w:r>
        <w:rPr>
          <w:color w:val="auto"/>
        </w:rPr>
        <w:t>套及电子文档</w:t>
      </w:r>
      <w:r>
        <w:rPr>
          <w:color w:val="auto"/>
          <w:u w:val="single"/>
        </w:rPr>
        <w:t>　　</w:t>
      </w:r>
      <w:r>
        <w:rPr>
          <w:color w:val="auto"/>
        </w:rPr>
        <w:t>套。</w:t>
      </w:r>
    </w:p>
    <w:p w14:paraId="09CB052E">
      <w:pPr>
        <w:pStyle w:val="14"/>
        <w:ind w:firstLine="480"/>
        <w:jc w:val="center"/>
        <w:rPr>
          <w:color w:val="auto"/>
        </w:rPr>
      </w:pPr>
      <w:r>
        <w:rPr>
          <w:color w:val="auto"/>
        </w:rPr>
        <w:t>（1）响应函</w:t>
      </w:r>
    </w:p>
    <w:p w14:paraId="6AC51F8C">
      <w:pPr>
        <w:pStyle w:val="14"/>
        <w:ind w:firstLine="480"/>
        <w:jc w:val="center"/>
        <w:rPr>
          <w:color w:val="auto"/>
        </w:rPr>
      </w:pPr>
      <w:r>
        <w:rPr>
          <w:color w:val="auto"/>
        </w:rPr>
        <w:t>（2）报价一览表（含详细报价书）</w:t>
      </w:r>
    </w:p>
    <w:p w14:paraId="3EBDBE7A">
      <w:pPr>
        <w:pStyle w:val="14"/>
        <w:ind w:firstLine="480"/>
        <w:jc w:val="center"/>
        <w:rPr>
          <w:color w:val="auto"/>
        </w:rPr>
      </w:pPr>
      <w:r>
        <w:rPr>
          <w:color w:val="auto"/>
        </w:rPr>
        <w:t>（3）资格证明文件</w:t>
      </w:r>
    </w:p>
    <w:p w14:paraId="7D6A5D88">
      <w:pPr>
        <w:pStyle w:val="14"/>
        <w:ind w:firstLine="480"/>
        <w:jc w:val="center"/>
        <w:rPr>
          <w:color w:val="auto"/>
        </w:rPr>
      </w:pPr>
      <w:r>
        <w:rPr>
          <w:color w:val="auto"/>
        </w:rPr>
        <w:t>（4）磋商保证金凭证</w:t>
      </w:r>
    </w:p>
    <w:p w14:paraId="5DC28101">
      <w:pPr>
        <w:pStyle w:val="14"/>
        <w:ind w:firstLine="480"/>
        <w:jc w:val="center"/>
        <w:rPr>
          <w:color w:val="auto"/>
        </w:rPr>
      </w:pPr>
      <w:r>
        <w:rPr>
          <w:color w:val="auto"/>
        </w:rPr>
        <w:t>（5）技术和商务偏离表</w:t>
      </w:r>
    </w:p>
    <w:p w14:paraId="7F8A1F62">
      <w:pPr>
        <w:pStyle w:val="14"/>
        <w:ind w:firstLine="480"/>
        <w:jc w:val="center"/>
        <w:rPr>
          <w:color w:val="auto"/>
        </w:rPr>
      </w:pPr>
      <w:r>
        <w:rPr>
          <w:color w:val="auto"/>
        </w:rPr>
        <w:t>（6）相关技术、商务、服务响应承诺及资料</w:t>
      </w:r>
    </w:p>
    <w:p w14:paraId="67CDCAF0">
      <w:pPr>
        <w:pStyle w:val="14"/>
        <w:ind w:firstLine="480"/>
        <w:jc w:val="center"/>
        <w:rPr>
          <w:color w:val="auto"/>
        </w:rPr>
      </w:pPr>
      <w:r>
        <w:rPr>
          <w:color w:val="auto"/>
        </w:rPr>
        <w:t>（7）供应商提交的其他资料</w:t>
      </w:r>
    </w:p>
    <w:p w14:paraId="390749EE">
      <w:pPr>
        <w:pStyle w:val="14"/>
        <w:ind w:firstLine="480"/>
        <w:jc w:val="center"/>
        <w:rPr>
          <w:color w:val="auto"/>
        </w:rPr>
      </w:pPr>
      <w:r>
        <w:rPr>
          <w:color w:val="auto"/>
        </w:rPr>
        <w:t>（8）按照磋商文件规定，要求作为响应文件组成部分的其他内容（若有）</w:t>
      </w:r>
    </w:p>
    <w:p w14:paraId="268EDF7F">
      <w:pPr>
        <w:pStyle w:val="14"/>
        <w:ind w:firstLine="480"/>
        <w:jc w:val="center"/>
        <w:rPr>
          <w:color w:val="auto"/>
        </w:rPr>
      </w:pPr>
      <w:r>
        <w:rPr>
          <w:color w:val="auto"/>
        </w:rPr>
        <w:t>2.据此函，我方宣布响应承诺如下：</w:t>
      </w:r>
    </w:p>
    <w:p w14:paraId="72402976">
      <w:pPr>
        <w:pStyle w:val="14"/>
        <w:ind w:firstLine="480"/>
        <w:jc w:val="center"/>
        <w:rPr>
          <w:color w:val="auto"/>
        </w:rPr>
      </w:pPr>
      <w:r>
        <w:rPr>
          <w:color w:val="auto"/>
        </w:rPr>
        <w:t>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     我方将严格遵守规定，不将应当保密的内容泄密给第三方或另作它用，如有违反，采购人可依法追究我方的法律责任。</w:t>
      </w:r>
    </w:p>
    <w:p w14:paraId="783EDB83">
      <w:pPr>
        <w:pStyle w:val="14"/>
        <w:ind w:firstLine="480"/>
        <w:jc w:val="center"/>
        <w:rPr>
          <w:color w:val="auto"/>
        </w:rPr>
      </w:pPr>
      <w:r>
        <w:rPr>
          <w:color w:val="auto"/>
        </w:rPr>
        <w:t>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     并在规定的期限内与采购人签订合同。</w:t>
      </w:r>
    </w:p>
    <w:p w14:paraId="13E5DED2">
      <w:pPr>
        <w:pStyle w:val="14"/>
        <w:ind w:firstLine="480"/>
        <w:jc w:val="center"/>
        <w:rPr>
          <w:color w:val="auto"/>
        </w:rPr>
      </w:pPr>
      <w:r>
        <w:rPr>
          <w:color w:val="auto"/>
        </w:rPr>
        <w:t>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     如有违反，我方将承担法律责任和后果。</w:t>
      </w:r>
    </w:p>
    <w:p w14:paraId="3B6CBE36">
      <w:pPr>
        <w:pStyle w:val="14"/>
        <w:ind w:firstLine="480"/>
        <w:jc w:val="center"/>
        <w:rPr>
          <w:color w:val="auto"/>
        </w:rPr>
      </w:pPr>
      <w:r>
        <w:rPr>
          <w:color w:val="auto"/>
        </w:rPr>
        <w:t>2.4我方已经按照磋商文件要求提交磋商保证金，磋商保证金有效期与响应文件有效期一致，我方如果发生任何竞争性磋商文件中所述不予退还磋商保证金的情况，     则我方的磋商保证金将被贵方不予退还，我方对此无异议。磋商保证金或保函有效期与响应文件有效期保持一致。</w:t>
      </w:r>
    </w:p>
    <w:p w14:paraId="01919CF9">
      <w:pPr>
        <w:pStyle w:val="14"/>
        <w:ind w:firstLine="480"/>
        <w:jc w:val="center"/>
        <w:rPr>
          <w:color w:val="auto"/>
        </w:rPr>
      </w:pPr>
      <w:r>
        <w:rPr>
          <w:color w:val="auto"/>
        </w:rPr>
        <w:t>2.5我方愿意向贵方提供任何与本项目磋商采购有关的数据或资料。若贵方需要，我方愿意提供我方作出的一切承诺的证明材料。</w:t>
      </w:r>
    </w:p>
    <w:p w14:paraId="408866FC">
      <w:pPr>
        <w:pStyle w:val="14"/>
        <w:ind w:firstLine="480"/>
        <w:jc w:val="center"/>
        <w:rPr>
          <w:color w:val="auto"/>
        </w:rPr>
      </w:pPr>
      <w:r>
        <w:rPr>
          <w:color w:val="auto"/>
        </w:rPr>
        <w:t>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     贵方按我方写明的下述联系方式、电子信箱或通信地址发出任何信息或通知，均视同为我方已收悉并知晓，我方均予以认可。</w:t>
      </w:r>
    </w:p>
    <w:p w14:paraId="22AF31DA">
      <w:pPr>
        <w:pStyle w:val="14"/>
        <w:ind w:firstLine="480"/>
        <w:jc w:val="center"/>
        <w:rPr>
          <w:rFonts w:hint="eastAsia" w:eastAsiaTheme="minorEastAsia"/>
          <w:color w:val="auto"/>
          <w:lang w:eastAsia="zh-CN"/>
        </w:rPr>
      </w:pPr>
      <w:r>
        <w:rPr>
          <w:color w:val="auto"/>
        </w:rPr>
        <w:t>2.7我方承诺响应文件所提供的全部资料真实可靠，并接受磋商小组、采购人、采购代理机构、监管部门进一步审查其中任何资料真实性的要求</w:t>
      </w:r>
    </w:p>
    <w:p w14:paraId="044BB488">
      <w:pPr>
        <w:pStyle w:val="14"/>
        <w:ind w:firstLine="480"/>
        <w:jc w:val="center"/>
        <w:rPr>
          <w:rFonts w:hint="eastAsia" w:eastAsiaTheme="minorEastAsia"/>
          <w:color w:val="auto"/>
          <w:lang w:eastAsia="zh-CN"/>
        </w:rPr>
      </w:pPr>
    </w:p>
    <w:p w14:paraId="69BA870B">
      <w:pPr>
        <w:pStyle w:val="14"/>
        <w:ind w:firstLine="480"/>
        <w:jc w:val="center"/>
        <w:rPr>
          <w:color w:val="auto"/>
        </w:rPr>
      </w:pPr>
      <w:r>
        <w:rPr>
          <w:color w:val="auto"/>
        </w:rPr>
        <w:t>通信地址:</w:t>
      </w:r>
      <w:r>
        <w:rPr>
          <w:color w:val="auto"/>
          <w:u w:val="single"/>
        </w:rPr>
        <w:t>　　　　　　　　　　　</w:t>
      </w:r>
    </w:p>
    <w:p w14:paraId="38EA6D38">
      <w:pPr>
        <w:pStyle w:val="14"/>
        <w:ind w:firstLine="480"/>
        <w:jc w:val="center"/>
        <w:rPr>
          <w:color w:val="auto"/>
        </w:rPr>
      </w:pPr>
      <w:r>
        <w:rPr>
          <w:color w:val="auto"/>
        </w:rPr>
        <w:t>邮编：</w:t>
      </w:r>
      <w:r>
        <w:rPr>
          <w:color w:val="auto"/>
          <w:u w:val="single"/>
        </w:rPr>
        <w:t>　　　　　　</w:t>
      </w:r>
      <w:r>
        <w:rPr>
          <w:color w:val="auto"/>
        </w:rPr>
        <w:t>传真号：</w:t>
      </w:r>
      <w:r>
        <w:rPr>
          <w:color w:val="auto"/>
          <w:u w:val="single"/>
        </w:rPr>
        <w:t>　　　　　　</w:t>
      </w:r>
    </w:p>
    <w:p w14:paraId="3E1BEF45">
      <w:pPr>
        <w:pStyle w:val="14"/>
        <w:ind w:firstLine="480"/>
        <w:jc w:val="center"/>
        <w:rPr>
          <w:color w:val="auto"/>
        </w:rPr>
      </w:pPr>
      <w:r>
        <w:rPr>
          <w:color w:val="auto"/>
        </w:rPr>
        <w:t>联系电话（固定电话和移动电话）：</w:t>
      </w:r>
      <w:r>
        <w:rPr>
          <w:color w:val="auto"/>
          <w:u w:val="single"/>
        </w:rPr>
        <w:t>　　　　　　　　</w:t>
      </w:r>
    </w:p>
    <w:p w14:paraId="1AB42DAC">
      <w:pPr>
        <w:pStyle w:val="14"/>
        <w:ind w:firstLine="480"/>
        <w:jc w:val="center"/>
        <w:rPr>
          <w:color w:val="auto"/>
        </w:rPr>
      </w:pPr>
      <w:r>
        <w:rPr>
          <w:color w:val="auto"/>
        </w:rPr>
        <w:t>供应商代表：</w:t>
      </w:r>
      <w:r>
        <w:rPr>
          <w:color w:val="auto"/>
          <w:u w:val="single"/>
        </w:rPr>
        <w:t>　　（签字）　　</w:t>
      </w:r>
    </w:p>
    <w:p w14:paraId="1CC4BBC4">
      <w:pPr>
        <w:pStyle w:val="14"/>
        <w:ind w:firstLine="480"/>
        <w:jc w:val="center"/>
        <w:rPr>
          <w:color w:val="auto"/>
        </w:rPr>
      </w:pPr>
      <w:r>
        <w:rPr>
          <w:color w:val="auto"/>
        </w:rPr>
        <w:t>供应商代表电子信箱：</w:t>
      </w:r>
      <w:r>
        <w:rPr>
          <w:color w:val="auto"/>
          <w:u w:val="single"/>
        </w:rPr>
        <w:t>　　　　　　　　</w:t>
      </w:r>
    </w:p>
    <w:p w14:paraId="60FDB267">
      <w:pPr>
        <w:pStyle w:val="14"/>
        <w:ind w:firstLine="480"/>
        <w:jc w:val="center"/>
        <w:rPr>
          <w:color w:val="auto"/>
        </w:rPr>
      </w:pPr>
      <w:r>
        <w:rPr>
          <w:color w:val="auto"/>
        </w:rPr>
        <w:t>供应商：</w:t>
      </w:r>
      <w:r>
        <w:rPr>
          <w:color w:val="auto"/>
          <w:u w:val="single"/>
        </w:rPr>
        <w:t>　　（全称并加盖公章）　　</w:t>
      </w:r>
    </w:p>
    <w:p w14:paraId="4AD4D17F">
      <w:pPr>
        <w:pStyle w:val="14"/>
        <w:ind w:firstLine="480"/>
        <w:jc w:val="center"/>
        <w:rPr>
          <w:color w:val="auto"/>
        </w:rPr>
      </w:pPr>
      <w:r>
        <w:rPr>
          <w:color w:val="auto"/>
        </w:rPr>
        <w:t>日期：</w:t>
      </w:r>
      <w:r>
        <w:rPr>
          <w:color w:val="auto"/>
          <w:u w:val="single"/>
        </w:rPr>
        <w:t>　　</w:t>
      </w:r>
      <w:r>
        <w:rPr>
          <w:color w:val="auto"/>
        </w:rPr>
        <w:t>年</w:t>
      </w:r>
      <w:r>
        <w:rPr>
          <w:color w:val="auto"/>
          <w:u w:val="single"/>
        </w:rPr>
        <w:t>　　</w:t>
      </w:r>
      <w:r>
        <w:rPr>
          <w:color w:val="auto"/>
        </w:rPr>
        <w:t>月</w:t>
      </w:r>
      <w:r>
        <w:rPr>
          <w:color w:val="auto"/>
          <w:u w:val="single"/>
        </w:rPr>
        <w:t>　　</w:t>
      </w:r>
      <w:r>
        <w:rPr>
          <w:color w:val="auto"/>
        </w:rPr>
        <w:t>日</w:t>
      </w:r>
    </w:p>
    <w:p w14:paraId="09AFDAA2">
      <w:pPr>
        <w:pStyle w:val="14"/>
        <w:jc w:val="center"/>
        <w:rPr>
          <w:color w:val="auto"/>
        </w:rPr>
      </w:pPr>
    </w:p>
    <w:p w14:paraId="52A4378C">
      <w:pPr>
        <w:pStyle w:val="14"/>
        <w:jc w:val="center"/>
        <w:rPr>
          <w:color w:val="auto"/>
        </w:rPr>
      </w:pPr>
      <w:r>
        <w:rPr>
          <w:color w:val="auto"/>
        </w:rPr>
        <w:t xml:space="preserve"> </w:t>
      </w:r>
    </w:p>
    <w:p w14:paraId="11E2DED9">
      <w:pPr>
        <w:pStyle w:val="14"/>
        <w:jc w:val="center"/>
        <w:outlineLvl w:val="2"/>
        <w:rPr>
          <w:color w:val="auto"/>
        </w:rPr>
      </w:pPr>
      <w:r>
        <w:rPr>
          <w:b/>
          <w:color w:val="auto"/>
          <w:sz w:val="28"/>
        </w:rPr>
        <w:t>附件2      报价一览表</w:t>
      </w:r>
    </w:p>
    <w:p w14:paraId="115C0B8A">
      <w:pPr>
        <w:pStyle w:val="14"/>
        <w:ind w:firstLine="480"/>
        <w:jc w:val="center"/>
        <w:rPr>
          <w:color w:val="auto"/>
        </w:rPr>
      </w:pPr>
      <w:r>
        <w:rPr>
          <w:color w:val="auto"/>
        </w:rPr>
        <w:t>供应商名称：</w:t>
      </w:r>
      <w:r>
        <w:rPr>
          <w:color w:val="auto"/>
          <w:u w:val="single"/>
        </w:rPr>
        <w:t>（全称加盖单位公章）</w:t>
      </w:r>
      <w:r>
        <w:rPr>
          <w:color w:val="auto"/>
        </w:rPr>
        <w:t>项目编号∶</w:t>
      </w:r>
      <w:r>
        <w:rPr>
          <w:color w:val="auto"/>
          <w:u w:val="single"/>
        </w:rPr>
        <w:t>　　　　　　</w:t>
      </w:r>
      <w:r>
        <w:rPr>
          <w:color w:val="auto"/>
        </w:rPr>
        <w:t>货币单位：元人民币</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14:paraId="21E03F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7BABC3BE">
            <w:pPr>
              <w:pStyle w:val="14"/>
              <w:jc w:val="center"/>
              <w:rPr>
                <w:color w:val="auto"/>
              </w:rPr>
            </w:pPr>
            <w:r>
              <w:rPr>
                <w:color w:val="auto"/>
              </w:rPr>
              <w:t>采购包</w:t>
            </w:r>
          </w:p>
        </w:tc>
        <w:tc>
          <w:tcPr>
            <w:tcW w:w="1519" w:type="dxa"/>
          </w:tcPr>
          <w:p w14:paraId="581E6175">
            <w:pPr>
              <w:pStyle w:val="14"/>
              <w:jc w:val="center"/>
              <w:rPr>
                <w:color w:val="auto"/>
              </w:rPr>
            </w:pPr>
            <w:r>
              <w:rPr>
                <w:color w:val="auto"/>
              </w:rPr>
              <w:t>首次报价</w:t>
            </w:r>
          </w:p>
        </w:tc>
        <w:tc>
          <w:tcPr>
            <w:tcW w:w="2026" w:type="dxa"/>
          </w:tcPr>
          <w:p w14:paraId="0AC98029">
            <w:pPr>
              <w:pStyle w:val="14"/>
              <w:jc w:val="center"/>
              <w:rPr>
                <w:color w:val="auto"/>
              </w:rPr>
            </w:pPr>
            <w:r>
              <w:rPr>
                <w:color w:val="auto"/>
              </w:rPr>
              <w:t>交货期/工期/项目完成时间/服务时间</w:t>
            </w:r>
          </w:p>
        </w:tc>
        <w:tc>
          <w:tcPr>
            <w:tcW w:w="2026" w:type="dxa"/>
          </w:tcPr>
          <w:p w14:paraId="22FCB7CF">
            <w:pPr>
              <w:pStyle w:val="14"/>
              <w:jc w:val="center"/>
              <w:rPr>
                <w:color w:val="auto"/>
              </w:rPr>
            </w:pPr>
            <w:r>
              <w:rPr>
                <w:color w:val="auto"/>
              </w:rPr>
              <w:t>磋商保证金</w:t>
            </w:r>
          </w:p>
        </w:tc>
        <w:tc>
          <w:tcPr>
            <w:tcW w:w="2026" w:type="dxa"/>
          </w:tcPr>
          <w:p w14:paraId="5FE46E9A">
            <w:pPr>
              <w:pStyle w:val="14"/>
              <w:jc w:val="center"/>
              <w:rPr>
                <w:color w:val="auto"/>
              </w:rPr>
            </w:pPr>
            <w:r>
              <w:rPr>
                <w:color w:val="auto"/>
              </w:rPr>
              <w:t>备注</w:t>
            </w:r>
          </w:p>
        </w:tc>
      </w:tr>
      <w:tr w14:paraId="503F5E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6F080F70">
            <w:pPr>
              <w:pStyle w:val="14"/>
              <w:jc w:val="center"/>
              <w:rPr>
                <w:color w:val="auto"/>
              </w:rPr>
            </w:pPr>
            <w:r>
              <w:rPr>
                <w:color w:val="auto"/>
              </w:rPr>
              <w:t>......</w:t>
            </w:r>
          </w:p>
        </w:tc>
        <w:tc>
          <w:tcPr>
            <w:tcW w:w="1519" w:type="dxa"/>
          </w:tcPr>
          <w:p w14:paraId="3A71AB82">
            <w:pPr>
              <w:pStyle w:val="14"/>
              <w:jc w:val="center"/>
              <w:rPr>
                <w:color w:val="auto"/>
              </w:rPr>
            </w:pPr>
            <w:r>
              <w:rPr>
                <w:color w:val="auto"/>
              </w:rPr>
              <w:t xml:space="preserve">    </w:t>
            </w:r>
          </w:p>
        </w:tc>
        <w:tc>
          <w:tcPr>
            <w:tcW w:w="2026" w:type="dxa"/>
          </w:tcPr>
          <w:p w14:paraId="7795E3C9">
            <w:pPr>
              <w:pStyle w:val="14"/>
              <w:jc w:val="center"/>
              <w:rPr>
                <w:color w:val="auto"/>
              </w:rPr>
            </w:pPr>
            <w:r>
              <w:rPr>
                <w:color w:val="auto"/>
              </w:rPr>
              <w:t xml:space="preserve">    </w:t>
            </w:r>
          </w:p>
        </w:tc>
        <w:tc>
          <w:tcPr>
            <w:tcW w:w="2026" w:type="dxa"/>
          </w:tcPr>
          <w:p w14:paraId="175C6EE1">
            <w:pPr>
              <w:pStyle w:val="14"/>
              <w:jc w:val="center"/>
              <w:rPr>
                <w:color w:val="auto"/>
              </w:rPr>
            </w:pPr>
            <w:r>
              <w:rPr>
                <w:color w:val="auto"/>
              </w:rPr>
              <w:t xml:space="preserve">    </w:t>
            </w:r>
          </w:p>
        </w:tc>
        <w:tc>
          <w:tcPr>
            <w:tcW w:w="2026" w:type="dxa"/>
          </w:tcPr>
          <w:p w14:paraId="2432BF70">
            <w:pPr>
              <w:pStyle w:val="14"/>
              <w:jc w:val="center"/>
              <w:rPr>
                <w:color w:val="auto"/>
              </w:rPr>
            </w:pPr>
            <w:r>
              <w:rPr>
                <w:color w:val="auto"/>
              </w:rPr>
              <w:t xml:space="preserve">    </w:t>
            </w:r>
          </w:p>
        </w:tc>
      </w:tr>
      <w:tr w14:paraId="083D85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0FB3F41D">
            <w:pPr>
              <w:pStyle w:val="14"/>
              <w:jc w:val="center"/>
              <w:rPr>
                <w:color w:val="auto"/>
              </w:rPr>
            </w:pPr>
            <w:r>
              <w:rPr>
                <w:color w:val="auto"/>
              </w:rPr>
              <w:t>......</w:t>
            </w:r>
          </w:p>
        </w:tc>
        <w:tc>
          <w:tcPr>
            <w:tcW w:w="1519" w:type="dxa"/>
          </w:tcPr>
          <w:p w14:paraId="3FA9C840">
            <w:pPr>
              <w:pStyle w:val="14"/>
              <w:jc w:val="center"/>
              <w:rPr>
                <w:color w:val="auto"/>
              </w:rPr>
            </w:pPr>
            <w:r>
              <w:rPr>
                <w:color w:val="auto"/>
              </w:rPr>
              <w:t xml:space="preserve">    </w:t>
            </w:r>
          </w:p>
        </w:tc>
        <w:tc>
          <w:tcPr>
            <w:tcW w:w="2026" w:type="dxa"/>
          </w:tcPr>
          <w:p w14:paraId="1CE5FF15">
            <w:pPr>
              <w:pStyle w:val="14"/>
              <w:jc w:val="center"/>
              <w:rPr>
                <w:color w:val="auto"/>
              </w:rPr>
            </w:pPr>
            <w:r>
              <w:rPr>
                <w:color w:val="auto"/>
              </w:rPr>
              <w:t xml:space="preserve">    </w:t>
            </w:r>
          </w:p>
        </w:tc>
        <w:tc>
          <w:tcPr>
            <w:tcW w:w="2026" w:type="dxa"/>
          </w:tcPr>
          <w:p w14:paraId="78675556">
            <w:pPr>
              <w:pStyle w:val="14"/>
              <w:jc w:val="center"/>
              <w:rPr>
                <w:color w:val="auto"/>
              </w:rPr>
            </w:pPr>
            <w:r>
              <w:rPr>
                <w:color w:val="auto"/>
              </w:rPr>
              <w:t xml:space="preserve">    </w:t>
            </w:r>
          </w:p>
        </w:tc>
        <w:tc>
          <w:tcPr>
            <w:tcW w:w="2026" w:type="dxa"/>
          </w:tcPr>
          <w:p w14:paraId="4164545B">
            <w:pPr>
              <w:pStyle w:val="14"/>
              <w:jc w:val="center"/>
              <w:rPr>
                <w:color w:val="auto"/>
              </w:rPr>
            </w:pPr>
            <w:r>
              <w:rPr>
                <w:color w:val="auto"/>
              </w:rPr>
              <w:t xml:space="preserve">    </w:t>
            </w:r>
          </w:p>
        </w:tc>
      </w:tr>
      <w:tr w14:paraId="1A9294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564DE674">
            <w:pPr>
              <w:pStyle w:val="14"/>
              <w:jc w:val="center"/>
              <w:rPr>
                <w:color w:val="auto"/>
              </w:rPr>
            </w:pPr>
            <w:r>
              <w:rPr>
                <w:color w:val="auto"/>
              </w:rPr>
              <w:t>......</w:t>
            </w:r>
          </w:p>
        </w:tc>
        <w:tc>
          <w:tcPr>
            <w:tcW w:w="1519" w:type="dxa"/>
          </w:tcPr>
          <w:p w14:paraId="54573D90">
            <w:pPr>
              <w:pStyle w:val="14"/>
              <w:jc w:val="center"/>
              <w:rPr>
                <w:color w:val="auto"/>
              </w:rPr>
            </w:pPr>
            <w:r>
              <w:rPr>
                <w:color w:val="auto"/>
              </w:rPr>
              <w:t xml:space="preserve">    </w:t>
            </w:r>
          </w:p>
        </w:tc>
        <w:tc>
          <w:tcPr>
            <w:tcW w:w="2026" w:type="dxa"/>
          </w:tcPr>
          <w:p w14:paraId="0EF768B1">
            <w:pPr>
              <w:pStyle w:val="14"/>
              <w:jc w:val="center"/>
              <w:rPr>
                <w:color w:val="auto"/>
              </w:rPr>
            </w:pPr>
            <w:r>
              <w:rPr>
                <w:color w:val="auto"/>
              </w:rPr>
              <w:t xml:space="preserve">    </w:t>
            </w:r>
          </w:p>
        </w:tc>
        <w:tc>
          <w:tcPr>
            <w:tcW w:w="2026" w:type="dxa"/>
          </w:tcPr>
          <w:p w14:paraId="5A45EE8E">
            <w:pPr>
              <w:pStyle w:val="14"/>
              <w:jc w:val="center"/>
              <w:rPr>
                <w:color w:val="auto"/>
              </w:rPr>
            </w:pPr>
            <w:r>
              <w:rPr>
                <w:color w:val="auto"/>
              </w:rPr>
              <w:t xml:space="preserve">    </w:t>
            </w:r>
          </w:p>
        </w:tc>
        <w:tc>
          <w:tcPr>
            <w:tcW w:w="2026" w:type="dxa"/>
          </w:tcPr>
          <w:p w14:paraId="73638B20">
            <w:pPr>
              <w:pStyle w:val="14"/>
              <w:jc w:val="center"/>
              <w:rPr>
                <w:color w:val="auto"/>
              </w:rPr>
            </w:pPr>
            <w:r>
              <w:rPr>
                <w:color w:val="auto"/>
              </w:rPr>
              <w:t xml:space="preserve">    </w:t>
            </w:r>
          </w:p>
        </w:tc>
      </w:tr>
    </w:tbl>
    <w:p w14:paraId="7DABCD05">
      <w:pPr>
        <w:pStyle w:val="14"/>
        <w:ind w:firstLine="480"/>
        <w:jc w:val="center"/>
        <w:rPr>
          <w:color w:val="auto"/>
        </w:rPr>
      </w:pPr>
      <w:r>
        <w:rPr>
          <w:color w:val="auto"/>
        </w:rPr>
        <w:t>备注：详细报价书另纸详列，格式自拟。</w:t>
      </w:r>
    </w:p>
    <w:p w14:paraId="0A5E4541">
      <w:pPr>
        <w:pStyle w:val="14"/>
        <w:ind w:firstLine="480"/>
        <w:jc w:val="center"/>
        <w:rPr>
          <w:color w:val="auto"/>
        </w:rPr>
      </w:pPr>
      <w:r>
        <w:rPr>
          <w:color w:val="auto"/>
        </w:rPr>
        <w:t>供应商代表：</w:t>
      </w:r>
      <w:r>
        <w:rPr>
          <w:color w:val="auto"/>
          <w:u w:val="single"/>
        </w:rPr>
        <w:t>　　　　（签字）</w:t>
      </w:r>
    </w:p>
    <w:p w14:paraId="73D034AC">
      <w:pPr>
        <w:pStyle w:val="14"/>
        <w:jc w:val="center"/>
        <w:rPr>
          <w:color w:val="auto"/>
        </w:rPr>
      </w:pPr>
    </w:p>
    <w:p w14:paraId="5EA0C406">
      <w:pPr>
        <w:pStyle w:val="14"/>
        <w:jc w:val="center"/>
        <w:rPr>
          <w:color w:val="auto"/>
        </w:rPr>
      </w:pPr>
      <w:r>
        <w:rPr>
          <w:color w:val="auto"/>
        </w:rPr>
        <w:t xml:space="preserve"> </w:t>
      </w:r>
    </w:p>
    <w:p w14:paraId="7EF4E1D3">
      <w:pPr>
        <w:pStyle w:val="14"/>
        <w:jc w:val="center"/>
        <w:outlineLvl w:val="3"/>
        <w:rPr>
          <w:color w:val="auto"/>
        </w:rPr>
      </w:pPr>
      <w:r>
        <w:rPr>
          <w:b/>
          <w:color w:val="auto"/>
          <w:sz w:val="24"/>
        </w:rPr>
        <w:t>附件2-1     详细报价书</w:t>
      </w:r>
    </w:p>
    <w:p w14:paraId="2F312804">
      <w:pPr>
        <w:pStyle w:val="14"/>
        <w:jc w:val="center"/>
        <w:rPr>
          <w:color w:val="auto"/>
        </w:rPr>
      </w:pPr>
      <w:r>
        <w:rPr>
          <w:b/>
          <w:color w:val="auto"/>
        </w:rPr>
        <w:t>说明：</w:t>
      </w:r>
    </w:p>
    <w:p w14:paraId="44271030">
      <w:pPr>
        <w:pStyle w:val="14"/>
        <w:ind w:firstLine="480"/>
        <w:jc w:val="center"/>
        <w:rPr>
          <w:color w:val="auto"/>
        </w:rPr>
      </w:pPr>
      <w:r>
        <w:rPr>
          <w:color w:val="auto"/>
        </w:rPr>
        <w:t>1.各供应商应根据竞争性磋商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14:paraId="702272DE">
      <w:pPr>
        <w:pStyle w:val="14"/>
        <w:ind w:firstLine="480"/>
        <w:jc w:val="center"/>
        <w:rPr>
          <w:color w:val="auto"/>
        </w:rPr>
      </w:pPr>
      <w:r>
        <w:rPr>
          <w:color w:val="auto"/>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14:paraId="71BE3D1D">
      <w:pPr>
        <w:pStyle w:val="14"/>
        <w:ind w:firstLine="480"/>
        <w:jc w:val="center"/>
        <w:rPr>
          <w:rFonts w:hint="eastAsia" w:eastAsiaTheme="minorEastAsia"/>
          <w:color w:val="auto"/>
          <w:lang w:eastAsia="zh-CN"/>
        </w:rPr>
      </w:pPr>
      <w:r>
        <w:rPr>
          <w:color w:val="auto"/>
        </w:rPr>
        <w:t>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p>
    <w:p w14:paraId="5E89640B">
      <w:pPr>
        <w:pStyle w:val="14"/>
        <w:ind w:firstLine="480"/>
        <w:jc w:val="center"/>
        <w:rPr>
          <w:rFonts w:hint="eastAsia" w:eastAsiaTheme="minorEastAsia"/>
          <w:color w:val="auto"/>
          <w:lang w:eastAsia="zh-CN"/>
        </w:rPr>
      </w:pPr>
    </w:p>
    <w:p w14:paraId="0D37B706">
      <w:pPr>
        <w:pStyle w:val="14"/>
        <w:ind w:firstLine="480"/>
        <w:jc w:val="center"/>
        <w:rPr>
          <w:rFonts w:hint="eastAsia" w:eastAsiaTheme="minorEastAsia"/>
          <w:color w:val="auto"/>
          <w:lang w:eastAsia="zh-CN"/>
        </w:rPr>
      </w:pPr>
    </w:p>
    <w:p w14:paraId="64C566FD">
      <w:pPr>
        <w:pStyle w:val="14"/>
        <w:ind w:firstLine="480"/>
        <w:jc w:val="center"/>
        <w:rPr>
          <w:rFonts w:hint="eastAsia" w:eastAsiaTheme="minorEastAsia"/>
          <w:color w:val="auto"/>
          <w:lang w:eastAsia="zh-CN"/>
        </w:rPr>
      </w:pPr>
    </w:p>
    <w:p w14:paraId="309DD4E1">
      <w:pPr>
        <w:pStyle w:val="14"/>
        <w:ind w:firstLine="480"/>
        <w:jc w:val="center"/>
        <w:rPr>
          <w:rFonts w:hint="eastAsia" w:eastAsiaTheme="minorEastAsia"/>
          <w:color w:val="auto"/>
          <w:lang w:eastAsia="zh-CN"/>
        </w:rPr>
      </w:pPr>
    </w:p>
    <w:p w14:paraId="7669D372">
      <w:pPr>
        <w:pStyle w:val="14"/>
        <w:ind w:firstLine="480"/>
        <w:jc w:val="center"/>
        <w:rPr>
          <w:color w:val="auto"/>
        </w:rPr>
      </w:pPr>
      <w:r>
        <w:rPr>
          <w:color w:val="auto"/>
        </w:rPr>
        <w:t>供应商代表：</w:t>
      </w:r>
      <w:r>
        <w:rPr>
          <w:color w:val="auto"/>
          <w:u w:val="single"/>
        </w:rPr>
        <w:t>　　　　（签字）</w:t>
      </w:r>
    </w:p>
    <w:p w14:paraId="6D6B86CB">
      <w:pPr>
        <w:pStyle w:val="14"/>
        <w:ind w:firstLine="480"/>
        <w:jc w:val="center"/>
        <w:rPr>
          <w:color w:val="auto"/>
        </w:rPr>
      </w:pPr>
      <w:r>
        <w:rPr>
          <w:color w:val="auto"/>
        </w:rPr>
        <w:t>供应商名称：</w:t>
      </w:r>
      <w:r>
        <w:rPr>
          <w:color w:val="auto"/>
          <w:u w:val="single"/>
        </w:rPr>
        <w:t>　　（全称并加盖公章）　　</w:t>
      </w:r>
    </w:p>
    <w:p w14:paraId="393D1835">
      <w:pPr>
        <w:pStyle w:val="14"/>
        <w:ind w:firstLine="480"/>
        <w:jc w:val="center"/>
        <w:rPr>
          <w:color w:val="auto"/>
        </w:rPr>
      </w:pPr>
      <w:r>
        <w:rPr>
          <w:color w:val="auto"/>
        </w:rPr>
        <w:t>日期：</w:t>
      </w:r>
      <w:r>
        <w:rPr>
          <w:color w:val="auto"/>
          <w:u w:val="single"/>
        </w:rPr>
        <w:t>　　</w:t>
      </w:r>
      <w:r>
        <w:rPr>
          <w:color w:val="auto"/>
        </w:rPr>
        <w:t>年</w:t>
      </w:r>
      <w:r>
        <w:rPr>
          <w:color w:val="auto"/>
          <w:u w:val="single"/>
        </w:rPr>
        <w:t>　　</w:t>
      </w:r>
      <w:r>
        <w:rPr>
          <w:color w:val="auto"/>
        </w:rPr>
        <w:t>月</w:t>
      </w:r>
      <w:r>
        <w:rPr>
          <w:color w:val="auto"/>
          <w:u w:val="single"/>
        </w:rPr>
        <w:t>　　</w:t>
      </w:r>
      <w:r>
        <w:rPr>
          <w:color w:val="auto"/>
        </w:rPr>
        <w:t>日</w:t>
      </w:r>
    </w:p>
    <w:p w14:paraId="03E10DE7">
      <w:pPr>
        <w:pStyle w:val="14"/>
        <w:jc w:val="center"/>
        <w:rPr>
          <w:color w:val="auto"/>
        </w:rPr>
      </w:pPr>
    </w:p>
    <w:p w14:paraId="370D6CE0">
      <w:pPr>
        <w:pStyle w:val="14"/>
        <w:jc w:val="center"/>
        <w:rPr>
          <w:color w:val="auto"/>
        </w:rPr>
      </w:pPr>
      <w:r>
        <w:rPr>
          <w:color w:val="auto"/>
        </w:rPr>
        <w:t xml:space="preserve"> </w:t>
      </w:r>
    </w:p>
    <w:p w14:paraId="6E16E4BF">
      <w:pPr>
        <w:pStyle w:val="14"/>
        <w:jc w:val="center"/>
        <w:outlineLvl w:val="2"/>
        <w:rPr>
          <w:color w:val="auto"/>
        </w:rPr>
      </w:pPr>
      <w:r>
        <w:rPr>
          <w:b/>
          <w:color w:val="auto"/>
          <w:sz w:val="28"/>
        </w:rPr>
        <w:t>附件3      资格证明文件</w:t>
      </w:r>
    </w:p>
    <w:p w14:paraId="619E2E37">
      <w:pPr>
        <w:pStyle w:val="14"/>
        <w:jc w:val="center"/>
        <w:outlineLvl w:val="3"/>
        <w:rPr>
          <w:color w:val="auto"/>
        </w:rPr>
      </w:pPr>
      <w:r>
        <w:rPr>
          <w:b/>
          <w:color w:val="auto"/>
          <w:sz w:val="24"/>
        </w:rPr>
        <w:t>附件3-1   参加竞争性磋商的声明函（若有）</w:t>
      </w:r>
    </w:p>
    <w:p w14:paraId="53928466">
      <w:pPr>
        <w:pStyle w:val="14"/>
        <w:ind w:firstLine="480"/>
        <w:jc w:val="center"/>
        <w:rPr>
          <w:color w:val="auto"/>
        </w:rPr>
      </w:pPr>
      <w:r>
        <w:rPr>
          <w:color w:val="auto"/>
        </w:rPr>
        <w:t>致：</w:t>
      </w:r>
      <w:r>
        <w:rPr>
          <w:color w:val="auto"/>
          <w:u w:val="single"/>
        </w:rPr>
        <w:t>（采购人或采购代理机构）</w:t>
      </w:r>
    </w:p>
    <w:p w14:paraId="5439ACAC">
      <w:pPr>
        <w:pStyle w:val="14"/>
        <w:ind w:firstLine="480"/>
        <w:jc w:val="center"/>
        <w:rPr>
          <w:color w:val="auto"/>
        </w:rPr>
      </w:pPr>
      <w:r>
        <w:rPr>
          <w:color w:val="auto"/>
        </w:rPr>
        <w:t>1、关于贵方</w:t>
      </w:r>
      <w:r>
        <w:rPr>
          <w:color w:val="auto"/>
          <w:u w:val="single"/>
        </w:rPr>
        <w:t>　　</w:t>
      </w:r>
      <w:r>
        <w:rPr>
          <w:color w:val="auto"/>
        </w:rPr>
        <w:t>年</w:t>
      </w:r>
      <w:r>
        <w:rPr>
          <w:color w:val="auto"/>
          <w:u w:val="single"/>
        </w:rPr>
        <w:t>　　</w:t>
      </w:r>
      <w:r>
        <w:rPr>
          <w:color w:val="auto"/>
        </w:rPr>
        <w:t>月</w:t>
      </w:r>
      <w:r>
        <w:rPr>
          <w:color w:val="auto"/>
          <w:u w:val="single"/>
        </w:rPr>
        <w:t>　　</w:t>
      </w:r>
      <w:r>
        <w:rPr>
          <w:color w:val="auto"/>
        </w:rPr>
        <w:t>日项目（项目编号:</w:t>
      </w:r>
      <w:r>
        <w:rPr>
          <w:color w:val="auto"/>
          <w:u w:val="single"/>
        </w:rPr>
        <w:t xml:space="preserve">                    </w:t>
      </w:r>
      <w:r>
        <w:rPr>
          <w:color w:val="auto"/>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14:paraId="1701F05E">
      <w:pPr>
        <w:pStyle w:val="14"/>
        <w:ind w:firstLine="480"/>
        <w:jc w:val="center"/>
        <w:rPr>
          <w:color w:val="auto"/>
        </w:rPr>
      </w:pPr>
      <w:r>
        <w:rPr>
          <w:color w:val="auto"/>
        </w:rPr>
        <w:t>2、供应商的基本概况：</w:t>
      </w:r>
    </w:p>
    <w:p w14:paraId="32837D03">
      <w:pPr>
        <w:pStyle w:val="14"/>
        <w:ind w:firstLine="480"/>
        <w:jc w:val="center"/>
        <w:rPr>
          <w:color w:val="auto"/>
        </w:rPr>
      </w:pPr>
      <w:r>
        <w:rPr>
          <w:color w:val="auto"/>
        </w:rPr>
        <w:t>2.1供应商单位名称：</w:t>
      </w:r>
      <w:r>
        <w:rPr>
          <w:color w:val="auto"/>
          <w:u w:val="single"/>
        </w:rPr>
        <w:t xml:space="preserve">           　　　　　　</w:t>
      </w:r>
    </w:p>
    <w:p w14:paraId="23ACB5E6">
      <w:pPr>
        <w:pStyle w:val="14"/>
        <w:ind w:firstLine="480"/>
        <w:jc w:val="center"/>
        <w:rPr>
          <w:color w:val="auto"/>
        </w:rPr>
      </w:pPr>
      <w:r>
        <w:rPr>
          <w:color w:val="auto"/>
        </w:rPr>
        <w:t>2.2注册地址：</w:t>
      </w:r>
      <w:r>
        <w:rPr>
          <w:color w:val="auto"/>
          <w:u w:val="single"/>
        </w:rPr>
        <w:t xml:space="preserve">           　　　　　　　　</w:t>
      </w:r>
    </w:p>
    <w:p w14:paraId="32452130">
      <w:pPr>
        <w:pStyle w:val="14"/>
        <w:ind w:firstLine="480"/>
        <w:jc w:val="center"/>
        <w:rPr>
          <w:color w:val="auto"/>
        </w:rPr>
      </w:pPr>
      <w:r>
        <w:rPr>
          <w:color w:val="auto"/>
        </w:rPr>
        <w:t>2.3单位负责人姓名：</w:t>
      </w:r>
      <w:r>
        <w:rPr>
          <w:color w:val="auto"/>
          <w:u w:val="single"/>
        </w:rPr>
        <w:t xml:space="preserve">  　　　　</w:t>
      </w:r>
      <w:r>
        <w:rPr>
          <w:color w:val="auto"/>
        </w:rPr>
        <w:t>性别：</w:t>
      </w:r>
      <w:r>
        <w:rPr>
          <w:color w:val="auto"/>
          <w:u w:val="single"/>
        </w:rPr>
        <w:t xml:space="preserve">  　　</w:t>
      </w:r>
      <w:r>
        <w:rPr>
          <w:color w:val="auto"/>
        </w:rPr>
        <w:t>年龄：</w:t>
      </w:r>
      <w:r>
        <w:rPr>
          <w:color w:val="auto"/>
          <w:u w:val="single"/>
        </w:rPr>
        <w:t xml:space="preserve">  　　</w:t>
      </w:r>
      <w:r>
        <w:rPr>
          <w:color w:val="auto"/>
        </w:rPr>
        <w:t>职务：</w:t>
      </w:r>
      <w:r>
        <w:rPr>
          <w:color w:val="auto"/>
          <w:u w:val="single"/>
        </w:rPr>
        <w:t xml:space="preserve">  　　　　</w:t>
      </w:r>
      <w:r>
        <w:rPr>
          <w:color w:val="auto"/>
        </w:rPr>
        <w:t>。</w:t>
      </w:r>
    </w:p>
    <w:p w14:paraId="630A1CD9">
      <w:pPr>
        <w:pStyle w:val="14"/>
        <w:ind w:firstLine="480"/>
        <w:jc w:val="center"/>
        <w:rPr>
          <w:color w:val="auto"/>
        </w:rPr>
      </w:pPr>
      <w:r>
        <w:rPr>
          <w:color w:val="auto"/>
        </w:rPr>
        <w:t>备注：“单位负责人”指单位法定代表人（供应商为法人的）或法律、法规规定代表单位行使职权的主要负责人（供应商为其他组织的）。</w:t>
      </w:r>
    </w:p>
    <w:p w14:paraId="36A3747C">
      <w:pPr>
        <w:pStyle w:val="14"/>
        <w:ind w:firstLine="480"/>
        <w:jc w:val="center"/>
        <w:rPr>
          <w:rFonts w:hint="eastAsia" w:eastAsiaTheme="minorEastAsia"/>
          <w:color w:val="auto"/>
          <w:lang w:eastAsia="zh-CN"/>
        </w:rPr>
      </w:pPr>
      <w:r>
        <w:rPr>
          <w:color w:val="auto"/>
        </w:rPr>
        <w:t>对于接受联合体形式的磋商且供应商是联合体的，则联合体各成员都应当提交本资格证明文件。</w:t>
      </w:r>
    </w:p>
    <w:p w14:paraId="71309510">
      <w:pPr>
        <w:pStyle w:val="14"/>
        <w:ind w:firstLine="480"/>
        <w:jc w:val="center"/>
        <w:rPr>
          <w:rFonts w:hint="eastAsia" w:eastAsiaTheme="minorEastAsia"/>
          <w:color w:val="auto"/>
          <w:lang w:eastAsia="zh-CN"/>
        </w:rPr>
      </w:pPr>
    </w:p>
    <w:p w14:paraId="22825F2B">
      <w:pPr>
        <w:pStyle w:val="14"/>
        <w:ind w:firstLine="480"/>
        <w:jc w:val="center"/>
        <w:rPr>
          <w:rFonts w:hint="eastAsia" w:eastAsiaTheme="minorEastAsia"/>
          <w:color w:val="auto"/>
          <w:lang w:eastAsia="zh-CN"/>
        </w:rPr>
      </w:pPr>
    </w:p>
    <w:p w14:paraId="5E78D780">
      <w:pPr>
        <w:pStyle w:val="14"/>
        <w:ind w:firstLine="480"/>
        <w:jc w:val="center"/>
        <w:rPr>
          <w:rFonts w:hint="eastAsia" w:eastAsiaTheme="minorEastAsia"/>
          <w:color w:val="auto"/>
          <w:lang w:eastAsia="zh-CN"/>
        </w:rPr>
      </w:pPr>
    </w:p>
    <w:p w14:paraId="6385BE0A">
      <w:pPr>
        <w:pStyle w:val="14"/>
        <w:ind w:firstLine="480"/>
        <w:jc w:val="center"/>
        <w:rPr>
          <w:color w:val="auto"/>
        </w:rPr>
      </w:pPr>
      <w:r>
        <w:rPr>
          <w:color w:val="auto"/>
        </w:rPr>
        <w:t>供应商代表：</w:t>
      </w:r>
      <w:r>
        <w:rPr>
          <w:color w:val="auto"/>
          <w:u w:val="single"/>
        </w:rPr>
        <w:t>　　　　（签字）</w:t>
      </w:r>
    </w:p>
    <w:p w14:paraId="3C20BA7D">
      <w:pPr>
        <w:pStyle w:val="14"/>
        <w:ind w:firstLine="480"/>
        <w:jc w:val="center"/>
        <w:rPr>
          <w:color w:val="auto"/>
        </w:rPr>
      </w:pPr>
      <w:r>
        <w:rPr>
          <w:color w:val="auto"/>
        </w:rPr>
        <w:t>供应商名称：</w:t>
      </w:r>
      <w:r>
        <w:rPr>
          <w:color w:val="auto"/>
          <w:u w:val="single"/>
        </w:rPr>
        <w:t>　　　　（全称并加盖公章）　　　　</w:t>
      </w:r>
    </w:p>
    <w:p w14:paraId="6012B59C">
      <w:pPr>
        <w:pStyle w:val="14"/>
        <w:ind w:firstLine="480"/>
        <w:jc w:val="center"/>
        <w:rPr>
          <w:color w:val="auto"/>
        </w:rPr>
      </w:pPr>
      <w:r>
        <w:rPr>
          <w:color w:val="auto"/>
        </w:rPr>
        <w:t>日期：</w:t>
      </w:r>
      <w:r>
        <w:rPr>
          <w:color w:val="auto"/>
          <w:u w:val="single"/>
        </w:rPr>
        <w:t>　　　</w:t>
      </w:r>
      <w:r>
        <w:rPr>
          <w:color w:val="auto"/>
        </w:rPr>
        <w:t>年</w:t>
      </w:r>
      <w:r>
        <w:rPr>
          <w:color w:val="auto"/>
          <w:u w:val="single"/>
        </w:rPr>
        <w:t>　　</w:t>
      </w:r>
      <w:r>
        <w:rPr>
          <w:color w:val="auto"/>
        </w:rPr>
        <w:t>月</w:t>
      </w:r>
      <w:r>
        <w:rPr>
          <w:color w:val="auto"/>
          <w:u w:val="single"/>
        </w:rPr>
        <w:t>　　</w:t>
      </w:r>
      <w:r>
        <w:rPr>
          <w:color w:val="auto"/>
        </w:rPr>
        <w:t>日</w:t>
      </w:r>
    </w:p>
    <w:p w14:paraId="28C5727A">
      <w:pPr>
        <w:pStyle w:val="14"/>
        <w:jc w:val="center"/>
        <w:rPr>
          <w:color w:val="auto"/>
        </w:rPr>
      </w:pPr>
    </w:p>
    <w:p w14:paraId="7AFD433E">
      <w:pPr>
        <w:pStyle w:val="14"/>
        <w:jc w:val="center"/>
        <w:rPr>
          <w:color w:val="auto"/>
        </w:rPr>
      </w:pPr>
      <w:r>
        <w:rPr>
          <w:color w:val="auto"/>
        </w:rPr>
        <w:t xml:space="preserve"> </w:t>
      </w:r>
    </w:p>
    <w:p w14:paraId="7EFCFE15">
      <w:pPr>
        <w:pStyle w:val="14"/>
        <w:jc w:val="center"/>
        <w:outlineLvl w:val="3"/>
        <w:rPr>
          <w:color w:val="auto"/>
        </w:rPr>
      </w:pPr>
      <w:r>
        <w:rPr>
          <w:b/>
          <w:color w:val="auto"/>
          <w:sz w:val="24"/>
        </w:rPr>
        <w:t>附件3-2  供应商的资格声明</w:t>
      </w:r>
    </w:p>
    <w:p w14:paraId="7F5502E5">
      <w:pPr>
        <w:pStyle w:val="14"/>
        <w:ind w:firstLine="480"/>
        <w:jc w:val="center"/>
        <w:rPr>
          <w:color w:val="auto"/>
        </w:rPr>
      </w:pPr>
      <w:r>
        <w:rPr>
          <w:color w:val="auto"/>
        </w:rPr>
        <w:t>致：</w:t>
      </w:r>
      <w:r>
        <w:rPr>
          <w:color w:val="auto"/>
          <w:u w:val="single"/>
        </w:rPr>
        <w:t>（采购人或采购代理机构）</w:t>
      </w:r>
    </w:p>
    <w:p w14:paraId="08E53E9B">
      <w:pPr>
        <w:pStyle w:val="14"/>
        <w:ind w:firstLine="480"/>
        <w:jc w:val="center"/>
        <w:rPr>
          <w:color w:val="auto"/>
        </w:rPr>
      </w:pPr>
      <w:r>
        <w:rPr>
          <w:color w:val="auto"/>
        </w:rPr>
        <w:t>1、我方已知晓竞争性磋商文件要求并认真审核自身情况，在此郑重声明，我方具备并满足下列各项条款的规定。本声明如有虚假或不实之处，我方将失去合格供应商资格且我方的磋商保证金将不予退还。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A4987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D33DBB0">
            <w:pPr>
              <w:pStyle w:val="14"/>
              <w:jc w:val="center"/>
              <w:rPr>
                <w:color w:val="auto"/>
              </w:rPr>
            </w:pPr>
            <w:r>
              <w:rPr>
                <w:b/>
                <w:color w:val="auto"/>
              </w:rPr>
              <w:t>《中华人民共和国政府采购法》第二十二条对供应商的要求</w:t>
            </w:r>
          </w:p>
        </w:tc>
        <w:tc>
          <w:tcPr>
            <w:tcW w:w="4153" w:type="dxa"/>
          </w:tcPr>
          <w:p w14:paraId="3CEE5B27">
            <w:pPr>
              <w:pStyle w:val="14"/>
              <w:jc w:val="center"/>
              <w:rPr>
                <w:color w:val="auto"/>
              </w:rPr>
            </w:pPr>
            <w:r>
              <w:rPr>
                <w:b/>
                <w:color w:val="auto"/>
              </w:rPr>
              <w:t>供应商对是否符合要求做如实声明</w:t>
            </w:r>
          </w:p>
        </w:tc>
      </w:tr>
      <w:tr w14:paraId="69D05D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0AE3687">
            <w:pPr>
              <w:pStyle w:val="14"/>
              <w:jc w:val="center"/>
              <w:rPr>
                <w:color w:val="auto"/>
              </w:rPr>
            </w:pPr>
            <w:r>
              <w:rPr>
                <w:color w:val="auto"/>
              </w:rPr>
              <w:t>（1）具有独立承担民事责任的能力</w:t>
            </w:r>
          </w:p>
        </w:tc>
        <w:tc>
          <w:tcPr>
            <w:tcW w:w="4153" w:type="dxa"/>
          </w:tcPr>
          <w:p w14:paraId="28D5AE10">
            <w:pPr>
              <w:pStyle w:val="14"/>
              <w:jc w:val="center"/>
              <w:rPr>
                <w:color w:val="auto"/>
              </w:rPr>
            </w:pPr>
            <w:r>
              <w:rPr>
                <w:color w:val="auto"/>
              </w:rPr>
              <w:t xml:space="preserve">    </w:t>
            </w:r>
          </w:p>
        </w:tc>
      </w:tr>
      <w:tr w14:paraId="39E6BD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755708F">
            <w:pPr>
              <w:pStyle w:val="14"/>
              <w:jc w:val="center"/>
              <w:rPr>
                <w:color w:val="auto"/>
              </w:rPr>
            </w:pPr>
            <w:r>
              <w:rPr>
                <w:color w:val="auto"/>
              </w:rPr>
              <w:t>（2）具有良好的商业信誉和健全的财务会计制度</w:t>
            </w:r>
          </w:p>
        </w:tc>
        <w:tc>
          <w:tcPr>
            <w:tcW w:w="4153" w:type="dxa"/>
          </w:tcPr>
          <w:p w14:paraId="4E5C835F">
            <w:pPr>
              <w:pStyle w:val="14"/>
              <w:jc w:val="center"/>
              <w:rPr>
                <w:color w:val="auto"/>
              </w:rPr>
            </w:pPr>
            <w:r>
              <w:rPr>
                <w:color w:val="auto"/>
              </w:rPr>
              <w:t xml:space="preserve">    </w:t>
            </w:r>
          </w:p>
        </w:tc>
      </w:tr>
      <w:tr w14:paraId="0B511B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63F8F82">
            <w:pPr>
              <w:pStyle w:val="14"/>
              <w:jc w:val="center"/>
              <w:rPr>
                <w:color w:val="auto"/>
              </w:rPr>
            </w:pPr>
            <w:r>
              <w:rPr>
                <w:color w:val="auto"/>
              </w:rPr>
              <w:t>（3）具有履行合同所必需的设备和专业技术能力</w:t>
            </w:r>
          </w:p>
        </w:tc>
        <w:tc>
          <w:tcPr>
            <w:tcW w:w="4153" w:type="dxa"/>
          </w:tcPr>
          <w:p w14:paraId="32C29B8F">
            <w:pPr>
              <w:pStyle w:val="14"/>
              <w:jc w:val="center"/>
              <w:rPr>
                <w:color w:val="auto"/>
              </w:rPr>
            </w:pPr>
            <w:r>
              <w:rPr>
                <w:color w:val="auto"/>
              </w:rPr>
              <w:t xml:space="preserve">    </w:t>
            </w:r>
          </w:p>
        </w:tc>
      </w:tr>
      <w:tr w14:paraId="253013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9C95403">
            <w:pPr>
              <w:pStyle w:val="14"/>
              <w:jc w:val="center"/>
              <w:rPr>
                <w:color w:val="auto"/>
              </w:rPr>
            </w:pPr>
            <w:r>
              <w:rPr>
                <w:color w:val="auto"/>
              </w:rPr>
              <w:t>（4）有依法缴纳税收和社会保障资金的良好记录</w:t>
            </w:r>
          </w:p>
        </w:tc>
        <w:tc>
          <w:tcPr>
            <w:tcW w:w="4153" w:type="dxa"/>
          </w:tcPr>
          <w:p w14:paraId="0AC34933">
            <w:pPr>
              <w:pStyle w:val="14"/>
              <w:jc w:val="center"/>
              <w:rPr>
                <w:color w:val="auto"/>
              </w:rPr>
            </w:pPr>
            <w:r>
              <w:rPr>
                <w:color w:val="auto"/>
              </w:rPr>
              <w:t xml:space="preserve">    </w:t>
            </w:r>
          </w:p>
        </w:tc>
      </w:tr>
      <w:tr w14:paraId="271DAB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B658243">
            <w:pPr>
              <w:pStyle w:val="14"/>
              <w:jc w:val="center"/>
              <w:rPr>
                <w:color w:val="auto"/>
              </w:rPr>
            </w:pPr>
            <w:r>
              <w:rPr>
                <w:color w:val="auto"/>
              </w:rPr>
              <w:t>（5）参加政府采购活动前三年内，在经营活动中没有重大违法记录</w:t>
            </w:r>
          </w:p>
        </w:tc>
        <w:tc>
          <w:tcPr>
            <w:tcW w:w="4153" w:type="dxa"/>
          </w:tcPr>
          <w:p w14:paraId="69135A5A">
            <w:pPr>
              <w:pStyle w:val="14"/>
              <w:jc w:val="center"/>
              <w:rPr>
                <w:color w:val="auto"/>
              </w:rPr>
            </w:pPr>
            <w:r>
              <w:rPr>
                <w:color w:val="auto"/>
              </w:rPr>
              <w:t xml:space="preserve">    </w:t>
            </w:r>
          </w:p>
        </w:tc>
      </w:tr>
      <w:tr w14:paraId="130436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0540DAE">
            <w:pPr>
              <w:pStyle w:val="14"/>
              <w:jc w:val="center"/>
              <w:rPr>
                <w:color w:val="auto"/>
              </w:rPr>
            </w:pPr>
            <w:r>
              <w:rPr>
                <w:color w:val="auto"/>
              </w:rPr>
              <w:t>（6）法律、行政法规规定的其他条件。</w:t>
            </w:r>
          </w:p>
        </w:tc>
        <w:tc>
          <w:tcPr>
            <w:tcW w:w="4153" w:type="dxa"/>
          </w:tcPr>
          <w:p w14:paraId="19D54ED2">
            <w:pPr>
              <w:pStyle w:val="14"/>
              <w:jc w:val="center"/>
              <w:rPr>
                <w:color w:val="auto"/>
              </w:rPr>
            </w:pPr>
            <w:r>
              <w:rPr>
                <w:color w:val="auto"/>
              </w:rPr>
              <w:t xml:space="preserve">    </w:t>
            </w:r>
          </w:p>
        </w:tc>
      </w:tr>
      <w:tr w14:paraId="6AD385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EF8DB06">
            <w:pPr>
              <w:pStyle w:val="14"/>
              <w:jc w:val="center"/>
              <w:rPr>
                <w:color w:val="auto"/>
              </w:rPr>
            </w:pPr>
            <w:r>
              <w:rPr>
                <w:b/>
                <w:color w:val="auto"/>
              </w:rPr>
              <w:t>磋商文件对合格供应商的一般规定</w:t>
            </w:r>
          </w:p>
        </w:tc>
        <w:tc>
          <w:tcPr>
            <w:tcW w:w="4153" w:type="dxa"/>
          </w:tcPr>
          <w:p w14:paraId="324E5602">
            <w:pPr>
              <w:pStyle w:val="14"/>
              <w:jc w:val="center"/>
              <w:rPr>
                <w:color w:val="auto"/>
              </w:rPr>
            </w:pPr>
            <w:r>
              <w:rPr>
                <w:b/>
                <w:color w:val="auto"/>
              </w:rPr>
              <w:t>供应商对是否违反一般规定做如实声明</w:t>
            </w:r>
          </w:p>
        </w:tc>
      </w:tr>
      <w:tr w14:paraId="49FF83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8B0CF98">
            <w:pPr>
              <w:pStyle w:val="14"/>
              <w:jc w:val="center"/>
              <w:rPr>
                <w:color w:val="auto"/>
              </w:rPr>
            </w:pPr>
            <w:r>
              <w:rPr>
                <w:color w:val="auto"/>
              </w:rPr>
              <w:t>供应商除了应遵守政府采购法及实施条例、政府采购非招标采购方式管理办法及财政部、福建省财政厅有关政府采购文件的规定外，还应遵守有关法律、法规和规章的强制性规定。</w:t>
            </w:r>
          </w:p>
        </w:tc>
        <w:tc>
          <w:tcPr>
            <w:tcW w:w="4153" w:type="dxa"/>
          </w:tcPr>
          <w:p w14:paraId="79343EC2">
            <w:pPr>
              <w:pStyle w:val="14"/>
              <w:jc w:val="center"/>
              <w:rPr>
                <w:color w:val="auto"/>
              </w:rPr>
            </w:pPr>
            <w:r>
              <w:rPr>
                <w:color w:val="auto"/>
              </w:rPr>
              <w:t xml:space="preserve">    </w:t>
            </w:r>
          </w:p>
        </w:tc>
      </w:tr>
      <w:tr w14:paraId="485279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99ABB65">
            <w:pPr>
              <w:pStyle w:val="14"/>
              <w:jc w:val="center"/>
              <w:rPr>
                <w:color w:val="auto"/>
              </w:rPr>
            </w:pPr>
            <w:r>
              <w:rPr>
                <w:color w:val="auto"/>
              </w:rPr>
              <w:t>为采购项目提供整体设计、规范编制或项目管理、监理、检测等服务的供应商，不得再参加该采购项目除整体设计、规范编制和项目管理、监理、检测等服务之外的其他采购活动。</w:t>
            </w:r>
          </w:p>
        </w:tc>
        <w:tc>
          <w:tcPr>
            <w:tcW w:w="4153" w:type="dxa"/>
          </w:tcPr>
          <w:p w14:paraId="429E3443">
            <w:pPr>
              <w:pStyle w:val="14"/>
              <w:jc w:val="center"/>
              <w:rPr>
                <w:color w:val="auto"/>
              </w:rPr>
            </w:pPr>
            <w:r>
              <w:rPr>
                <w:color w:val="auto"/>
              </w:rPr>
              <w:t xml:space="preserve">    </w:t>
            </w:r>
          </w:p>
        </w:tc>
      </w:tr>
      <w:tr w14:paraId="13E407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1F9D2E5">
            <w:pPr>
              <w:pStyle w:val="14"/>
              <w:jc w:val="center"/>
              <w:rPr>
                <w:color w:val="auto"/>
              </w:rPr>
            </w:pPr>
            <w:r>
              <w:rPr>
                <w:color w:val="auto"/>
              </w:rPr>
              <w:t>列入失信被执行人、重大税收违法案件当事人名单、政府采购严重违法失信行为记录名单的供应商，不得参加政府采购活动。</w:t>
            </w:r>
          </w:p>
        </w:tc>
        <w:tc>
          <w:tcPr>
            <w:tcW w:w="4153" w:type="dxa"/>
          </w:tcPr>
          <w:p w14:paraId="3F1747B8">
            <w:pPr>
              <w:pStyle w:val="14"/>
              <w:jc w:val="center"/>
              <w:rPr>
                <w:color w:val="auto"/>
              </w:rPr>
            </w:pPr>
            <w:r>
              <w:rPr>
                <w:color w:val="auto"/>
              </w:rPr>
              <w:t xml:space="preserve">    </w:t>
            </w:r>
          </w:p>
        </w:tc>
      </w:tr>
    </w:tbl>
    <w:p w14:paraId="2C011F63">
      <w:pPr>
        <w:pStyle w:val="14"/>
        <w:ind w:firstLine="480"/>
        <w:jc w:val="center"/>
        <w:rPr>
          <w:color w:val="auto"/>
        </w:rPr>
      </w:pPr>
      <w:r>
        <w:rPr>
          <w:color w:val="auto"/>
        </w:rPr>
        <w:t>2、我方对上述声明的真实性、合法性、准确性、有效性负责，并愿意根据磋商文件和磋商过程中贵方要求提供全部现有资料、数据、文件等予以证实。</w:t>
      </w:r>
    </w:p>
    <w:p w14:paraId="72104BFA">
      <w:pPr>
        <w:pStyle w:val="14"/>
        <w:ind w:firstLine="480"/>
        <w:jc w:val="center"/>
        <w:rPr>
          <w:color w:val="auto"/>
        </w:rPr>
      </w:pPr>
      <w:r>
        <w:rPr>
          <w:color w:val="auto"/>
        </w:rPr>
        <w:t>备注：对于接受联合体形式的磋商且供应商是联合体的，则联合体各成员都应当提交本资格证明文件。</w:t>
      </w:r>
    </w:p>
    <w:p w14:paraId="6D56FC01">
      <w:pPr>
        <w:pStyle w:val="14"/>
        <w:ind w:firstLine="480"/>
        <w:jc w:val="center"/>
        <w:rPr>
          <w:color w:val="auto"/>
        </w:rPr>
      </w:pPr>
      <w:r>
        <w:rPr>
          <w:color w:val="auto"/>
        </w:rPr>
        <w:t>供应商代表：</w:t>
      </w:r>
      <w:r>
        <w:rPr>
          <w:color w:val="auto"/>
          <w:u w:val="single"/>
        </w:rPr>
        <w:t>　　　　（签字）</w:t>
      </w:r>
    </w:p>
    <w:p w14:paraId="3CE1C74E">
      <w:pPr>
        <w:pStyle w:val="14"/>
        <w:ind w:firstLine="480"/>
        <w:jc w:val="center"/>
        <w:rPr>
          <w:color w:val="auto"/>
        </w:rPr>
      </w:pPr>
      <w:r>
        <w:rPr>
          <w:color w:val="auto"/>
        </w:rPr>
        <w:t>供应商名称：</w:t>
      </w:r>
      <w:r>
        <w:rPr>
          <w:color w:val="auto"/>
          <w:u w:val="single"/>
        </w:rPr>
        <w:t>　　　　（全称并加盖公章）　　　　</w:t>
      </w:r>
    </w:p>
    <w:p w14:paraId="26FA4DF2">
      <w:pPr>
        <w:pStyle w:val="14"/>
        <w:ind w:firstLine="480"/>
        <w:jc w:val="center"/>
        <w:rPr>
          <w:color w:val="auto"/>
        </w:rPr>
      </w:pPr>
      <w:r>
        <w:rPr>
          <w:color w:val="auto"/>
        </w:rPr>
        <w:t>日期：</w:t>
      </w:r>
      <w:r>
        <w:rPr>
          <w:color w:val="auto"/>
          <w:u w:val="single"/>
        </w:rPr>
        <w:t>　　</w:t>
      </w:r>
      <w:r>
        <w:rPr>
          <w:color w:val="auto"/>
        </w:rPr>
        <w:t>年</w:t>
      </w:r>
      <w:r>
        <w:rPr>
          <w:color w:val="auto"/>
          <w:u w:val="single"/>
        </w:rPr>
        <w:t>　　</w:t>
      </w:r>
      <w:r>
        <w:rPr>
          <w:color w:val="auto"/>
        </w:rPr>
        <w:t>月</w:t>
      </w:r>
      <w:r>
        <w:rPr>
          <w:color w:val="auto"/>
          <w:u w:val="single"/>
        </w:rPr>
        <w:t>　　</w:t>
      </w:r>
      <w:r>
        <w:rPr>
          <w:color w:val="auto"/>
        </w:rPr>
        <w:t>日</w:t>
      </w:r>
    </w:p>
    <w:p w14:paraId="777B7BB3">
      <w:pPr>
        <w:pStyle w:val="14"/>
        <w:jc w:val="center"/>
        <w:rPr>
          <w:color w:val="auto"/>
        </w:rPr>
      </w:pPr>
    </w:p>
    <w:p w14:paraId="7D023A42">
      <w:pPr>
        <w:pStyle w:val="14"/>
        <w:jc w:val="center"/>
        <w:rPr>
          <w:color w:val="auto"/>
        </w:rPr>
      </w:pPr>
      <w:r>
        <w:rPr>
          <w:color w:val="auto"/>
        </w:rPr>
        <w:t xml:space="preserve"> </w:t>
      </w:r>
    </w:p>
    <w:p w14:paraId="0DC76558">
      <w:pPr>
        <w:pStyle w:val="14"/>
        <w:jc w:val="center"/>
        <w:outlineLvl w:val="3"/>
        <w:rPr>
          <w:color w:val="auto"/>
        </w:rPr>
      </w:pPr>
      <w:r>
        <w:rPr>
          <w:b/>
          <w:color w:val="auto"/>
          <w:sz w:val="24"/>
        </w:rPr>
        <w:t>附件3-3   单位负责人授权书</w:t>
      </w:r>
    </w:p>
    <w:p w14:paraId="1FF204C2">
      <w:pPr>
        <w:pStyle w:val="14"/>
        <w:ind w:firstLine="480"/>
        <w:jc w:val="center"/>
        <w:rPr>
          <w:color w:val="auto"/>
        </w:rPr>
      </w:pPr>
      <w:r>
        <w:rPr>
          <w:color w:val="auto"/>
        </w:rPr>
        <w:t>致：</w:t>
      </w:r>
      <w:r>
        <w:rPr>
          <w:color w:val="auto"/>
          <w:u w:val="single"/>
        </w:rPr>
        <w:t>（采购人或采购代理机构）</w:t>
      </w:r>
    </w:p>
    <w:p w14:paraId="5ECFF0BD">
      <w:pPr>
        <w:pStyle w:val="14"/>
        <w:ind w:firstLine="480"/>
        <w:jc w:val="center"/>
        <w:rPr>
          <w:color w:val="auto"/>
        </w:rPr>
      </w:pPr>
      <w:r>
        <w:rPr>
          <w:color w:val="auto"/>
        </w:rPr>
        <w:t>我方的单位负责人</w:t>
      </w:r>
      <w:r>
        <w:rPr>
          <w:color w:val="auto"/>
          <w:u w:val="single"/>
        </w:rPr>
        <w:t>（填写“单位负责人全名”）</w:t>
      </w:r>
      <w:r>
        <w:rPr>
          <w:color w:val="auto"/>
        </w:rPr>
        <w:t>授权</w:t>
      </w:r>
      <w:r>
        <w:rPr>
          <w:color w:val="auto"/>
          <w:u w:val="single"/>
        </w:rPr>
        <w:t>（填写“供应商代表全名”）</w:t>
      </w:r>
      <w:r>
        <w:rPr>
          <w:color w:val="auto"/>
        </w:rPr>
        <w:t>为我方的供应商代表，代表我方参加</w:t>
      </w:r>
      <w:r>
        <w:rPr>
          <w:color w:val="auto"/>
          <w:u w:val="single"/>
        </w:rPr>
        <w:t>（填写“项目名称”）</w:t>
      </w:r>
      <w:r>
        <w:rPr>
          <w:color w:val="auto"/>
        </w:rPr>
        <w:t>项目（项目编号：</w:t>
      </w:r>
      <w:r>
        <w:rPr>
          <w:color w:val="auto"/>
          <w:u w:val="single"/>
        </w:rPr>
        <w:t>　　　　　</w:t>
      </w:r>
      <w:r>
        <w:rPr>
          <w:color w:val="auto"/>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14:paraId="24B16378">
      <w:pPr>
        <w:pStyle w:val="14"/>
        <w:ind w:firstLine="480"/>
        <w:jc w:val="center"/>
        <w:rPr>
          <w:color w:val="auto"/>
        </w:rPr>
      </w:pPr>
      <w:r>
        <w:rPr>
          <w:color w:val="auto"/>
        </w:rPr>
        <w:t>供应商代表无转委权。特此授权。</w:t>
      </w:r>
    </w:p>
    <w:p w14:paraId="5D7BE5D1">
      <w:pPr>
        <w:pStyle w:val="14"/>
        <w:jc w:val="center"/>
        <w:rPr>
          <w:rFonts w:hint="eastAsia" w:eastAsiaTheme="minorEastAsia"/>
          <w:color w:val="auto"/>
          <w:lang w:eastAsia="zh-CN"/>
        </w:rPr>
      </w:pPr>
      <w:r>
        <w:rPr>
          <w:color w:val="auto"/>
        </w:rPr>
        <w:t>（以下无正文）</w:t>
      </w:r>
    </w:p>
    <w:p w14:paraId="5F03F613">
      <w:pPr>
        <w:pStyle w:val="14"/>
        <w:jc w:val="center"/>
        <w:rPr>
          <w:rFonts w:hint="eastAsia" w:eastAsiaTheme="minorEastAsia"/>
          <w:color w:val="auto"/>
          <w:lang w:eastAsia="zh-CN"/>
        </w:rPr>
      </w:pPr>
    </w:p>
    <w:p w14:paraId="2EEE5799">
      <w:pPr>
        <w:pStyle w:val="14"/>
        <w:jc w:val="center"/>
        <w:rPr>
          <w:rFonts w:hint="eastAsia" w:eastAsiaTheme="minorEastAsia"/>
          <w:color w:val="auto"/>
          <w:lang w:eastAsia="zh-CN"/>
        </w:rPr>
      </w:pPr>
    </w:p>
    <w:p w14:paraId="60EFFCB3">
      <w:pPr>
        <w:pStyle w:val="14"/>
        <w:jc w:val="center"/>
        <w:rPr>
          <w:rFonts w:hint="eastAsia" w:eastAsiaTheme="minorEastAsia"/>
          <w:color w:val="auto"/>
          <w:lang w:eastAsia="zh-CN"/>
        </w:rPr>
      </w:pPr>
    </w:p>
    <w:p w14:paraId="79EF3488">
      <w:pPr>
        <w:pStyle w:val="14"/>
        <w:ind w:firstLine="480"/>
        <w:jc w:val="center"/>
        <w:rPr>
          <w:color w:val="auto"/>
        </w:rPr>
      </w:pPr>
      <w:r>
        <w:rPr>
          <w:color w:val="auto"/>
        </w:rPr>
        <w:t>单位负责人：</w:t>
      </w:r>
      <w:r>
        <w:rPr>
          <w:color w:val="auto"/>
          <w:u w:val="single"/>
        </w:rPr>
        <w:t>　　　　　</w:t>
      </w:r>
      <w:r>
        <w:rPr>
          <w:color w:val="auto"/>
        </w:rPr>
        <w:t>身份证号：</w:t>
      </w:r>
      <w:r>
        <w:rPr>
          <w:color w:val="auto"/>
          <w:u w:val="single"/>
        </w:rPr>
        <w:t>　　　　　</w:t>
      </w:r>
      <w:r>
        <w:rPr>
          <w:color w:val="auto"/>
        </w:rPr>
        <w:t>手机：</w:t>
      </w:r>
      <w:r>
        <w:rPr>
          <w:color w:val="auto"/>
          <w:u w:val="single"/>
        </w:rPr>
        <w:t>　　　　　</w:t>
      </w:r>
    </w:p>
    <w:p w14:paraId="007FB4F8">
      <w:pPr>
        <w:pStyle w:val="14"/>
        <w:ind w:firstLine="480"/>
        <w:jc w:val="center"/>
        <w:rPr>
          <w:rFonts w:hint="eastAsia" w:eastAsiaTheme="minorEastAsia"/>
          <w:color w:val="auto"/>
          <w:u w:val="single"/>
          <w:lang w:eastAsia="zh-CN"/>
        </w:rPr>
      </w:pPr>
      <w:r>
        <w:rPr>
          <w:color w:val="auto"/>
        </w:rPr>
        <w:t>供应商代表：</w:t>
      </w:r>
      <w:r>
        <w:rPr>
          <w:color w:val="auto"/>
          <w:u w:val="single"/>
        </w:rPr>
        <w:t>　　　　　</w:t>
      </w:r>
      <w:r>
        <w:rPr>
          <w:color w:val="auto"/>
        </w:rPr>
        <w:t>身份证号：</w:t>
      </w:r>
      <w:r>
        <w:rPr>
          <w:color w:val="auto"/>
          <w:u w:val="single"/>
        </w:rPr>
        <w:t>　　　　　</w:t>
      </w:r>
      <w:r>
        <w:rPr>
          <w:color w:val="auto"/>
        </w:rPr>
        <w:t>手机：</w:t>
      </w:r>
      <w:r>
        <w:rPr>
          <w:color w:val="auto"/>
          <w:u w:val="single"/>
        </w:rPr>
        <w:t>　　　　　</w:t>
      </w:r>
    </w:p>
    <w:p w14:paraId="717D2E4A">
      <w:pPr>
        <w:pStyle w:val="14"/>
        <w:ind w:firstLine="480"/>
        <w:jc w:val="center"/>
        <w:rPr>
          <w:rFonts w:hint="eastAsia" w:eastAsiaTheme="minorEastAsia"/>
          <w:color w:val="auto"/>
          <w:u w:val="single"/>
          <w:lang w:eastAsia="zh-CN"/>
        </w:rPr>
      </w:pPr>
    </w:p>
    <w:p w14:paraId="01C9785A">
      <w:pPr>
        <w:pStyle w:val="14"/>
        <w:ind w:firstLine="480"/>
        <w:jc w:val="center"/>
        <w:rPr>
          <w:color w:val="auto"/>
        </w:rPr>
      </w:pPr>
      <w:r>
        <w:rPr>
          <w:color w:val="auto"/>
        </w:rPr>
        <w:t>授权方</w:t>
      </w:r>
    </w:p>
    <w:p w14:paraId="2F637D74">
      <w:pPr>
        <w:pStyle w:val="14"/>
        <w:ind w:firstLine="480"/>
        <w:jc w:val="center"/>
        <w:rPr>
          <w:color w:val="auto"/>
        </w:rPr>
      </w:pPr>
      <w:r>
        <w:rPr>
          <w:color w:val="auto"/>
        </w:rPr>
        <w:t>供应商：</w:t>
      </w:r>
      <w:r>
        <w:rPr>
          <w:color w:val="auto"/>
          <w:u w:val="single"/>
        </w:rPr>
        <w:t>（全称并加盖单位公章）</w:t>
      </w:r>
    </w:p>
    <w:p w14:paraId="60D438EA">
      <w:pPr>
        <w:pStyle w:val="14"/>
        <w:ind w:firstLine="480"/>
        <w:jc w:val="center"/>
        <w:rPr>
          <w:rFonts w:hint="eastAsia" w:eastAsiaTheme="minorEastAsia"/>
          <w:color w:val="auto"/>
          <w:u w:val="single"/>
          <w:lang w:eastAsia="zh-CN"/>
        </w:rPr>
      </w:pPr>
      <w:r>
        <w:rPr>
          <w:color w:val="auto"/>
        </w:rPr>
        <w:t>单位负责人签字或盖章：</w:t>
      </w:r>
      <w:r>
        <w:rPr>
          <w:color w:val="auto"/>
          <w:u w:val="single"/>
        </w:rPr>
        <w:t>　　　　　　　　　　</w:t>
      </w:r>
    </w:p>
    <w:p w14:paraId="1C2720E8">
      <w:pPr>
        <w:pStyle w:val="14"/>
        <w:ind w:firstLine="480"/>
        <w:jc w:val="center"/>
        <w:rPr>
          <w:rFonts w:hint="eastAsia" w:eastAsiaTheme="minorEastAsia"/>
          <w:color w:val="auto"/>
          <w:u w:val="single"/>
          <w:lang w:eastAsia="zh-CN"/>
        </w:rPr>
      </w:pPr>
    </w:p>
    <w:p w14:paraId="268FC4EF">
      <w:pPr>
        <w:pStyle w:val="14"/>
        <w:ind w:firstLine="480"/>
        <w:jc w:val="center"/>
        <w:rPr>
          <w:color w:val="auto"/>
        </w:rPr>
      </w:pPr>
      <w:r>
        <w:rPr>
          <w:color w:val="auto"/>
        </w:rPr>
        <w:t>接受授权方</w:t>
      </w:r>
    </w:p>
    <w:p w14:paraId="383E5C72">
      <w:pPr>
        <w:pStyle w:val="14"/>
        <w:ind w:firstLine="480"/>
        <w:jc w:val="center"/>
        <w:rPr>
          <w:color w:val="auto"/>
        </w:rPr>
      </w:pPr>
      <w:r>
        <w:rPr>
          <w:color w:val="auto"/>
        </w:rPr>
        <w:t>供应商代表签字：</w:t>
      </w:r>
      <w:r>
        <w:rPr>
          <w:color w:val="auto"/>
          <w:u w:val="single"/>
        </w:rPr>
        <w:t>　　　　　　　　　　</w:t>
      </w:r>
    </w:p>
    <w:p w14:paraId="5281CE61">
      <w:pPr>
        <w:pStyle w:val="14"/>
        <w:ind w:firstLine="480"/>
        <w:jc w:val="right"/>
        <w:rPr>
          <w:color w:val="auto"/>
        </w:rPr>
      </w:pPr>
      <w:r>
        <w:rPr>
          <w:color w:val="auto"/>
        </w:rPr>
        <w:t>签署日期：</w:t>
      </w:r>
      <w:r>
        <w:rPr>
          <w:color w:val="auto"/>
          <w:u w:val="single"/>
        </w:rPr>
        <w:t>　　</w:t>
      </w:r>
      <w:r>
        <w:rPr>
          <w:color w:val="auto"/>
        </w:rPr>
        <w:t>年</w:t>
      </w:r>
      <w:r>
        <w:rPr>
          <w:color w:val="auto"/>
          <w:u w:val="single"/>
        </w:rPr>
        <w:t>　　</w:t>
      </w:r>
      <w:r>
        <w:rPr>
          <w:color w:val="auto"/>
        </w:rPr>
        <w:t>月</w:t>
      </w:r>
      <w:r>
        <w:rPr>
          <w:color w:val="auto"/>
          <w:u w:val="single"/>
        </w:rPr>
        <w:t>　　</w:t>
      </w:r>
      <w:r>
        <w:rPr>
          <w:color w:val="auto"/>
        </w:rPr>
        <w:t>日</w:t>
      </w:r>
    </w:p>
    <w:p w14:paraId="24784DBF">
      <w:pPr>
        <w:pStyle w:val="14"/>
        <w:ind w:firstLine="480"/>
        <w:jc w:val="center"/>
        <w:rPr>
          <w:color w:val="auto"/>
        </w:rPr>
      </w:pPr>
      <w:r>
        <w:rPr>
          <w:color w:val="auto"/>
        </w:rPr>
        <w:t>附：单位负责人、供应商代表的身份证正反面复印件</w:t>
      </w:r>
    </w:p>
    <w:p w14:paraId="14EB57EF">
      <w:pPr>
        <w:pStyle w:val="14"/>
        <w:jc w:val="center"/>
        <w:rPr>
          <w:color w:val="auto"/>
        </w:rPr>
      </w:pPr>
    </w:p>
    <w:p w14:paraId="73A22A7A">
      <w:pPr>
        <w:pStyle w:val="14"/>
        <w:pBdr>
          <w:top w:val="dashed" w:color="000000" w:sz="4" w:space="0"/>
          <w:left w:val="dashed" w:color="000000" w:sz="4" w:space="0"/>
          <w:bottom w:val="dashed" w:color="000000" w:sz="4" w:space="0"/>
          <w:right w:val="dashed" w:color="000000" w:sz="4" w:space="0"/>
        </w:pBdr>
        <w:jc w:val="center"/>
        <w:rPr>
          <w:color w:val="auto"/>
        </w:rPr>
      </w:pPr>
    </w:p>
    <w:p w14:paraId="5DB40E15">
      <w:pPr>
        <w:pStyle w:val="14"/>
        <w:jc w:val="center"/>
        <w:rPr>
          <w:color w:val="auto"/>
        </w:rPr>
      </w:pPr>
      <w:r>
        <w:rPr>
          <w:color w:val="auto"/>
        </w:rPr>
        <w:t>要求：真实、有效、清晰</w:t>
      </w:r>
    </w:p>
    <w:p w14:paraId="33B12B35">
      <w:pPr>
        <w:pStyle w:val="14"/>
        <w:ind w:firstLine="480"/>
        <w:jc w:val="center"/>
        <w:rPr>
          <w:color w:val="auto"/>
        </w:rPr>
      </w:pPr>
      <w:r>
        <w:rPr>
          <w:color w:val="auto"/>
        </w:rPr>
        <w:t>※注意：</w:t>
      </w:r>
    </w:p>
    <w:p w14:paraId="5F312AF8">
      <w:pPr>
        <w:pStyle w:val="14"/>
        <w:ind w:firstLine="480"/>
        <w:jc w:val="center"/>
        <w:rPr>
          <w:color w:val="auto"/>
        </w:rPr>
      </w:pPr>
      <w:r>
        <w:rPr>
          <w:color w:val="auto"/>
        </w:rPr>
        <w:t>1、企业（银行、保险、石油石化、电力、电信等行业除外）、事业单位和社会团体法人的“单位负责人”指法定代表人，即与实际提交的“营业执照等证明文件”载明的一致。</w:t>
      </w:r>
    </w:p>
    <w:p w14:paraId="05D08C4E">
      <w:pPr>
        <w:pStyle w:val="14"/>
        <w:ind w:firstLine="480"/>
        <w:jc w:val="center"/>
        <w:rPr>
          <w:color w:val="auto"/>
        </w:rPr>
      </w:pPr>
      <w:r>
        <w:rPr>
          <w:color w:val="auto"/>
        </w:rPr>
        <w:t>2、银行、保险、石油石化、电力、电信等行业：以法人身份参加磋商的，“单位负责人”指法定代表人，即与实际提交的“营业执照等证明文件”载明的一致；以非法人身份参加磋商的，“单位负责人”指代表单位行使职权的主要负责人，即与实际提交的“营业执照等证明文件”载明的一致。</w:t>
      </w:r>
    </w:p>
    <w:p w14:paraId="27BE9849">
      <w:pPr>
        <w:pStyle w:val="14"/>
        <w:ind w:firstLine="480"/>
        <w:jc w:val="center"/>
        <w:rPr>
          <w:color w:val="auto"/>
        </w:rPr>
      </w:pPr>
      <w:r>
        <w:rPr>
          <w:color w:val="auto"/>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14:paraId="7BA6DF3A">
      <w:pPr>
        <w:pStyle w:val="14"/>
        <w:ind w:firstLine="480"/>
        <w:jc w:val="center"/>
        <w:rPr>
          <w:color w:val="auto"/>
        </w:rPr>
      </w:pPr>
      <w:r>
        <w:rPr>
          <w:color w:val="auto"/>
        </w:rPr>
        <w:t>4、对于接受联合体形式的磋商且供应商是联合体的，则只需要联合体的牵头方提交本授权书，在纸质响应文件正本中的本授权书应为原件</w:t>
      </w:r>
    </w:p>
    <w:p w14:paraId="3FCE2C48">
      <w:pPr>
        <w:pStyle w:val="14"/>
        <w:jc w:val="center"/>
        <w:rPr>
          <w:color w:val="auto"/>
        </w:rPr>
      </w:pPr>
      <w:r>
        <w:rPr>
          <w:color w:val="auto"/>
        </w:rPr>
        <w:t xml:space="preserve"> </w:t>
      </w:r>
    </w:p>
    <w:p w14:paraId="7E283148">
      <w:pPr>
        <w:pStyle w:val="14"/>
        <w:jc w:val="center"/>
        <w:outlineLvl w:val="3"/>
        <w:rPr>
          <w:color w:val="auto"/>
        </w:rPr>
      </w:pPr>
      <w:r>
        <w:rPr>
          <w:b/>
          <w:color w:val="auto"/>
          <w:sz w:val="24"/>
        </w:rPr>
        <w:t>附件3-4  营业执照等证明文件</w:t>
      </w:r>
    </w:p>
    <w:p w14:paraId="67A72C84">
      <w:pPr>
        <w:pStyle w:val="14"/>
        <w:ind w:firstLine="480"/>
        <w:jc w:val="center"/>
        <w:rPr>
          <w:color w:val="auto"/>
        </w:rPr>
      </w:pPr>
      <w:r>
        <w:rPr>
          <w:color w:val="auto"/>
        </w:rPr>
        <w:t>致：</w:t>
      </w:r>
      <w:r>
        <w:rPr>
          <w:color w:val="auto"/>
          <w:u w:val="single"/>
        </w:rPr>
        <w:t>（采购人或采购代理机构）</w:t>
      </w:r>
    </w:p>
    <w:p w14:paraId="0965DF63">
      <w:pPr>
        <w:pStyle w:val="14"/>
        <w:ind w:firstLine="480"/>
        <w:jc w:val="center"/>
        <w:rPr>
          <w:color w:val="auto"/>
        </w:rPr>
      </w:pPr>
      <w:r>
        <w:rPr>
          <w:color w:val="auto"/>
        </w:rPr>
        <w:t>（ ）供应商为法人（包括企业、事业单位和社会团体）的</w:t>
      </w:r>
    </w:p>
    <w:p w14:paraId="21A69BF3">
      <w:pPr>
        <w:pStyle w:val="14"/>
        <w:ind w:firstLine="480"/>
        <w:jc w:val="center"/>
        <w:rPr>
          <w:color w:val="auto"/>
        </w:rPr>
      </w:pPr>
      <w:r>
        <w:rPr>
          <w:color w:val="auto"/>
        </w:rPr>
        <w:t>现附上由</w:t>
      </w:r>
      <w:r>
        <w:rPr>
          <w:color w:val="auto"/>
          <w:u w:val="single"/>
        </w:rPr>
        <w:t>（填写“签发机关全称”）</w:t>
      </w:r>
      <w:r>
        <w:rPr>
          <w:color w:val="auto"/>
        </w:rPr>
        <w:t>签发的我方统一社会信用代码</w:t>
      </w:r>
      <w:r>
        <w:rPr>
          <w:color w:val="auto"/>
          <w:u w:val="single"/>
        </w:rPr>
        <w:t>（请填写法人的具体证照名称）</w:t>
      </w:r>
      <w:r>
        <w:rPr>
          <w:color w:val="auto"/>
        </w:rPr>
        <w:t>复印件，该证明材料真实有效，否则我方负全部责任。</w:t>
      </w:r>
    </w:p>
    <w:p w14:paraId="3847B747">
      <w:pPr>
        <w:pStyle w:val="14"/>
        <w:ind w:firstLine="480"/>
        <w:jc w:val="center"/>
        <w:rPr>
          <w:color w:val="auto"/>
        </w:rPr>
      </w:pPr>
      <w:r>
        <w:rPr>
          <w:color w:val="auto"/>
        </w:rPr>
        <w:t>（ ）供应商为非法人（包括其他组织、自然人）的</w:t>
      </w:r>
    </w:p>
    <w:p w14:paraId="3B0D59B9">
      <w:pPr>
        <w:pStyle w:val="14"/>
        <w:ind w:firstLine="480"/>
        <w:jc w:val="center"/>
        <w:rPr>
          <w:color w:val="auto"/>
        </w:rPr>
      </w:pPr>
      <w:r>
        <w:rPr>
          <w:color w:val="auto"/>
        </w:rPr>
        <w:t>□现附上由</w:t>
      </w:r>
      <w:r>
        <w:rPr>
          <w:color w:val="auto"/>
          <w:u w:val="single"/>
        </w:rPr>
        <w:t>（填写“签发机关全称”）</w:t>
      </w:r>
      <w:r>
        <w:rPr>
          <w:color w:val="auto"/>
        </w:rPr>
        <w:t>签发的我方统一社会信用代码</w:t>
      </w:r>
      <w:r>
        <w:rPr>
          <w:color w:val="auto"/>
          <w:u w:val="single"/>
        </w:rPr>
        <w:t>（请填写非自然人的非法人的具体证照名称）</w:t>
      </w:r>
      <w:r>
        <w:rPr>
          <w:color w:val="auto"/>
        </w:rPr>
        <w:t>复印件，该证明材料真实有效，否则我方负全部责任。</w:t>
      </w:r>
    </w:p>
    <w:p w14:paraId="095088FC">
      <w:pPr>
        <w:pStyle w:val="14"/>
        <w:ind w:firstLine="480"/>
        <w:jc w:val="center"/>
        <w:rPr>
          <w:rFonts w:hint="eastAsia" w:eastAsiaTheme="minorEastAsia"/>
          <w:color w:val="auto"/>
          <w:lang w:eastAsia="zh-CN"/>
        </w:rPr>
      </w:pPr>
      <w:r>
        <w:rPr>
          <w:color w:val="auto"/>
        </w:rPr>
        <w:t>□现附上由</w:t>
      </w:r>
      <w:r>
        <w:rPr>
          <w:color w:val="auto"/>
          <w:u w:val="single"/>
        </w:rPr>
        <w:t>（填写“签发机关全称”）</w:t>
      </w:r>
      <w:r>
        <w:rPr>
          <w:color w:val="auto"/>
        </w:rPr>
        <w:t>签发的我方统一社会信用代码</w:t>
      </w:r>
      <w:r>
        <w:rPr>
          <w:color w:val="auto"/>
          <w:u w:val="single"/>
        </w:rPr>
        <w:t>（请填写自然人的身份证件名称）</w:t>
      </w:r>
      <w:r>
        <w:rPr>
          <w:color w:val="auto"/>
        </w:rPr>
        <w:t>复印件，该证明材料真实有效，否则我方负全部责任。</w:t>
      </w:r>
    </w:p>
    <w:p w14:paraId="0E9DD932">
      <w:pPr>
        <w:pStyle w:val="14"/>
        <w:ind w:firstLine="480"/>
        <w:jc w:val="center"/>
        <w:rPr>
          <w:rFonts w:hint="eastAsia" w:eastAsiaTheme="minorEastAsia"/>
          <w:color w:val="auto"/>
          <w:lang w:eastAsia="zh-CN"/>
        </w:rPr>
      </w:pPr>
    </w:p>
    <w:p w14:paraId="4C1425A0">
      <w:pPr>
        <w:pStyle w:val="14"/>
        <w:ind w:firstLine="480"/>
        <w:jc w:val="center"/>
        <w:rPr>
          <w:rFonts w:hint="eastAsia" w:eastAsiaTheme="minorEastAsia"/>
          <w:color w:val="auto"/>
          <w:lang w:eastAsia="zh-CN"/>
        </w:rPr>
      </w:pPr>
    </w:p>
    <w:p w14:paraId="3E43CED3">
      <w:pPr>
        <w:pStyle w:val="14"/>
        <w:ind w:firstLine="480"/>
        <w:jc w:val="center"/>
        <w:rPr>
          <w:color w:val="auto"/>
        </w:rPr>
      </w:pPr>
      <w:r>
        <w:rPr>
          <w:color w:val="auto"/>
        </w:rPr>
        <w:t>※注意：</w:t>
      </w:r>
    </w:p>
    <w:p w14:paraId="7AE3E4BB">
      <w:pPr>
        <w:pStyle w:val="14"/>
        <w:ind w:firstLine="480"/>
        <w:jc w:val="center"/>
        <w:rPr>
          <w:color w:val="auto"/>
        </w:rPr>
      </w:pPr>
      <w:r>
        <w:rPr>
          <w:color w:val="auto"/>
        </w:rPr>
        <w:t>1、请供应商根据实际情况填写，在相应的（）中打“√”并选择相应的“□”（若有）后，再按照本格式的要求提供相应证明材料的复印件。</w:t>
      </w:r>
    </w:p>
    <w:p w14:paraId="556C87CD">
      <w:pPr>
        <w:pStyle w:val="14"/>
        <w:ind w:firstLine="480"/>
        <w:jc w:val="center"/>
        <w:rPr>
          <w:color w:val="auto"/>
        </w:rPr>
      </w:pPr>
      <w:r>
        <w:rPr>
          <w:color w:val="auto"/>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26237A04">
      <w:pPr>
        <w:pStyle w:val="14"/>
        <w:ind w:firstLine="480"/>
        <w:jc w:val="center"/>
        <w:rPr>
          <w:rFonts w:hint="eastAsia" w:eastAsiaTheme="minorEastAsia"/>
          <w:color w:val="auto"/>
          <w:lang w:eastAsia="zh-CN"/>
        </w:rPr>
      </w:pPr>
      <w:r>
        <w:rPr>
          <w:color w:val="auto"/>
        </w:rPr>
        <w:t>3、对于接受联合体形式的磋商且供应商是联合体的，则联合体各成员都应当提交本资格证明文件。</w:t>
      </w:r>
    </w:p>
    <w:p w14:paraId="742EBAA6">
      <w:pPr>
        <w:pStyle w:val="14"/>
        <w:ind w:firstLine="480"/>
        <w:jc w:val="center"/>
        <w:rPr>
          <w:rFonts w:hint="eastAsia" w:eastAsiaTheme="minorEastAsia"/>
          <w:color w:val="auto"/>
          <w:lang w:eastAsia="zh-CN"/>
        </w:rPr>
      </w:pPr>
    </w:p>
    <w:p w14:paraId="2A456696">
      <w:pPr>
        <w:pStyle w:val="14"/>
        <w:ind w:firstLine="480"/>
        <w:jc w:val="center"/>
        <w:rPr>
          <w:rFonts w:hint="eastAsia" w:eastAsiaTheme="minorEastAsia"/>
          <w:color w:val="auto"/>
          <w:lang w:eastAsia="zh-CN"/>
        </w:rPr>
      </w:pPr>
    </w:p>
    <w:p w14:paraId="3D5F33F5">
      <w:pPr>
        <w:pStyle w:val="14"/>
        <w:ind w:firstLine="480"/>
        <w:jc w:val="center"/>
        <w:rPr>
          <w:color w:val="auto"/>
        </w:rPr>
      </w:pPr>
      <w:r>
        <w:rPr>
          <w:color w:val="auto"/>
        </w:rPr>
        <w:t>供应商代表</w:t>
      </w:r>
      <w:r>
        <w:rPr>
          <w:color w:val="auto"/>
          <w:u w:val="single"/>
        </w:rPr>
        <w:t>　　　　　（签字）</w:t>
      </w:r>
    </w:p>
    <w:p w14:paraId="7086B226">
      <w:pPr>
        <w:pStyle w:val="14"/>
        <w:ind w:firstLine="480"/>
        <w:jc w:val="center"/>
        <w:rPr>
          <w:color w:val="auto"/>
        </w:rPr>
      </w:pPr>
      <w:r>
        <w:rPr>
          <w:color w:val="auto"/>
        </w:rPr>
        <w:t>供应商名称</w:t>
      </w:r>
      <w:r>
        <w:rPr>
          <w:color w:val="auto"/>
          <w:u w:val="single"/>
        </w:rPr>
        <w:t>　　　　　（全称并加盖公章）</w:t>
      </w:r>
    </w:p>
    <w:p w14:paraId="430C8AB3">
      <w:pPr>
        <w:pStyle w:val="14"/>
        <w:ind w:firstLine="480"/>
        <w:jc w:val="center"/>
        <w:rPr>
          <w:color w:val="auto"/>
        </w:rPr>
      </w:pPr>
      <w:r>
        <w:rPr>
          <w:color w:val="auto"/>
        </w:rPr>
        <w:t>日期：</w:t>
      </w:r>
      <w:r>
        <w:rPr>
          <w:color w:val="auto"/>
          <w:u w:val="single"/>
        </w:rPr>
        <w:t>　　</w:t>
      </w:r>
      <w:r>
        <w:rPr>
          <w:color w:val="auto"/>
        </w:rPr>
        <w:t>年</w:t>
      </w:r>
      <w:r>
        <w:rPr>
          <w:color w:val="auto"/>
          <w:u w:val="single"/>
        </w:rPr>
        <w:t>　　</w:t>
      </w:r>
      <w:r>
        <w:rPr>
          <w:color w:val="auto"/>
        </w:rPr>
        <w:t>月</w:t>
      </w:r>
      <w:r>
        <w:rPr>
          <w:color w:val="auto"/>
          <w:u w:val="single"/>
        </w:rPr>
        <w:t>　　</w:t>
      </w:r>
      <w:r>
        <w:rPr>
          <w:color w:val="auto"/>
        </w:rPr>
        <w:t>日</w:t>
      </w:r>
    </w:p>
    <w:p w14:paraId="073937E7">
      <w:pPr>
        <w:pStyle w:val="14"/>
        <w:jc w:val="center"/>
        <w:rPr>
          <w:color w:val="auto"/>
        </w:rPr>
      </w:pPr>
    </w:p>
    <w:p w14:paraId="10D0D9FF">
      <w:pPr>
        <w:pStyle w:val="14"/>
        <w:jc w:val="center"/>
        <w:rPr>
          <w:color w:val="auto"/>
        </w:rPr>
      </w:pPr>
      <w:r>
        <w:rPr>
          <w:color w:val="auto"/>
        </w:rPr>
        <w:t xml:space="preserve"> </w:t>
      </w:r>
    </w:p>
    <w:p w14:paraId="71C4021C">
      <w:pPr>
        <w:pStyle w:val="14"/>
        <w:jc w:val="center"/>
        <w:outlineLvl w:val="3"/>
        <w:rPr>
          <w:color w:val="auto"/>
        </w:rPr>
      </w:pPr>
      <w:r>
        <w:rPr>
          <w:b/>
          <w:color w:val="auto"/>
          <w:sz w:val="24"/>
        </w:rPr>
        <w:t>附件3-5   财务状况报告</w:t>
      </w:r>
    </w:p>
    <w:p w14:paraId="57499D0E">
      <w:pPr>
        <w:pStyle w:val="14"/>
        <w:ind w:firstLine="480"/>
        <w:jc w:val="center"/>
        <w:rPr>
          <w:color w:val="auto"/>
        </w:rPr>
      </w:pPr>
      <w:r>
        <w:rPr>
          <w:color w:val="auto"/>
        </w:rPr>
        <w:t>致：</w:t>
      </w:r>
      <w:r>
        <w:rPr>
          <w:color w:val="auto"/>
          <w:u w:val="single"/>
        </w:rPr>
        <w:t>（采购人或采购代理机构）</w:t>
      </w:r>
    </w:p>
    <w:p w14:paraId="0E9D0526">
      <w:pPr>
        <w:pStyle w:val="14"/>
        <w:ind w:firstLine="480"/>
        <w:jc w:val="center"/>
        <w:rPr>
          <w:color w:val="auto"/>
        </w:rPr>
      </w:pPr>
      <w:r>
        <w:rPr>
          <w:color w:val="auto"/>
        </w:rPr>
        <w:t>（ ）供应商提供财务报告的</w:t>
      </w:r>
    </w:p>
    <w:p w14:paraId="318E501F">
      <w:pPr>
        <w:pStyle w:val="14"/>
        <w:ind w:firstLine="480"/>
        <w:jc w:val="center"/>
        <w:rPr>
          <w:color w:val="auto"/>
        </w:rPr>
      </w:pPr>
      <w:r>
        <w:rPr>
          <w:color w:val="auto"/>
        </w:rPr>
        <w:t>□企业适用：现附上我方</w:t>
      </w:r>
      <w:r>
        <w:rPr>
          <w:color w:val="auto"/>
          <w:u w:val="single"/>
        </w:rPr>
        <w:t>（填写“具体的年度、或半年度、或季度”）</w:t>
      </w:r>
      <w:r>
        <w:rPr>
          <w:color w:val="auto"/>
        </w:rPr>
        <w:t>财务报告复印件，包括资产负债表、利润表、现金流量表、所有者权益变动表及其附注（若有）、会计师事务所营业执照和注册会计师资格证书，上述证明材料真实有效，否则我方负全部责任。</w:t>
      </w:r>
    </w:p>
    <w:p w14:paraId="229408D6">
      <w:pPr>
        <w:pStyle w:val="14"/>
        <w:ind w:firstLine="480"/>
        <w:jc w:val="center"/>
        <w:rPr>
          <w:color w:val="auto"/>
        </w:rPr>
      </w:pPr>
      <w:r>
        <w:rPr>
          <w:color w:val="auto"/>
        </w:rPr>
        <w:t>□事业单位适用：现附上我方</w:t>
      </w:r>
      <w:r>
        <w:rPr>
          <w:color w:val="auto"/>
          <w:u w:val="single"/>
        </w:rPr>
        <w:t>（填写“具体的年度、或半年度、或季度”）</w:t>
      </w:r>
      <w:r>
        <w:rPr>
          <w:color w:val="auto"/>
        </w:rPr>
        <w:t>财务报告复印件，包括资产负债表、收入支出表或收入费用表、财政补助收入支出表（若有）、会计师事务所营业执照和注册会计师资格证书，上述证明材料真实有效，否则我方负全部责任。</w:t>
      </w:r>
    </w:p>
    <w:p w14:paraId="3EA89963">
      <w:pPr>
        <w:pStyle w:val="14"/>
        <w:ind w:firstLine="480"/>
        <w:jc w:val="center"/>
        <w:rPr>
          <w:color w:val="auto"/>
        </w:rPr>
      </w:pPr>
      <w:r>
        <w:rPr>
          <w:color w:val="auto"/>
        </w:rPr>
        <w:t>□社会团体、民办非企单位适用：现附上我方</w:t>
      </w:r>
      <w:r>
        <w:rPr>
          <w:color w:val="auto"/>
          <w:u w:val="single"/>
        </w:rPr>
        <w:t>（填写“具体的年度、或半年度、或季度”）</w:t>
      </w:r>
      <w:r>
        <w:rPr>
          <w:color w:val="auto"/>
        </w:rPr>
        <w:t>财务报告复印件，包括资产负债表、业务活动表、现金流量表、会计师事务所营业执照和注册会计师资格证书，上述证明材料真实有效，否则我方负全部责任。</w:t>
      </w:r>
    </w:p>
    <w:p w14:paraId="75F7D8C4">
      <w:pPr>
        <w:pStyle w:val="14"/>
        <w:ind w:firstLine="480"/>
        <w:jc w:val="center"/>
        <w:rPr>
          <w:color w:val="auto"/>
        </w:rPr>
      </w:pPr>
      <w:r>
        <w:rPr>
          <w:color w:val="auto"/>
        </w:rPr>
        <w:t>（ ）供应商提供资信证明的</w:t>
      </w:r>
    </w:p>
    <w:p w14:paraId="4C60EECD">
      <w:pPr>
        <w:pStyle w:val="14"/>
        <w:ind w:firstLine="480"/>
        <w:jc w:val="center"/>
        <w:rPr>
          <w:color w:val="auto"/>
        </w:rPr>
      </w:pPr>
      <w:r>
        <w:rPr>
          <w:color w:val="auto"/>
        </w:rPr>
        <w:t>□非自然人适用（包括企业、事业单位、社会团体和其他组织）：现附上我方银行：</w:t>
      </w:r>
      <w:r>
        <w:rPr>
          <w:color w:val="auto"/>
          <w:u w:val="single"/>
        </w:rPr>
        <w:t>（填写“开户银行全称”）</w:t>
      </w:r>
      <w:r>
        <w:rPr>
          <w:color w:val="auto"/>
        </w:rPr>
        <w:t>出具的资信证明复印件，上述证明材料真实有效，否则我方负全部责任。</w:t>
      </w:r>
    </w:p>
    <w:p w14:paraId="7A7D5040">
      <w:pPr>
        <w:pStyle w:val="14"/>
        <w:ind w:firstLine="480"/>
        <w:jc w:val="center"/>
        <w:rPr>
          <w:rFonts w:hint="eastAsia" w:eastAsiaTheme="minorEastAsia"/>
          <w:color w:val="auto"/>
          <w:lang w:eastAsia="zh-CN"/>
        </w:rPr>
      </w:pPr>
      <w:r>
        <w:rPr>
          <w:color w:val="auto"/>
        </w:rPr>
        <w:t>□自然人适用（包括企业、事业单位、社会团体和其他组织）：现附上我方银行：</w:t>
      </w:r>
      <w:r>
        <w:rPr>
          <w:color w:val="auto"/>
          <w:u w:val="single"/>
        </w:rPr>
        <w:t>（填写自然人的“个人账户的开户银行全称”）</w:t>
      </w:r>
      <w:r>
        <w:rPr>
          <w:color w:val="auto"/>
        </w:rPr>
        <w:t>出具的资信证明复印件，上述证明材料真实有效，否则我方负全部责任。</w:t>
      </w:r>
    </w:p>
    <w:p w14:paraId="7BAE145F">
      <w:pPr>
        <w:pStyle w:val="14"/>
        <w:ind w:firstLine="480"/>
        <w:jc w:val="center"/>
        <w:rPr>
          <w:rFonts w:hint="eastAsia" w:eastAsiaTheme="minorEastAsia"/>
          <w:color w:val="auto"/>
          <w:lang w:eastAsia="zh-CN"/>
        </w:rPr>
      </w:pPr>
    </w:p>
    <w:p w14:paraId="1AB36723">
      <w:pPr>
        <w:pStyle w:val="14"/>
        <w:ind w:firstLine="480"/>
        <w:jc w:val="center"/>
        <w:rPr>
          <w:rFonts w:hint="eastAsia" w:eastAsiaTheme="minorEastAsia"/>
          <w:color w:val="auto"/>
          <w:lang w:eastAsia="zh-CN"/>
        </w:rPr>
      </w:pPr>
    </w:p>
    <w:p w14:paraId="2A12B920">
      <w:pPr>
        <w:pStyle w:val="14"/>
        <w:ind w:firstLine="480"/>
        <w:jc w:val="center"/>
        <w:rPr>
          <w:color w:val="auto"/>
        </w:rPr>
      </w:pPr>
      <w:r>
        <w:rPr>
          <w:color w:val="auto"/>
        </w:rPr>
        <w:t>※注意事项：</w:t>
      </w:r>
    </w:p>
    <w:p w14:paraId="79D7B3E5">
      <w:pPr>
        <w:pStyle w:val="14"/>
        <w:ind w:firstLine="480"/>
        <w:jc w:val="center"/>
        <w:rPr>
          <w:color w:val="auto"/>
        </w:rPr>
      </w:pPr>
      <w:r>
        <w:rPr>
          <w:color w:val="auto"/>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14:paraId="3650B14B">
      <w:pPr>
        <w:pStyle w:val="14"/>
        <w:ind w:firstLine="480"/>
        <w:jc w:val="center"/>
        <w:rPr>
          <w:color w:val="auto"/>
        </w:rPr>
      </w:pPr>
      <w:r>
        <w:rPr>
          <w:color w:val="auto"/>
        </w:rPr>
        <w:t>2、供应商提供的财务报告复印件（成立年限按照首次响应文件递交截止时间推算）应符合下列规定：</w:t>
      </w:r>
    </w:p>
    <w:p w14:paraId="45DF2B57">
      <w:pPr>
        <w:pStyle w:val="14"/>
        <w:ind w:firstLine="480"/>
        <w:jc w:val="center"/>
        <w:rPr>
          <w:color w:val="auto"/>
        </w:rPr>
      </w:pPr>
      <w:r>
        <w:rPr>
          <w:color w:val="auto"/>
        </w:rPr>
        <w:t>2.1成立年限满1年及以上的供应商，提供经审计的上一年度的年度财务报告。</w:t>
      </w:r>
    </w:p>
    <w:p w14:paraId="28CAEE9D">
      <w:pPr>
        <w:pStyle w:val="14"/>
        <w:ind w:firstLine="480"/>
        <w:jc w:val="center"/>
        <w:rPr>
          <w:color w:val="auto"/>
        </w:rPr>
      </w:pPr>
      <w:r>
        <w:rPr>
          <w:color w:val="auto"/>
        </w:rPr>
        <w:t>2.2成立年限满半年但不足1年的供应商，提供该半年度中任一季度的季度财务报告或该半年度的半年度财务报告。</w:t>
      </w:r>
    </w:p>
    <w:p w14:paraId="0B3A0C8C">
      <w:pPr>
        <w:pStyle w:val="14"/>
        <w:jc w:val="center"/>
        <w:rPr>
          <w:color w:val="auto"/>
        </w:rPr>
      </w:pPr>
      <w:r>
        <w:rPr>
          <w:b/>
          <w:color w:val="auto"/>
        </w:rPr>
        <w:t>※无法按照本格式注意事项第2.1、2.2条规定提供财务报告复印件的供应商，应按照本格式注意事项的要求选择提供资信证明复印件。</w:t>
      </w:r>
    </w:p>
    <w:p w14:paraId="78AB20D0">
      <w:pPr>
        <w:pStyle w:val="14"/>
        <w:ind w:firstLine="480"/>
        <w:jc w:val="center"/>
        <w:rPr>
          <w:rFonts w:hint="eastAsia" w:eastAsiaTheme="minorEastAsia"/>
          <w:color w:val="auto"/>
          <w:lang w:eastAsia="zh-CN"/>
        </w:rPr>
      </w:pPr>
      <w:r>
        <w:rPr>
          <w:color w:val="auto"/>
        </w:rPr>
        <w:t>3、对于接受联合体形式的磋商且供应商是联合体的，则联合体各成员都应当提交本资格证明文件。</w:t>
      </w:r>
    </w:p>
    <w:p w14:paraId="4E0EE55B">
      <w:pPr>
        <w:pStyle w:val="14"/>
        <w:ind w:firstLine="480"/>
        <w:jc w:val="center"/>
        <w:rPr>
          <w:rFonts w:hint="eastAsia" w:eastAsiaTheme="minorEastAsia"/>
          <w:color w:val="auto"/>
          <w:lang w:eastAsia="zh-CN"/>
        </w:rPr>
      </w:pPr>
    </w:p>
    <w:p w14:paraId="1AECDE92">
      <w:pPr>
        <w:pStyle w:val="14"/>
        <w:ind w:firstLine="480"/>
        <w:jc w:val="center"/>
        <w:rPr>
          <w:rFonts w:hint="eastAsia" w:eastAsiaTheme="minorEastAsia"/>
          <w:color w:val="auto"/>
          <w:lang w:eastAsia="zh-CN"/>
        </w:rPr>
      </w:pPr>
    </w:p>
    <w:p w14:paraId="2FFA2970">
      <w:pPr>
        <w:pStyle w:val="14"/>
        <w:ind w:firstLine="480"/>
        <w:jc w:val="center"/>
        <w:rPr>
          <w:color w:val="auto"/>
        </w:rPr>
      </w:pPr>
      <w:r>
        <w:rPr>
          <w:color w:val="auto"/>
        </w:rPr>
        <w:t>供应商代表</w:t>
      </w:r>
      <w:r>
        <w:rPr>
          <w:color w:val="auto"/>
          <w:u w:val="single"/>
        </w:rPr>
        <w:t>　　　　　（签字）</w:t>
      </w:r>
    </w:p>
    <w:p w14:paraId="2F9AE73D">
      <w:pPr>
        <w:pStyle w:val="14"/>
        <w:ind w:firstLine="480"/>
        <w:jc w:val="center"/>
        <w:rPr>
          <w:color w:val="auto"/>
        </w:rPr>
      </w:pPr>
      <w:r>
        <w:rPr>
          <w:color w:val="auto"/>
        </w:rPr>
        <w:t>供应商名称</w:t>
      </w:r>
      <w:r>
        <w:rPr>
          <w:color w:val="auto"/>
          <w:u w:val="single"/>
        </w:rPr>
        <w:t>　　　　　（全称并加盖公章）</w:t>
      </w:r>
    </w:p>
    <w:p w14:paraId="7B963167">
      <w:pPr>
        <w:pStyle w:val="14"/>
        <w:ind w:firstLine="480"/>
        <w:jc w:val="center"/>
        <w:rPr>
          <w:color w:val="auto"/>
        </w:rPr>
      </w:pPr>
      <w:r>
        <w:rPr>
          <w:color w:val="auto"/>
        </w:rPr>
        <w:t>日期：</w:t>
      </w:r>
      <w:r>
        <w:rPr>
          <w:color w:val="auto"/>
          <w:u w:val="single"/>
        </w:rPr>
        <w:t>　　</w:t>
      </w:r>
      <w:r>
        <w:rPr>
          <w:color w:val="auto"/>
        </w:rPr>
        <w:t>年</w:t>
      </w:r>
      <w:r>
        <w:rPr>
          <w:color w:val="auto"/>
          <w:u w:val="single"/>
        </w:rPr>
        <w:t>　　</w:t>
      </w:r>
      <w:r>
        <w:rPr>
          <w:color w:val="auto"/>
        </w:rPr>
        <w:t>月</w:t>
      </w:r>
      <w:r>
        <w:rPr>
          <w:color w:val="auto"/>
          <w:u w:val="single"/>
        </w:rPr>
        <w:t>　　</w:t>
      </w:r>
      <w:r>
        <w:rPr>
          <w:color w:val="auto"/>
        </w:rPr>
        <w:t>日</w:t>
      </w:r>
    </w:p>
    <w:p w14:paraId="0A34B6B3">
      <w:pPr>
        <w:pStyle w:val="14"/>
        <w:jc w:val="center"/>
        <w:rPr>
          <w:color w:val="auto"/>
        </w:rPr>
      </w:pPr>
    </w:p>
    <w:p w14:paraId="003EC73B">
      <w:pPr>
        <w:pStyle w:val="14"/>
        <w:jc w:val="center"/>
        <w:rPr>
          <w:color w:val="auto"/>
        </w:rPr>
      </w:pPr>
      <w:r>
        <w:rPr>
          <w:color w:val="auto"/>
        </w:rPr>
        <w:t xml:space="preserve"> </w:t>
      </w:r>
    </w:p>
    <w:p w14:paraId="1D1E7AC8">
      <w:pPr>
        <w:pStyle w:val="14"/>
        <w:jc w:val="center"/>
        <w:outlineLvl w:val="3"/>
        <w:rPr>
          <w:color w:val="auto"/>
        </w:rPr>
      </w:pPr>
      <w:r>
        <w:rPr>
          <w:b/>
          <w:color w:val="auto"/>
          <w:sz w:val="24"/>
        </w:rPr>
        <w:t>附件3-6  依法缴纳税收证明材料</w:t>
      </w:r>
    </w:p>
    <w:p w14:paraId="6685F057">
      <w:pPr>
        <w:pStyle w:val="14"/>
        <w:ind w:firstLine="480"/>
        <w:jc w:val="center"/>
        <w:rPr>
          <w:color w:val="auto"/>
        </w:rPr>
      </w:pPr>
      <w:r>
        <w:rPr>
          <w:color w:val="auto"/>
        </w:rPr>
        <w:t>致：</w:t>
      </w:r>
      <w:r>
        <w:rPr>
          <w:color w:val="auto"/>
          <w:u w:val="single"/>
        </w:rPr>
        <w:t>（采购人或采购代理机构）</w:t>
      </w:r>
    </w:p>
    <w:p w14:paraId="1627243D">
      <w:pPr>
        <w:pStyle w:val="14"/>
        <w:ind w:firstLine="480"/>
        <w:jc w:val="center"/>
        <w:rPr>
          <w:color w:val="auto"/>
        </w:rPr>
      </w:pPr>
      <w:r>
        <w:rPr>
          <w:color w:val="auto"/>
        </w:rPr>
        <w:t>1、依法缴纳税收的供应商</w:t>
      </w:r>
    </w:p>
    <w:p w14:paraId="54F69F5D">
      <w:pPr>
        <w:pStyle w:val="14"/>
        <w:ind w:firstLine="480"/>
        <w:jc w:val="center"/>
        <w:rPr>
          <w:color w:val="auto"/>
        </w:rPr>
      </w:pPr>
      <w:r>
        <w:rPr>
          <w:color w:val="auto"/>
        </w:rPr>
        <w:t>（  ）法人（包括企业、事业单位和社会团体）的</w:t>
      </w:r>
    </w:p>
    <w:p w14:paraId="05179CF2">
      <w:pPr>
        <w:pStyle w:val="14"/>
        <w:ind w:firstLine="480"/>
        <w:jc w:val="center"/>
        <w:rPr>
          <w:color w:val="auto"/>
        </w:rPr>
      </w:pPr>
      <w:r>
        <w:rPr>
          <w:color w:val="auto"/>
        </w:rPr>
        <w:t>现附上自</w:t>
      </w:r>
      <w:r>
        <w:rPr>
          <w:color w:val="auto"/>
          <w:u w:val="single"/>
        </w:rPr>
        <w:t>　　年　　月　　日</w:t>
      </w:r>
      <w:r>
        <w:rPr>
          <w:color w:val="auto"/>
        </w:rPr>
        <w:t>至</w:t>
      </w:r>
      <w:r>
        <w:rPr>
          <w:color w:val="auto"/>
          <w:u w:val="single"/>
        </w:rPr>
        <w:t>　　年　　月　　日</w:t>
      </w:r>
      <w:r>
        <w:rPr>
          <w:color w:val="auto"/>
        </w:rPr>
        <w:t>期间我方缴纳（包括但不限于税务机关出具的专用收据、税收缴纳证明或税收代缴银行的缴款收讫凭证）等税收凭据复印件，上述证明材料真实有效，否则我方负全部责任。</w:t>
      </w:r>
    </w:p>
    <w:p w14:paraId="5DD3ADEC">
      <w:pPr>
        <w:pStyle w:val="14"/>
        <w:ind w:firstLine="480"/>
        <w:jc w:val="center"/>
        <w:rPr>
          <w:color w:val="auto"/>
        </w:rPr>
      </w:pPr>
      <w:r>
        <w:rPr>
          <w:color w:val="auto"/>
        </w:rPr>
        <w:t>（ ）非法人（包括其他组织、自然人）的</w:t>
      </w:r>
    </w:p>
    <w:p w14:paraId="6713E99A">
      <w:pPr>
        <w:pStyle w:val="14"/>
        <w:ind w:firstLine="480"/>
        <w:jc w:val="center"/>
        <w:rPr>
          <w:color w:val="auto"/>
        </w:rPr>
      </w:pPr>
      <w:r>
        <w:rPr>
          <w:color w:val="auto"/>
        </w:rPr>
        <w:t>现附上自</w:t>
      </w:r>
      <w:r>
        <w:rPr>
          <w:color w:val="auto"/>
          <w:u w:val="single"/>
        </w:rPr>
        <w:t>　　年　　月　　日</w:t>
      </w:r>
      <w:r>
        <w:rPr>
          <w:color w:val="auto"/>
        </w:rPr>
        <w:t>至</w:t>
      </w:r>
      <w:r>
        <w:rPr>
          <w:color w:val="auto"/>
          <w:u w:val="single"/>
        </w:rPr>
        <w:t>　　年　　月　　日</w:t>
      </w:r>
      <w:r>
        <w:rPr>
          <w:color w:val="auto"/>
        </w:rPr>
        <w:t>期间我方缴纳（包括但不限于税务机关出具的专用收据、税收缴纳证明或税收代缴银行的缴款收讫凭证）等税收凭据复印件，上述证明材料真实有效，否则我方负全部责任。</w:t>
      </w:r>
    </w:p>
    <w:p w14:paraId="5BF5ADDE">
      <w:pPr>
        <w:pStyle w:val="14"/>
        <w:ind w:firstLine="480"/>
        <w:jc w:val="center"/>
        <w:rPr>
          <w:color w:val="auto"/>
        </w:rPr>
      </w:pPr>
      <w:r>
        <w:rPr>
          <w:color w:val="auto"/>
        </w:rPr>
        <w:t>2、依法减免税收的供应商</w:t>
      </w:r>
    </w:p>
    <w:p w14:paraId="63781609">
      <w:pPr>
        <w:pStyle w:val="14"/>
        <w:ind w:firstLine="480"/>
        <w:jc w:val="center"/>
        <w:rPr>
          <w:rFonts w:hint="eastAsia" w:eastAsiaTheme="minorEastAsia"/>
          <w:color w:val="auto"/>
          <w:lang w:eastAsia="zh-CN"/>
        </w:rPr>
      </w:pPr>
      <w:r>
        <w:rPr>
          <w:color w:val="auto"/>
        </w:rPr>
        <w:t>（ ）现附上我方依法免税证明材料复印件，上述证明材料真实有效，否则我方负全部责任。</w:t>
      </w:r>
    </w:p>
    <w:p w14:paraId="7155A46F">
      <w:pPr>
        <w:pStyle w:val="14"/>
        <w:ind w:firstLine="480"/>
        <w:jc w:val="center"/>
        <w:rPr>
          <w:rFonts w:hint="eastAsia" w:eastAsiaTheme="minorEastAsia"/>
          <w:color w:val="auto"/>
          <w:lang w:eastAsia="zh-CN"/>
        </w:rPr>
      </w:pPr>
    </w:p>
    <w:p w14:paraId="2984E8AF">
      <w:pPr>
        <w:pStyle w:val="14"/>
        <w:ind w:firstLine="480"/>
        <w:jc w:val="center"/>
        <w:rPr>
          <w:rFonts w:hint="eastAsia" w:eastAsiaTheme="minorEastAsia"/>
          <w:color w:val="auto"/>
          <w:lang w:eastAsia="zh-CN"/>
        </w:rPr>
      </w:pPr>
    </w:p>
    <w:p w14:paraId="7D5DEBED">
      <w:pPr>
        <w:pStyle w:val="14"/>
        <w:ind w:firstLine="480"/>
        <w:jc w:val="center"/>
        <w:rPr>
          <w:color w:val="auto"/>
        </w:rPr>
      </w:pPr>
      <w:r>
        <w:rPr>
          <w:color w:val="auto"/>
        </w:rPr>
        <w:t>※注意</w:t>
      </w:r>
    </w:p>
    <w:p w14:paraId="56B7B249">
      <w:pPr>
        <w:pStyle w:val="14"/>
        <w:ind w:firstLine="480"/>
        <w:jc w:val="center"/>
        <w:rPr>
          <w:color w:val="auto"/>
        </w:rPr>
      </w:pPr>
      <w:r>
        <w:rPr>
          <w:color w:val="auto"/>
        </w:rPr>
        <w:t>1、请供应商根据实际情况填写，在相应的（）中打“√”，并按照本格式的要求提供相应证明材料的复印件。</w:t>
      </w:r>
    </w:p>
    <w:p w14:paraId="167C7DD2">
      <w:pPr>
        <w:pStyle w:val="14"/>
        <w:ind w:firstLine="480"/>
        <w:jc w:val="center"/>
        <w:rPr>
          <w:color w:val="auto"/>
        </w:rPr>
      </w:pPr>
      <w:r>
        <w:rPr>
          <w:color w:val="auto"/>
        </w:rPr>
        <w:t>2、供应商提供的税收凭据复印件应符合下列规定：</w:t>
      </w:r>
    </w:p>
    <w:p w14:paraId="40368BB4">
      <w:pPr>
        <w:pStyle w:val="14"/>
        <w:ind w:firstLine="480"/>
        <w:jc w:val="center"/>
        <w:rPr>
          <w:color w:val="auto"/>
        </w:rPr>
      </w:pPr>
      <w:r>
        <w:rPr>
          <w:color w:val="auto"/>
        </w:rPr>
        <w:t>2.1首次响应文件递交截止时间前（不含截止时间的当月）已依法缴纳税收的供应商，提供首次响应文件递交截止时间前六个月（不含截止时间的当月）中任一月份的税收凭据复印件。</w:t>
      </w:r>
    </w:p>
    <w:p w14:paraId="50772008">
      <w:pPr>
        <w:pStyle w:val="14"/>
        <w:ind w:firstLine="480"/>
        <w:jc w:val="center"/>
        <w:rPr>
          <w:color w:val="auto"/>
        </w:rPr>
      </w:pPr>
      <w:r>
        <w:rPr>
          <w:color w:val="auto"/>
        </w:rPr>
        <w:t>2.2首次响应文件递交截止时间的当月成立的供应商，视同满足本项资格条件要求。</w:t>
      </w:r>
    </w:p>
    <w:p w14:paraId="5C7F38E3">
      <w:pPr>
        <w:pStyle w:val="14"/>
        <w:ind w:firstLine="480"/>
        <w:jc w:val="center"/>
        <w:rPr>
          <w:rFonts w:hint="eastAsia" w:eastAsiaTheme="minorEastAsia"/>
          <w:color w:val="auto"/>
          <w:lang w:eastAsia="zh-CN"/>
        </w:rPr>
      </w:pPr>
      <w:r>
        <w:rPr>
          <w:color w:val="auto"/>
        </w:rPr>
        <w:t>2.3若为依法免税范围的供应商，提供依法免税证明材料的，视同满足本项资格条件要求。</w:t>
      </w:r>
    </w:p>
    <w:p w14:paraId="0C7F19A1">
      <w:pPr>
        <w:pStyle w:val="14"/>
        <w:ind w:firstLine="480"/>
        <w:jc w:val="center"/>
        <w:rPr>
          <w:rFonts w:hint="eastAsia" w:eastAsiaTheme="minorEastAsia"/>
          <w:color w:val="auto"/>
          <w:lang w:eastAsia="zh-CN"/>
        </w:rPr>
      </w:pPr>
    </w:p>
    <w:p w14:paraId="0AD4887D">
      <w:pPr>
        <w:pStyle w:val="14"/>
        <w:ind w:firstLine="480"/>
        <w:jc w:val="center"/>
        <w:rPr>
          <w:rFonts w:hint="eastAsia" w:eastAsiaTheme="minorEastAsia"/>
          <w:color w:val="auto"/>
          <w:lang w:eastAsia="zh-CN"/>
        </w:rPr>
      </w:pPr>
    </w:p>
    <w:p w14:paraId="37FFE1B9">
      <w:pPr>
        <w:pStyle w:val="14"/>
        <w:ind w:firstLine="480"/>
        <w:jc w:val="center"/>
        <w:rPr>
          <w:color w:val="auto"/>
        </w:rPr>
      </w:pPr>
      <w:r>
        <w:rPr>
          <w:color w:val="auto"/>
        </w:rPr>
        <w:t>供应商代表</w:t>
      </w:r>
      <w:r>
        <w:rPr>
          <w:color w:val="auto"/>
          <w:u w:val="single"/>
        </w:rPr>
        <w:t>　　　　　（签字）</w:t>
      </w:r>
    </w:p>
    <w:p w14:paraId="225A3DD3">
      <w:pPr>
        <w:pStyle w:val="14"/>
        <w:ind w:firstLine="480"/>
        <w:jc w:val="center"/>
        <w:rPr>
          <w:color w:val="auto"/>
        </w:rPr>
      </w:pPr>
      <w:r>
        <w:rPr>
          <w:color w:val="auto"/>
        </w:rPr>
        <w:t>供应商名称</w:t>
      </w:r>
      <w:r>
        <w:rPr>
          <w:color w:val="auto"/>
          <w:u w:val="single"/>
        </w:rPr>
        <w:t>　　　　　（全称并加盖公章）</w:t>
      </w:r>
    </w:p>
    <w:p w14:paraId="23F77666">
      <w:pPr>
        <w:pStyle w:val="14"/>
        <w:ind w:firstLine="480"/>
        <w:jc w:val="center"/>
        <w:rPr>
          <w:color w:val="auto"/>
        </w:rPr>
      </w:pPr>
      <w:r>
        <w:rPr>
          <w:color w:val="auto"/>
        </w:rPr>
        <w:t>日期：</w:t>
      </w:r>
      <w:r>
        <w:rPr>
          <w:color w:val="auto"/>
          <w:u w:val="single"/>
        </w:rPr>
        <w:t>　　</w:t>
      </w:r>
      <w:r>
        <w:rPr>
          <w:color w:val="auto"/>
        </w:rPr>
        <w:t>年</w:t>
      </w:r>
      <w:r>
        <w:rPr>
          <w:color w:val="auto"/>
          <w:u w:val="single"/>
        </w:rPr>
        <w:t>　　</w:t>
      </w:r>
      <w:r>
        <w:rPr>
          <w:color w:val="auto"/>
        </w:rPr>
        <w:t>月</w:t>
      </w:r>
      <w:r>
        <w:rPr>
          <w:color w:val="auto"/>
          <w:u w:val="single"/>
        </w:rPr>
        <w:t>　　</w:t>
      </w:r>
      <w:r>
        <w:rPr>
          <w:color w:val="auto"/>
        </w:rPr>
        <w:t>日</w:t>
      </w:r>
    </w:p>
    <w:p w14:paraId="26A9D588">
      <w:pPr>
        <w:pStyle w:val="14"/>
        <w:jc w:val="center"/>
        <w:rPr>
          <w:color w:val="auto"/>
        </w:rPr>
      </w:pPr>
    </w:p>
    <w:p w14:paraId="1D759D8E">
      <w:pPr>
        <w:pStyle w:val="14"/>
        <w:jc w:val="center"/>
        <w:rPr>
          <w:color w:val="auto"/>
        </w:rPr>
      </w:pPr>
      <w:r>
        <w:rPr>
          <w:color w:val="auto"/>
        </w:rPr>
        <w:t xml:space="preserve"> </w:t>
      </w:r>
    </w:p>
    <w:p w14:paraId="65BD0B84">
      <w:pPr>
        <w:pStyle w:val="14"/>
        <w:jc w:val="center"/>
        <w:outlineLvl w:val="3"/>
        <w:rPr>
          <w:color w:val="auto"/>
        </w:rPr>
      </w:pPr>
      <w:r>
        <w:rPr>
          <w:b/>
          <w:color w:val="auto"/>
          <w:sz w:val="24"/>
        </w:rPr>
        <w:t>附件3-7  依法缴纳社会保障资金证明材料</w:t>
      </w:r>
    </w:p>
    <w:p w14:paraId="07CDEE30">
      <w:pPr>
        <w:pStyle w:val="14"/>
        <w:ind w:firstLine="480"/>
        <w:jc w:val="center"/>
        <w:rPr>
          <w:color w:val="auto"/>
        </w:rPr>
      </w:pPr>
      <w:r>
        <w:rPr>
          <w:color w:val="auto"/>
        </w:rPr>
        <w:t>致：</w:t>
      </w:r>
      <w:r>
        <w:rPr>
          <w:color w:val="auto"/>
          <w:u w:val="single"/>
        </w:rPr>
        <w:t>（采购人或采购代理机构）</w:t>
      </w:r>
    </w:p>
    <w:p w14:paraId="64DFDE06">
      <w:pPr>
        <w:pStyle w:val="14"/>
        <w:ind w:firstLine="480"/>
        <w:jc w:val="center"/>
        <w:rPr>
          <w:color w:val="auto"/>
        </w:rPr>
      </w:pPr>
      <w:r>
        <w:rPr>
          <w:color w:val="auto"/>
        </w:rPr>
        <w:t>1、依法缴纳社会保障资金的供应商</w:t>
      </w:r>
    </w:p>
    <w:p w14:paraId="7F515B31">
      <w:pPr>
        <w:pStyle w:val="14"/>
        <w:ind w:firstLine="480"/>
        <w:jc w:val="center"/>
        <w:rPr>
          <w:color w:val="auto"/>
        </w:rPr>
      </w:pPr>
      <w:r>
        <w:rPr>
          <w:color w:val="auto"/>
        </w:rPr>
        <w:t>（ ）法人（包括企业、事业单位和社会团体）的</w:t>
      </w:r>
    </w:p>
    <w:p w14:paraId="1164E1B6">
      <w:pPr>
        <w:pStyle w:val="14"/>
        <w:ind w:firstLine="480"/>
        <w:jc w:val="center"/>
        <w:rPr>
          <w:color w:val="auto"/>
        </w:rPr>
      </w:pPr>
      <w:r>
        <w:rPr>
          <w:color w:val="auto"/>
        </w:rPr>
        <w:t>现附上自</w:t>
      </w:r>
      <w:r>
        <w:rPr>
          <w:color w:val="auto"/>
          <w:u w:val="single"/>
        </w:rPr>
        <w:t>　　年　　月　　日</w:t>
      </w:r>
      <w:r>
        <w:rPr>
          <w:color w:val="auto"/>
        </w:rPr>
        <w:t>至</w:t>
      </w:r>
      <w:r>
        <w:rPr>
          <w:color w:val="auto"/>
          <w:u w:val="single"/>
        </w:rPr>
        <w:t>　　年　　月　　日</w:t>
      </w:r>
      <w:r>
        <w:rPr>
          <w:color w:val="auto"/>
        </w:rPr>
        <w:t>我方缴纳的社会保险凭据（限：税务机关/社会保障资金管理机关的专用收据或社会保险缴纳清单，或社会保险的银行缴款收讫凭证）复印件，上述证明材料真实有效，否则我方负全部责任。</w:t>
      </w:r>
    </w:p>
    <w:p w14:paraId="07D6B0AC">
      <w:pPr>
        <w:pStyle w:val="14"/>
        <w:ind w:firstLine="480"/>
        <w:jc w:val="center"/>
        <w:rPr>
          <w:color w:val="auto"/>
        </w:rPr>
      </w:pPr>
      <w:r>
        <w:rPr>
          <w:color w:val="auto"/>
        </w:rPr>
        <w:t>（ ）非法人（包括其他组织、自然人）的</w:t>
      </w:r>
    </w:p>
    <w:p w14:paraId="51B55509">
      <w:pPr>
        <w:pStyle w:val="14"/>
        <w:ind w:firstLine="480"/>
        <w:jc w:val="center"/>
        <w:rPr>
          <w:color w:val="auto"/>
        </w:rPr>
      </w:pPr>
      <w:r>
        <w:rPr>
          <w:color w:val="auto"/>
        </w:rPr>
        <w:t>自</w:t>
      </w:r>
      <w:r>
        <w:rPr>
          <w:color w:val="auto"/>
          <w:u w:val="single"/>
        </w:rPr>
        <w:t>　　年　　月　　日</w:t>
      </w:r>
      <w:r>
        <w:rPr>
          <w:color w:val="auto"/>
        </w:rPr>
        <w:t>至</w:t>
      </w:r>
      <w:r>
        <w:rPr>
          <w:color w:val="auto"/>
          <w:u w:val="single"/>
        </w:rPr>
        <w:t>　　年　　月　　日</w:t>
      </w:r>
      <w:r>
        <w:rPr>
          <w:color w:val="auto"/>
        </w:rPr>
        <w:t>我方缴纳的社会保险凭据（限：税务机关/社会保障资金管理机关的专用收据或社会保险缴纳清单，或社会保险的银行缴款收讫凭证）复印件，上述证明材料真实有效，否则我方负全部责任。</w:t>
      </w:r>
    </w:p>
    <w:p w14:paraId="4206DC63">
      <w:pPr>
        <w:pStyle w:val="14"/>
        <w:ind w:firstLine="480"/>
        <w:jc w:val="center"/>
        <w:rPr>
          <w:color w:val="auto"/>
        </w:rPr>
      </w:pPr>
      <w:r>
        <w:rPr>
          <w:color w:val="auto"/>
        </w:rPr>
        <w:t>2、依法不需要缴纳或暂缓缴纳社会保障资金的供应商</w:t>
      </w:r>
    </w:p>
    <w:p w14:paraId="629411E3">
      <w:pPr>
        <w:pStyle w:val="14"/>
        <w:ind w:firstLine="480"/>
        <w:jc w:val="center"/>
        <w:rPr>
          <w:rFonts w:hint="eastAsia" w:eastAsiaTheme="minorEastAsia"/>
          <w:color w:val="auto"/>
          <w:lang w:eastAsia="zh-CN"/>
        </w:rPr>
      </w:pPr>
      <w:r>
        <w:rPr>
          <w:color w:val="auto"/>
        </w:rPr>
        <w:t>（）现附上我方依法不需要缴纳社会保障资金证明材料复印件，上述证明材料真实有效，否则我方负全部责任。</w:t>
      </w:r>
    </w:p>
    <w:p w14:paraId="07F6F98F">
      <w:pPr>
        <w:pStyle w:val="14"/>
        <w:ind w:firstLine="480"/>
        <w:jc w:val="center"/>
        <w:rPr>
          <w:rFonts w:hint="eastAsia" w:eastAsiaTheme="minorEastAsia"/>
          <w:color w:val="auto"/>
          <w:lang w:eastAsia="zh-CN"/>
        </w:rPr>
      </w:pPr>
    </w:p>
    <w:p w14:paraId="38CC04C2">
      <w:pPr>
        <w:pStyle w:val="14"/>
        <w:ind w:firstLine="480"/>
        <w:jc w:val="center"/>
        <w:rPr>
          <w:rFonts w:hint="eastAsia" w:eastAsiaTheme="minorEastAsia"/>
          <w:color w:val="auto"/>
          <w:lang w:eastAsia="zh-CN"/>
        </w:rPr>
      </w:pPr>
    </w:p>
    <w:p w14:paraId="07C73F26">
      <w:pPr>
        <w:pStyle w:val="14"/>
        <w:ind w:firstLine="480"/>
        <w:jc w:val="center"/>
        <w:rPr>
          <w:color w:val="auto"/>
        </w:rPr>
      </w:pPr>
      <w:r>
        <w:rPr>
          <w:color w:val="auto"/>
        </w:rPr>
        <w:t>※注意</w:t>
      </w:r>
    </w:p>
    <w:p w14:paraId="225EBA1A">
      <w:pPr>
        <w:pStyle w:val="14"/>
        <w:ind w:firstLine="480"/>
        <w:jc w:val="center"/>
        <w:rPr>
          <w:color w:val="auto"/>
        </w:rPr>
      </w:pPr>
      <w:r>
        <w:rPr>
          <w:color w:val="auto"/>
        </w:rPr>
        <w:t>1、请供应商根据实际情况填写，在相应的（）中打“√”，并按照本格式的要求提供相应证明材料的复印件。</w:t>
      </w:r>
    </w:p>
    <w:p w14:paraId="70FC12DB">
      <w:pPr>
        <w:pStyle w:val="14"/>
        <w:ind w:firstLine="480"/>
        <w:jc w:val="center"/>
        <w:rPr>
          <w:color w:val="auto"/>
        </w:rPr>
      </w:pPr>
      <w:r>
        <w:rPr>
          <w:color w:val="auto"/>
        </w:rPr>
        <w:t>2、供应商提供的社会保险凭据复印件应符合下列规定：</w:t>
      </w:r>
    </w:p>
    <w:p w14:paraId="6154C8E6">
      <w:pPr>
        <w:pStyle w:val="14"/>
        <w:ind w:firstLine="480"/>
        <w:jc w:val="center"/>
        <w:rPr>
          <w:color w:val="auto"/>
        </w:rPr>
      </w:pPr>
      <w:r>
        <w:rPr>
          <w:color w:val="auto"/>
        </w:rPr>
        <w:t>2.1首次响应文件递交截止时间前（不含截止时间的当月）已依法缴纳社会保障资金的投供应商，提供首次响应文件递交截止时间前六个月（不含截止时间的当月）中任一月份的社会保险凭据复印件。</w:t>
      </w:r>
    </w:p>
    <w:p w14:paraId="6C9B96A8">
      <w:pPr>
        <w:pStyle w:val="14"/>
        <w:ind w:firstLine="480"/>
        <w:jc w:val="center"/>
        <w:rPr>
          <w:color w:val="auto"/>
        </w:rPr>
      </w:pPr>
      <w:r>
        <w:rPr>
          <w:color w:val="auto"/>
        </w:rPr>
        <w:t>2.2首次响应文件递交截止时间的当月成立的供应商，视同满足本项资格条件要求。</w:t>
      </w:r>
    </w:p>
    <w:p w14:paraId="153DF7F7">
      <w:pPr>
        <w:pStyle w:val="14"/>
        <w:ind w:firstLine="480"/>
        <w:jc w:val="center"/>
        <w:rPr>
          <w:rFonts w:hint="eastAsia" w:eastAsiaTheme="minorEastAsia"/>
          <w:color w:val="auto"/>
          <w:lang w:eastAsia="zh-CN"/>
        </w:rPr>
      </w:pPr>
      <w:r>
        <w:rPr>
          <w:color w:val="auto"/>
        </w:rPr>
        <w:t>2.3若为依法不需要缴纳或暂缓缴纳社会保障资金的供应商，提供依法不需要缴纳或暂缓缴纳社会保障资金证明材料的，视同满足本项资格条件要求。</w:t>
      </w:r>
    </w:p>
    <w:p w14:paraId="72871190">
      <w:pPr>
        <w:pStyle w:val="14"/>
        <w:ind w:firstLine="480"/>
        <w:jc w:val="center"/>
        <w:rPr>
          <w:rFonts w:hint="eastAsia" w:eastAsiaTheme="minorEastAsia"/>
          <w:color w:val="auto"/>
          <w:lang w:eastAsia="zh-CN"/>
        </w:rPr>
      </w:pPr>
    </w:p>
    <w:p w14:paraId="253A9D25">
      <w:pPr>
        <w:pStyle w:val="14"/>
        <w:ind w:firstLine="480"/>
        <w:jc w:val="center"/>
        <w:rPr>
          <w:rFonts w:hint="eastAsia" w:eastAsiaTheme="minorEastAsia"/>
          <w:color w:val="auto"/>
          <w:lang w:eastAsia="zh-CN"/>
        </w:rPr>
      </w:pPr>
    </w:p>
    <w:p w14:paraId="59DEFE27">
      <w:pPr>
        <w:pStyle w:val="14"/>
        <w:ind w:firstLine="480"/>
        <w:jc w:val="center"/>
        <w:rPr>
          <w:color w:val="auto"/>
        </w:rPr>
      </w:pPr>
      <w:r>
        <w:rPr>
          <w:color w:val="auto"/>
        </w:rPr>
        <w:t>供应商代表</w:t>
      </w:r>
      <w:r>
        <w:rPr>
          <w:color w:val="auto"/>
          <w:u w:val="single"/>
        </w:rPr>
        <w:t>　　　　　（签字）</w:t>
      </w:r>
    </w:p>
    <w:p w14:paraId="66462979">
      <w:pPr>
        <w:pStyle w:val="14"/>
        <w:ind w:firstLine="480"/>
        <w:jc w:val="center"/>
        <w:rPr>
          <w:color w:val="auto"/>
        </w:rPr>
      </w:pPr>
      <w:r>
        <w:rPr>
          <w:color w:val="auto"/>
        </w:rPr>
        <w:t>供应商名称</w:t>
      </w:r>
      <w:r>
        <w:rPr>
          <w:color w:val="auto"/>
          <w:u w:val="single"/>
        </w:rPr>
        <w:t>　　　　　（全称并加盖公章）</w:t>
      </w:r>
    </w:p>
    <w:p w14:paraId="1E78AAE3">
      <w:pPr>
        <w:pStyle w:val="14"/>
        <w:ind w:firstLine="480"/>
        <w:jc w:val="center"/>
        <w:rPr>
          <w:color w:val="auto"/>
        </w:rPr>
      </w:pPr>
      <w:r>
        <w:rPr>
          <w:color w:val="auto"/>
        </w:rPr>
        <w:t>日期：</w:t>
      </w:r>
      <w:r>
        <w:rPr>
          <w:color w:val="auto"/>
          <w:u w:val="single"/>
        </w:rPr>
        <w:t>　　</w:t>
      </w:r>
      <w:r>
        <w:rPr>
          <w:color w:val="auto"/>
        </w:rPr>
        <w:t>年</w:t>
      </w:r>
      <w:r>
        <w:rPr>
          <w:color w:val="auto"/>
          <w:u w:val="single"/>
        </w:rPr>
        <w:t>　　</w:t>
      </w:r>
      <w:r>
        <w:rPr>
          <w:color w:val="auto"/>
        </w:rPr>
        <w:t>月</w:t>
      </w:r>
      <w:r>
        <w:rPr>
          <w:color w:val="auto"/>
          <w:u w:val="single"/>
        </w:rPr>
        <w:t>　　</w:t>
      </w:r>
      <w:r>
        <w:rPr>
          <w:color w:val="auto"/>
        </w:rPr>
        <w:t>日</w:t>
      </w:r>
    </w:p>
    <w:p w14:paraId="1C886D9B">
      <w:pPr>
        <w:pStyle w:val="14"/>
        <w:jc w:val="center"/>
        <w:rPr>
          <w:color w:val="auto"/>
        </w:rPr>
      </w:pPr>
    </w:p>
    <w:p w14:paraId="5C67A955">
      <w:pPr>
        <w:pStyle w:val="14"/>
        <w:jc w:val="center"/>
        <w:rPr>
          <w:color w:val="auto"/>
        </w:rPr>
      </w:pPr>
      <w:r>
        <w:rPr>
          <w:color w:val="auto"/>
        </w:rPr>
        <w:t xml:space="preserve"> </w:t>
      </w:r>
    </w:p>
    <w:p w14:paraId="5D1CBD36">
      <w:pPr>
        <w:pStyle w:val="14"/>
        <w:jc w:val="center"/>
        <w:outlineLvl w:val="3"/>
        <w:rPr>
          <w:color w:val="auto"/>
        </w:rPr>
      </w:pPr>
      <w:r>
        <w:rPr>
          <w:b/>
          <w:color w:val="auto"/>
          <w:sz w:val="24"/>
        </w:rPr>
        <w:t>附件3-8  具备履行合同所必需设备和专业技术能力证明材料</w:t>
      </w:r>
    </w:p>
    <w:p w14:paraId="1CCB8898">
      <w:pPr>
        <w:pStyle w:val="14"/>
        <w:jc w:val="center"/>
        <w:outlineLvl w:val="3"/>
        <w:rPr>
          <w:color w:val="auto"/>
        </w:rPr>
      </w:pPr>
      <w:r>
        <w:rPr>
          <w:b/>
          <w:color w:val="auto"/>
          <w:sz w:val="24"/>
        </w:rPr>
        <w:t>声明函</w:t>
      </w:r>
    </w:p>
    <w:p w14:paraId="3D7E1724">
      <w:pPr>
        <w:pStyle w:val="14"/>
        <w:ind w:firstLine="480"/>
        <w:jc w:val="center"/>
        <w:rPr>
          <w:color w:val="auto"/>
        </w:rPr>
      </w:pPr>
      <w:r>
        <w:rPr>
          <w:color w:val="auto"/>
        </w:rPr>
        <w:t>致：</w:t>
      </w:r>
      <w:r>
        <w:rPr>
          <w:color w:val="auto"/>
          <w:u w:val="single"/>
        </w:rPr>
        <w:t>（采购人或采购代理机构）</w:t>
      </w:r>
    </w:p>
    <w:p w14:paraId="3A5D8BD7">
      <w:pPr>
        <w:pStyle w:val="14"/>
        <w:ind w:firstLine="480"/>
        <w:jc w:val="center"/>
        <w:rPr>
          <w:color w:val="auto"/>
        </w:rPr>
      </w:pPr>
      <w:r>
        <w:rPr>
          <w:color w:val="auto"/>
        </w:rPr>
        <w:t>我方具备履行合同所必需的设备和专业技术能力，并对本声明承诺的真实性负责，否则产生不利后果由我方承担责任。</w:t>
      </w:r>
    </w:p>
    <w:p w14:paraId="38410A19">
      <w:pPr>
        <w:pStyle w:val="14"/>
        <w:ind w:firstLine="480"/>
        <w:jc w:val="center"/>
        <w:rPr>
          <w:rFonts w:hint="eastAsia" w:eastAsiaTheme="minorEastAsia"/>
          <w:color w:val="auto"/>
          <w:lang w:eastAsia="zh-CN"/>
        </w:rPr>
      </w:pPr>
      <w:r>
        <w:rPr>
          <w:color w:val="auto"/>
        </w:rPr>
        <w:t>特此声明。</w:t>
      </w:r>
    </w:p>
    <w:p w14:paraId="7CED5210">
      <w:pPr>
        <w:pStyle w:val="14"/>
        <w:ind w:firstLine="480"/>
        <w:jc w:val="center"/>
        <w:rPr>
          <w:rFonts w:hint="eastAsia" w:eastAsiaTheme="minorEastAsia"/>
          <w:color w:val="auto"/>
          <w:lang w:eastAsia="zh-CN"/>
        </w:rPr>
      </w:pPr>
    </w:p>
    <w:p w14:paraId="4487B8C3">
      <w:pPr>
        <w:pStyle w:val="14"/>
        <w:ind w:firstLine="480"/>
        <w:jc w:val="center"/>
        <w:rPr>
          <w:rFonts w:hint="eastAsia" w:eastAsiaTheme="minorEastAsia"/>
          <w:color w:val="auto"/>
          <w:lang w:eastAsia="zh-CN"/>
        </w:rPr>
      </w:pPr>
    </w:p>
    <w:p w14:paraId="4721E8C4">
      <w:pPr>
        <w:pStyle w:val="14"/>
        <w:ind w:firstLine="480"/>
        <w:jc w:val="center"/>
        <w:rPr>
          <w:color w:val="auto"/>
        </w:rPr>
      </w:pPr>
      <w:r>
        <w:rPr>
          <w:color w:val="auto"/>
        </w:rPr>
        <w:t>※注意：</w:t>
      </w:r>
    </w:p>
    <w:p w14:paraId="183AD199">
      <w:pPr>
        <w:pStyle w:val="14"/>
        <w:ind w:firstLine="480"/>
        <w:jc w:val="center"/>
        <w:rPr>
          <w:color w:val="auto"/>
        </w:rPr>
      </w:pPr>
      <w:r>
        <w:rPr>
          <w:color w:val="auto"/>
        </w:rPr>
        <w:t>1.磋商文件“供应商的资格”中特定资格条件如果没有特别规定，则由供应商在响应文件中按上述格式提供其具备履行合同所必需的设备和专业技术能力的声明即可，声明函应加盖供应商单位公章。。</w:t>
      </w:r>
    </w:p>
    <w:p w14:paraId="32C71FC2">
      <w:pPr>
        <w:pStyle w:val="14"/>
        <w:ind w:firstLine="480"/>
        <w:jc w:val="center"/>
        <w:rPr>
          <w:color w:val="auto"/>
        </w:rPr>
      </w:pPr>
      <w:r>
        <w:rPr>
          <w:color w:val="auto"/>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14:paraId="0052A569">
      <w:pPr>
        <w:pStyle w:val="14"/>
        <w:ind w:firstLine="480"/>
        <w:jc w:val="center"/>
        <w:rPr>
          <w:rFonts w:hint="eastAsia" w:eastAsiaTheme="minorEastAsia"/>
          <w:color w:val="auto"/>
          <w:lang w:eastAsia="zh-CN"/>
        </w:rPr>
      </w:pPr>
      <w:r>
        <w:rPr>
          <w:color w:val="auto"/>
        </w:rPr>
        <w:t>3.对于接受联合体形式的磋商且供应商是联合体的，则联合体各成员都应当提交本资格证明文件。</w:t>
      </w:r>
    </w:p>
    <w:p w14:paraId="01792FC8">
      <w:pPr>
        <w:pStyle w:val="14"/>
        <w:ind w:firstLine="480"/>
        <w:jc w:val="center"/>
        <w:rPr>
          <w:rFonts w:hint="eastAsia" w:eastAsiaTheme="minorEastAsia"/>
          <w:color w:val="auto"/>
          <w:lang w:eastAsia="zh-CN"/>
        </w:rPr>
      </w:pPr>
    </w:p>
    <w:p w14:paraId="37B6F1EA">
      <w:pPr>
        <w:pStyle w:val="14"/>
        <w:ind w:firstLine="480"/>
        <w:jc w:val="center"/>
        <w:rPr>
          <w:rFonts w:hint="eastAsia" w:eastAsiaTheme="minorEastAsia"/>
          <w:color w:val="auto"/>
          <w:lang w:eastAsia="zh-CN"/>
        </w:rPr>
      </w:pPr>
    </w:p>
    <w:p w14:paraId="1CDC05E5">
      <w:pPr>
        <w:pStyle w:val="14"/>
        <w:ind w:firstLine="480"/>
        <w:jc w:val="center"/>
        <w:rPr>
          <w:color w:val="auto"/>
        </w:rPr>
      </w:pPr>
      <w:r>
        <w:rPr>
          <w:color w:val="auto"/>
        </w:rPr>
        <w:t>供应商代表</w:t>
      </w:r>
      <w:r>
        <w:rPr>
          <w:color w:val="auto"/>
          <w:u w:val="single"/>
        </w:rPr>
        <w:t>　　　　　（签字）</w:t>
      </w:r>
    </w:p>
    <w:p w14:paraId="5514E6B0">
      <w:pPr>
        <w:pStyle w:val="14"/>
        <w:ind w:firstLine="480"/>
        <w:jc w:val="center"/>
        <w:rPr>
          <w:color w:val="auto"/>
        </w:rPr>
      </w:pPr>
      <w:r>
        <w:rPr>
          <w:color w:val="auto"/>
        </w:rPr>
        <w:t>供应商名称</w:t>
      </w:r>
      <w:r>
        <w:rPr>
          <w:color w:val="auto"/>
          <w:u w:val="single"/>
        </w:rPr>
        <w:t>　　　　　（全称并加盖公章）</w:t>
      </w:r>
    </w:p>
    <w:p w14:paraId="6295F6B8">
      <w:pPr>
        <w:pStyle w:val="14"/>
        <w:ind w:firstLine="480"/>
        <w:jc w:val="center"/>
        <w:rPr>
          <w:color w:val="auto"/>
        </w:rPr>
      </w:pPr>
      <w:r>
        <w:rPr>
          <w:color w:val="auto"/>
        </w:rPr>
        <w:t>日期：</w:t>
      </w:r>
      <w:r>
        <w:rPr>
          <w:color w:val="auto"/>
          <w:u w:val="single"/>
        </w:rPr>
        <w:t>　　</w:t>
      </w:r>
      <w:r>
        <w:rPr>
          <w:color w:val="auto"/>
        </w:rPr>
        <w:t>年</w:t>
      </w:r>
      <w:r>
        <w:rPr>
          <w:color w:val="auto"/>
          <w:u w:val="single"/>
        </w:rPr>
        <w:t>　　</w:t>
      </w:r>
      <w:r>
        <w:rPr>
          <w:color w:val="auto"/>
        </w:rPr>
        <w:t>月</w:t>
      </w:r>
      <w:r>
        <w:rPr>
          <w:color w:val="auto"/>
          <w:u w:val="single"/>
        </w:rPr>
        <w:t>　　</w:t>
      </w:r>
      <w:r>
        <w:rPr>
          <w:color w:val="auto"/>
        </w:rPr>
        <w:t>日</w:t>
      </w:r>
    </w:p>
    <w:p w14:paraId="74B45401">
      <w:pPr>
        <w:pStyle w:val="14"/>
        <w:jc w:val="center"/>
        <w:rPr>
          <w:color w:val="auto"/>
        </w:rPr>
      </w:pPr>
    </w:p>
    <w:p w14:paraId="0A6B434D">
      <w:pPr>
        <w:pStyle w:val="14"/>
        <w:jc w:val="center"/>
        <w:rPr>
          <w:color w:val="auto"/>
        </w:rPr>
      </w:pPr>
      <w:r>
        <w:rPr>
          <w:color w:val="auto"/>
        </w:rPr>
        <w:t xml:space="preserve"> </w:t>
      </w:r>
    </w:p>
    <w:p w14:paraId="6EBC345E">
      <w:pPr>
        <w:pStyle w:val="14"/>
        <w:jc w:val="center"/>
        <w:outlineLvl w:val="3"/>
        <w:rPr>
          <w:color w:val="auto"/>
        </w:rPr>
      </w:pPr>
      <w:r>
        <w:rPr>
          <w:b/>
          <w:color w:val="auto"/>
          <w:sz w:val="24"/>
        </w:rPr>
        <w:t>附件3-9  信用记录查询结果</w:t>
      </w:r>
    </w:p>
    <w:p w14:paraId="0DDDC272">
      <w:pPr>
        <w:pStyle w:val="14"/>
        <w:ind w:firstLine="480"/>
        <w:jc w:val="center"/>
        <w:rPr>
          <w:color w:val="auto"/>
        </w:rPr>
      </w:pPr>
      <w:r>
        <w:rPr>
          <w:color w:val="auto"/>
        </w:rPr>
        <w:t>1、由磋商小组通过网站查询并打印供应商的信用记录。</w:t>
      </w:r>
    </w:p>
    <w:p w14:paraId="0E6B051D">
      <w:pPr>
        <w:pStyle w:val="14"/>
        <w:ind w:firstLine="480"/>
        <w:jc w:val="center"/>
        <w:rPr>
          <w:color w:val="auto"/>
        </w:rPr>
      </w:pPr>
      <w:r>
        <w:rPr>
          <w:color w:val="auto"/>
        </w:rPr>
        <w:t>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14:paraId="4F3A4F28">
      <w:pPr>
        <w:pStyle w:val="14"/>
        <w:ind w:firstLine="480"/>
        <w:jc w:val="center"/>
        <w:rPr>
          <w:color w:val="auto"/>
        </w:rPr>
      </w:pPr>
      <w:r>
        <w:rPr>
          <w:color w:val="auto"/>
        </w:rPr>
        <w:t>3、供应商应了解自身的信用记录情况。当供应商受到200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14:paraId="395DA49D">
      <w:pPr>
        <w:pStyle w:val="14"/>
        <w:jc w:val="center"/>
        <w:rPr>
          <w:color w:val="auto"/>
        </w:rPr>
      </w:pPr>
    </w:p>
    <w:p w14:paraId="66D1CB82">
      <w:pPr>
        <w:pStyle w:val="14"/>
        <w:jc w:val="center"/>
        <w:rPr>
          <w:color w:val="auto"/>
        </w:rPr>
      </w:pPr>
      <w:r>
        <w:rPr>
          <w:color w:val="auto"/>
        </w:rPr>
        <w:t xml:space="preserve"> </w:t>
      </w:r>
    </w:p>
    <w:p w14:paraId="6A0AA94F">
      <w:pPr>
        <w:pStyle w:val="14"/>
        <w:jc w:val="center"/>
        <w:outlineLvl w:val="3"/>
        <w:rPr>
          <w:color w:val="auto"/>
        </w:rPr>
      </w:pPr>
      <w:r>
        <w:rPr>
          <w:b/>
          <w:color w:val="auto"/>
          <w:sz w:val="24"/>
        </w:rPr>
        <w:t>附件3-10  联合体协议</w:t>
      </w:r>
    </w:p>
    <w:p w14:paraId="65EBE069">
      <w:pPr>
        <w:pStyle w:val="14"/>
        <w:jc w:val="center"/>
        <w:outlineLvl w:val="3"/>
        <w:rPr>
          <w:color w:val="auto"/>
        </w:rPr>
      </w:pPr>
      <w:r>
        <w:rPr>
          <w:b/>
          <w:color w:val="auto"/>
          <w:sz w:val="24"/>
        </w:rPr>
        <w:t>（接受联合体的项目使用）</w:t>
      </w:r>
    </w:p>
    <w:p w14:paraId="3D2F9D97">
      <w:pPr>
        <w:pStyle w:val="14"/>
        <w:ind w:firstLine="480"/>
        <w:jc w:val="center"/>
        <w:rPr>
          <w:color w:val="auto"/>
        </w:rPr>
      </w:pPr>
      <w:r>
        <w:rPr>
          <w:color w:val="auto"/>
        </w:rPr>
        <w:t>致：</w:t>
      </w:r>
      <w:r>
        <w:rPr>
          <w:color w:val="auto"/>
          <w:u w:val="single"/>
        </w:rPr>
        <w:t>（采购人或采购代理机构）</w:t>
      </w:r>
    </w:p>
    <w:p w14:paraId="188A94F2">
      <w:pPr>
        <w:pStyle w:val="14"/>
        <w:ind w:firstLine="480"/>
        <w:jc w:val="center"/>
        <w:rPr>
          <w:color w:val="auto"/>
        </w:rPr>
      </w:pPr>
      <w:r>
        <w:rPr>
          <w:color w:val="auto"/>
        </w:rPr>
        <w:t>兹有</w:t>
      </w:r>
      <w:r>
        <w:rPr>
          <w:color w:val="auto"/>
          <w:u w:val="single"/>
        </w:rPr>
        <w:t>（填写“联合体中各方的全称”，各方的全称之间请用“、”分割）</w:t>
      </w:r>
      <w:r>
        <w:rPr>
          <w:color w:val="auto"/>
        </w:rPr>
        <w:t>自愿组成联合体，共同参加</w:t>
      </w:r>
      <w:r>
        <w:rPr>
          <w:color w:val="auto"/>
          <w:u w:val="single"/>
        </w:rPr>
        <w:t>（填写“项目名称”）</w:t>
      </w:r>
      <w:r>
        <w:rPr>
          <w:color w:val="auto"/>
        </w:rPr>
        <w:t>项目（项目编号：</w:t>
      </w:r>
      <w:r>
        <w:rPr>
          <w:color w:val="auto"/>
          <w:u w:val="single"/>
        </w:rPr>
        <w:t>　　　　　　</w:t>
      </w:r>
      <w:r>
        <w:rPr>
          <w:color w:val="auto"/>
        </w:rPr>
        <w:t>）的响应磋商。现就联合体参加本项目响应磋商的有关事宜达成下列协议：</w:t>
      </w:r>
    </w:p>
    <w:p w14:paraId="3B23C8AF">
      <w:pPr>
        <w:pStyle w:val="14"/>
        <w:ind w:firstLine="480"/>
        <w:jc w:val="center"/>
        <w:rPr>
          <w:color w:val="auto"/>
        </w:rPr>
      </w:pPr>
      <w:r>
        <w:rPr>
          <w:color w:val="auto"/>
        </w:rPr>
        <w:t>一、联合体各方应承担的工作和义务具体如下：</w:t>
      </w:r>
    </w:p>
    <w:p w14:paraId="587FE43A">
      <w:pPr>
        <w:pStyle w:val="14"/>
        <w:ind w:firstLine="480"/>
        <w:jc w:val="center"/>
        <w:rPr>
          <w:color w:val="auto"/>
        </w:rPr>
      </w:pPr>
      <w:r>
        <w:rPr>
          <w:color w:val="auto"/>
        </w:rPr>
        <w:t>1、牵头方（全称）：</w:t>
      </w:r>
      <w:r>
        <w:rPr>
          <w:color w:val="auto"/>
          <w:u w:val="single"/>
        </w:rPr>
        <w:t>（填写“工作及义务的具体内容”）</w:t>
      </w:r>
      <w:r>
        <w:rPr>
          <w:color w:val="auto"/>
        </w:rPr>
        <w:t>；</w:t>
      </w:r>
    </w:p>
    <w:p w14:paraId="0FEB39B6">
      <w:pPr>
        <w:pStyle w:val="14"/>
        <w:ind w:firstLine="480"/>
        <w:jc w:val="center"/>
        <w:rPr>
          <w:color w:val="auto"/>
        </w:rPr>
      </w:pPr>
      <w:r>
        <w:rPr>
          <w:color w:val="auto"/>
        </w:rPr>
        <w:t>2、成员方：</w:t>
      </w:r>
    </w:p>
    <w:p w14:paraId="440F4835">
      <w:pPr>
        <w:pStyle w:val="14"/>
        <w:ind w:firstLine="480"/>
        <w:jc w:val="center"/>
        <w:rPr>
          <w:color w:val="auto"/>
        </w:rPr>
      </w:pPr>
      <w:r>
        <w:rPr>
          <w:color w:val="auto"/>
        </w:rPr>
        <w:t>2.1（成员一的全称）：</w:t>
      </w:r>
      <w:r>
        <w:rPr>
          <w:color w:val="auto"/>
          <w:u w:val="single"/>
        </w:rPr>
        <w:t>（填写“工作及义务的具体内容”）</w:t>
      </w:r>
      <w:r>
        <w:rPr>
          <w:color w:val="auto"/>
        </w:rPr>
        <w:t>；</w:t>
      </w:r>
    </w:p>
    <w:p w14:paraId="12846F08">
      <w:pPr>
        <w:pStyle w:val="14"/>
        <w:ind w:firstLine="480"/>
        <w:jc w:val="center"/>
        <w:rPr>
          <w:color w:val="auto"/>
        </w:rPr>
      </w:pPr>
      <w:r>
        <w:rPr>
          <w:color w:val="auto"/>
        </w:rPr>
        <w:t>……</w:t>
      </w:r>
    </w:p>
    <w:p w14:paraId="412E0D34">
      <w:pPr>
        <w:pStyle w:val="14"/>
        <w:ind w:firstLine="480"/>
        <w:jc w:val="center"/>
        <w:rPr>
          <w:color w:val="auto"/>
        </w:rPr>
      </w:pPr>
      <w:r>
        <w:rPr>
          <w:color w:val="auto"/>
        </w:rPr>
        <w:t>二、联合体各方的合同金额占比，具体如下：</w:t>
      </w:r>
    </w:p>
    <w:p w14:paraId="4D15533F">
      <w:pPr>
        <w:pStyle w:val="14"/>
        <w:ind w:firstLine="480"/>
        <w:jc w:val="center"/>
        <w:rPr>
          <w:color w:val="auto"/>
        </w:rPr>
      </w:pPr>
      <w:r>
        <w:rPr>
          <w:color w:val="auto"/>
        </w:rPr>
        <w:t>1.牵头方（</w:t>
      </w:r>
      <w:r>
        <w:rPr>
          <w:color w:val="auto"/>
          <w:u w:val="single"/>
        </w:rPr>
        <w:t>全称</w:t>
      </w:r>
      <w:r>
        <w:rPr>
          <w:color w:val="auto"/>
        </w:rPr>
        <w:t>）的合同金额占合同总额的</w:t>
      </w:r>
      <w:r>
        <w:rPr>
          <w:color w:val="auto"/>
          <w:u w:val="single"/>
        </w:rPr>
        <w:t>　　</w:t>
      </w:r>
      <w:r>
        <w:rPr>
          <w:color w:val="auto"/>
        </w:rPr>
        <w:t>%；</w:t>
      </w:r>
    </w:p>
    <w:p w14:paraId="49071FCA">
      <w:pPr>
        <w:pStyle w:val="14"/>
        <w:ind w:firstLine="480"/>
        <w:jc w:val="center"/>
        <w:rPr>
          <w:color w:val="auto"/>
        </w:rPr>
      </w:pPr>
      <w:r>
        <w:rPr>
          <w:color w:val="auto"/>
        </w:rPr>
        <w:t>2.成员方：</w:t>
      </w:r>
    </w:p>
    <w:p w14:paraId="76740F5B">
      <w:pPr>
        <w:pStyle w:val="14"/>
        <w:ind w:firstLine="480"/>
        <w:jc w:val="center"/>
        <w:rPr>
          <w:color w:val="auto"/>
        </w:rPr>
      </w:pPr>
      <w:r>
        <w:rPr>
          <w:color w:val="auto"/>
        </w:rPr>
        <w:t>2.1（</w:t>
      </w:r>
      <w:r>
        <w:rPr>
          <w:color w:val="auto"/>
          <w:u w:val="single"/>
        </w:rPr>
        <w:t>成员1的全称</w:t>
      </w:r>
      <w:r>
        <w:rPr>
          <w:color w:val="auto"/>
        </w:rPr>
        <w:t>）的合同金额占合同总额的</w:t>
      </w:r>
      <w:r>
        <w:rPr>
          <w:color w:val="auto"/>
          <w:u w:val="single"/>
        </w:rPr>
        <w:t>　　</w:t>
      </w:r>
      <w:r>
        <w:rPr>
          <w:color w:val="auto"/>
        </w:rPr>
        <w:t>%；</w:t>
      </w:r>
    </w:p>
    <w:p w14:paraId="4D15E968">
      <w:pPr>
        <w:pStyle w:val="14"/>
        <w:ind w:firstLine="480"/>
        <w:jc w:val="center"/>
        <w:rPr>
          <w:color w:val="auto"/>
        </w:rPr>
      </w:pPr>
      <w:r>
        <w:rPr>
          <w:color w:val="auto"/>
        </w:rPr>
        <w:t>……</w:t>
      </w:r>
    </w:p>
    <w:p w14:paraId="478B2394">
      <w:pPr>
        <w:pStyle w:val="14"/>
        <w:ind w:firstLine="480"/>
        <w:jc w:val="center"/>
        <w:rPr>
          <w:color w:val="auto"/>
        </w:rPr>
      </w:pPr>
      <w:r>
        <w:rPr>
          <w:color w:val="auto"/>
        </w:rPr>
        <w:t>三、联合体各方约定：</w:t>
      </w:r>
    </w:p>
    <w:p w14:paraId="550B0155">
      <w:pPr>
        <w:pStyle w:val="14"/>
        <w:ind w:firstLine="480"/>
        <w:jc w:val="center"/>
        <w:rPr>
          <w:color w:val="auto"/>
        </w:rPr>
      </w:pPr>
      <w:r>
        <w:rPr>
          <w:color w:val="auto"/>
        </w:rPr>
        <w:t>1、由</w:t>
      </w:r>
      <w:r>
        <w:rPr>
          <w:color w:val="auto"/>
          <w:u w:val="single"/>
        </w:rPr>
        <w:t>（填写“牵头方的全称”）代表联合体办理参加本项目报价的有关事宜（包括但不限于：注册账号、派出供应商代表、提交电子响应文件及参加开标、谈判、澄清等），在此过程中，供应商代表签字的一切文件和处理结果，联合体均予以认可并对此承担责任。</w:t>
      </w:r>
    </w:p>
    <w:p w14:paraId="153C5C8D">
      <w:pPr>
        <w:pStyle w:val="14"/>
        <w:ind w:firstLine="480"/>
        <w:jc w:val="center"/>
        <w:rPr>
          <w:color w:val="auto"/>
        </w:rPr>
      </w:pPr>
      <w:r>
        <w:rPr>
          <w:color w:val="auto"/>
        </w:rPr>
        <w:t>2、联合体各方约定由</w:t>
      </w:r>
      <w:r>
        <w:rPr>
          <w:color w:val="auto"/>
          <w:u w:val="single"/>
        </w:rPr>
        <w:t>（填写“牵头方的全称”）代表联合体办理磋商保证金事宜。</w:t>
      </w:r>
    </w:p>
    <w:p w14:paraId="042952E0">
      <w:pPr>
        <w:pStyle w:val="14"/>
        <w:ind w:firstLine="480"/>
        <w:jc w:val="center"/>
        <w:rPr>
          <w:color w:val="auto"/>
        </w:rPr>
      </w:pPr>
      <w:r>
        <w:rPr>
          <w:color w:val="auto"/>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1DC3883B">
      <w:pPr>
        <w:pStyle w:val="14"/>
        <w:ind w:firstLine="480"/>
        <w:jc w:val="center"/>
        <w:rPr>
          <w:color w:val="auto"/>
        </w:rPr>
      </w:pPr>
      <w:r>
        <w:rPr>
          <w:color w:val="auto"/>
        </w:rPr>
        <w:t>四、若中标，牵头方将代表联合体与采购人就合同签订事宜进行协商；若协商一致，则联合体各方将共同与采购人签订政府采购合同，并就政府采购合同约定的事项对采购人承担连带责任。</w:t>
      </w:r>
    </w:p>
    <w:p w14:paraId="36D48D02">
      <w:pPr>
        <w:pStyle w:val="14"/>
        <w:ind w:firstLine="480"/>
        <w:jc w:val="center"/>
        <w:rPr>
          <w:color w:val="auto"/>
        </w:rPr>
      </w:pPr>
      <w:r>
        <w:rPr>
          <w:color w:val="auto"/>
        </w:rPr>
        <w:t>五、本协议自签署之日起生效，政府采购合同履行完毕后自动失效。</w:t>
      </w:r>
    </w:p>
    <w:p w14:paraId="01C09B79">
      <w:pPr>
        <w:pStyle w:val="14"/>
        <w:ind w:firstLine="480"/>
        <w:jc w:val="center"/>
        <w:rPr>
          <w:color w:val="auto"/>
        </w:rPr>
      </w:pPr>
      <w:r>
        <w:rPr>
          <w:color w:val="auto"/>
        </w:rPr>
        <w:t>六、本协议一式</w:t>
      </w:r>
      <w:r>
        <w:rPr>
          <w:color w:val="auto"/>
          <w:u w:val="single"/>
        </w:rPr>
        <w:t>（填写具体份数）</w:t>
      </w:r>
      <w:r>
        <w:rPr>
          <w:color w:val="auto"/>
        </w:rPr>
        <w:t>份，联合体各方各执一份，电子响应文件中提交一份。</w:t>
      </w:r>
    </w:p>
    <w:p w14:paraId="4906D286">
      <w:pPr>
        <w:pStyle w:val="14"/>
        <w:ind w:firstLine="480"/>
        <w:jc w:val="center"/>
        <w:rPr>
          <w:color w:val="auto"/>
        </w:rPr>
      </w:pPr>
      <w:r>
        <w:rPr>
          <w:color w:val="auto"/>
        </w:rPr>
        <w:t>（以下无正文）</w:t>
      </w:r>
    </w:p>
    <w:p w14:paraId="3D3E6410">
      <w:pPr>
        <w:pStyle w:val="14"/>
        <w:ind w:firstLine="480"/>
        <w:jc w:val="center"/>
        <w:rPr>
          <w:color w:val="auto"/>
        </w:rPr>
      </w:pPr>
      <w:r>
        <w:rPr>
          <w:color w:val="auto"/>
        </w:rPr>
        <w:t>牵头方：</w:t>
      </w:r>
      <w:r>
        <w:rPr>
          <w:color w:val="auto"/>
          <w:u w:val="single"/>
        </w:rPr>
        <w:t>（全称并加盖单位公章）</w:t>
      </w:r>
    </w:p>
    <w:p w14:paraId="4B9AA208">
      <w:pPr>
        <w:pStyle w:val="14"/>
        <w:ind w:firstLine="480"/>
        <w:jc w:val="center"/>
        <w:rPr>
          <w:color w:val="auto"/>
        </w:rPr>
      </w:pPr>
      <w:r>
        <w:rPr>
          <w:color w:val="auto"/>
        </w:rPr>
        <w:t>法定代表人或其委托代理人：</w:t>
      </w:r>
      <w:r>
        <w:rPr>
          <w:color w:val="auto"/>
          <w:u w:val="single"/>
        </w:rPr>
        <w:t>（签字或盖章）</w:t>
      </w:r>
    </w:p>
    <w:p w14:paraId="00FDFAC6">
      <w:pPr>
        <w:pStyle w:val="14"/>
        <w:ind w:firstLine="480"/>
        <w:jc w:val="center"/>
        <w:rPr>
          <w:color w:val="auto"/>
        </w:rPr>
      </w:pPr>
      <w:r>
        <w:rPr>
          <w:color w:val="auto"/>
        </w:rPr>
        <w:t>成员一：</w:t>
      </w:r>
      <w:r>
        <w:rPr>
          <w:color w:val="auto"/>
          <w:u w:val="single"/>
        </w:rPr>
        <w:t>（全称并加盖成员一的单位公章）</w:t>
      </w:r>
    </w:p>
    <w:p w14:paraId="013EF481">
      <w:pPr>
        <w:pStyle w:val="14"/>
        <w:ind w:firstLine="480"/>
        <w:jc w:val="center"/>
        <w:rPr>
          <w:color w:val="auto"/>
        </w:rPr>
      </w:pPr>
      <w:r>
        <w:rPr>
          <w:color w:val="auto"/>
        </w:rPr>
        <w:t>法定代表人或其委托代理人：</w:t>
      </w:r>
      <w:r>
        <w:rPr>
          <w:color w:val="auto"/>
          <w:u w:val="single"/>
        </w:rPr>
        <w:t>（签字或盖章）</w:t>
      </w:r>
    </w:p>
    <w:p w14:paraId="6D830136">
      <w:pPr>
        <w:pStyle w:val="14"/>
        <w:ind w:firstLine="480"/>
        <w:jc w:val="center"/>
        <w:rPr>
          <w:color w:val="auto"/>
        </w:rPr>
      </w:pPr>
      <w:r>
        <w:rPr>
          <w:color w:val="auto"/>
        </w:rPr>
        <w:t>……</w:t>
      </w:r>
    </w:p>
    <w:p w14:paraId="32AF4E04">
      <w:pPr>
        <w:pStyle w:val="14"/>
        <w:ind w:firstLine="480"/>
        <w:jc w:val="center"/>
        <w:rPr>
          <w:color w:val="auto"/>
        </w:rPr>
      </w:pPr>
      <w:r>
        <w:rPr>
          <w:color w:val="auto"/>
        </w:rPr>
        <w:t>成员**：</w:t>
      </w:r>
      <w:r>
        <w:rPr>
          <w:color w:val="auto"/>
          <w:u w:val="single"/>
        </w:rPr>
        <w:t>（全称并加盖成员**的单位公章）</w:t>
      </w:r>
    </w:p>
    <w:p w14:paraId="531436C1">
      <w:pPr>
        <w:pStyle w:val="14"/>
        <w:ind w:firstLine="480"/>
        <w:jc w:val="center"/>
        <w:rPr>
          <w:color w:val="auto"/>
        </w:rPr>
      </w:pPr>
      <w:r>
        <w:rPr>
          <w:color w:val="auto"/>
        </w:rPr>
        <w:t>法定代表人或其委托代理人：</w:t>
      </w:r>
      <w:r>
        <w:rPr>
          <w:color w:val="auto"/>
          <w:u w:val="single"/>
        </w:rPr>
        <w:t>（签字或盖章）</w:t>
      </w:r>
    </w:p>
    <w:p w14:paraId="643079A8">
      <w:pPr>
        <w:pStyle w:val="14"/>
        <w:ind w:firstLine="480"/>
        <w:jc w:val="right"/>
        <w:rPr>
          <w:color w:val="auto"/>
        </w:rPr>
      </w:pPr>
      <w:r>
        <w:rPr>
          <w:color w:val="auto"/>
        </w:rPr>
        <w:t>签署日期：</w:t>
      </w:r>
      <w:r>
        <w:rPr>
          <w:color w:val="auto"/>
          <w:u w:val="single"/>
        </w:rPr>
        <w:t>　　年　　月　　日</w:t>
      </w:r>
    </w:p>
    <w:p w14:paraId="0960C088">
      <w:pPr>
        <w:pStyle w:val="14"/>
        <w:ind w:firstLine="480"/>
        <w:jc w:val="center"/>
        <w:rPr>
          <w:color w:val="auto"/>
        </w:rPr>
      </w:pPr>
      <w:r>
        <w:rPr>
          <w:color w:val="auto"/>
        </w:rPr>
        <w:t>※注意：</w:t>
      </w:r>
    </w:p>
    <w:p w14:paraId="2F610287">
      <w:pPr>
        <w:pStyle w:val="14"/>
        <w:ind w:firstLine="480"/>
        <w:jc w:val="center"/>
        <w:rPr>
          <w:color w:val="auto"/>
        </w:rPr>
      </w:pPr>
      <w:r>
        <w:rPr>
          <w:color w:val="auto"/>
        </w:rPr>
        <w:t>1、磋商文件接受联合体报价且供应商为联合体的，供应商应提供本协议；否则无须提供。</w:t>
      </w:r>
    </w:p>
    <w:p w14:paraId="5807C686">
      <w:pPr>
        <w:pStyle w:val="14"/>
        <w:ind w:firstLine="480"/>
        <w:jc w:val="center"/>
        <w:rPr>
          <w:color w:val="auto"/>
        </w:rPr>
      </w:pPr>
      <w:r>
        <w:rPr>
          <w:color w:val="auto"/>
        </w:rPr>
        <w:t>2、本协议由委托代理人签字或盖章的，应按照本章载明的格式提供“单位授权书”。</w:t>
      </w:r>
    </w:p>
    <w:p w14:paraId="712C56FA">
      <w:pPr>
        <w:pStyle w:val="14"/>
        <w:ind w:firstLine="480"/>
        <w:jc w:val="center"/>
        <w:rPr>
          <w:color w:val="auto"/>
        </w:rPr>
      </w:pPr>
      <w:r>
        <w:rPr>
          <w:color w:val="auto"/>
        </w:rPr>
        <w:t>3、在以联合体形式落实中小企业预留份额项目中，供应商除了要提供《中小企业声明函》，还需提供本协议。</w:t>
      </w:r>
    </w:p>
    <w:p w14:paraId="3F4C3F47">
      <w:pPr>
        <w:pStyle w:val="14"/>
        <w:ind w:firstLine="480"/>
        <w:jc w:val="center"/>
        <w:rPr>
          <w:color w:val="auto"/>
        </w:rPr>
      </w:pPr>
      <w:r>
        <w:rPr>
          <w:color w:val="auto"/>
        </w:rPr>
        <w:t>4、在以联合体形式落实中小企业预留份额项目中，供应商除了要提供《中小企业声明函》，还需提供本协议。</w:t>
      </w:r>
    </w:p>
    <w:p w14:paraId="31965C76">
      <w:pPr>
        <w:pStyle w:val="14"/>
        <w:jc w:val="center"/>
        <w:rPr>
          <w:color w:val="auto"/>
        </w:rPr>
      </w:pPr>
      <w:r>
        <w:rPr>
          <w:color w:val="auto"/>
        </w:rPr>
        <w:t xml:space="preserve"> </w:t>
      </w:r>
    </w:p>
    <w:p w14:paraId="1E8299A2">
      <w:pPr>
        <w:pStyle w:val="14"/>
        <w:jc w:val="center"/>
        <w:outlineLvl w:val="3"/>
        <w:rPr>
          <w:color w:val="auto"/>
        </w:rPr>
      </w:pPr>
      <w:r>
        <w:rPr>
          <w:b/>
          <w:color w:val="auto"/>
          <w:sz w:val="24"/>
        </w:rPr>
        <w:t>附件3-11 分包意向协议（若有）</w:t>
      </w:r>
    </w:p>
    <w:p w14:paraId="61C74ADD">
      <w:pPr>
        <w:pStyle w:val="14"/>
        <w:ind w:firstLine="480"/>
        <w:jc w:val="center"/>
        <w:rPr>
          <w:color w:val="auto"/>
        </w:rPr>
      </w:pPr>
      <w:r>
        <w:rPr>
          <w:color w:val="auto"/>
        </w:rPr>
        <w:t>甲方（总包方）：</w:t>
      </w:r>
      <w:r>
        <w:rPr>
          <w:color w:val="auto"/>
          <w:u w:val="single"/>
        </w:rPr>
        <w:t>　　　　　　　</w:t>
      </w:r>
      <w:r>
        <w:rPr>
          <w:color w:val="auto"/>
        </w:rPr>
        <w:t>（即本项目的供应商）</w:t>
      </w:r>
    </w:p>
    <w:p w14:paraId="28A0CB4A">
      <w:pPr>
        <w:pStyle w:val="14"/>
        <w:ind w:firstLine="480"/>
        <w:jc w:val="center"/>
        <w:rPr>
          <w:color w:val="auto"/>
        </w:rPr>
      </w:pPr>
      <w:r>
        <w:rPr>
          <w:color w:val="auto"/>
        </w:rPr>
        <w:t>乙方（分包方）：</w:t>
      </w:r>
      <w:r>
        <w:rPr>
          <w:color w:val="auto"/>
          <w:u w:val="single"/>
        </w:rPr>
        <w:t>　　　　　　　</w:t>
      </w:r>
    </w:p>
    <w:p w14:paraId="1D39846C">
      <w:pPr>
        <w:pStyle w:val="14"/>
        <w:ind w:firstLine="480"/>
        <w:jc w:val="center"/>
        <w:rPr>
          <w:color w:val="auto"/>
        </w:rPr>
      </w:pPr>
      <w:r>
        <w:rPr>
          <w:color w:val="auto"/>
        </w:rPr>
        <w:t>兹有甲方参加</w:t>
      </w:r>
      <w:r>
        <w:rPr>
          <w:color w:val="auto"/>
          <w:u w:val="single"/>
        </w:rPr>
        <w:t>（填写“项目名称”）</w:t>
      </w:r>
      <w:r>
        <w:rPr>
          <w:color w:val="auto"/>
        </w:rPr>
        <w:t>项目（项目编号：</w:t>
      </w:r>
      <w:r>
        <w:rPr>
          <w:color w:val="auto"/>
          <w:u w:val="single"/>
        </w:rPr>
        <w:t>　　　　　　　</w:t>
      </w:r>
      <w:r>
        <w:rPr>
          <w:color w:val="auto"/>
        </w:rPr>
        <w:t>）的政府采购活动。甲方期望将采购项目的部分采购标的分包给乙方完成，而乙方保证能够向甲方提供本协议项下的采购标的，甲、乙双方就合同分包的有关事宜达成下列协议：</w:t>
      </w:r>
    </w:p>
    <w:p w14:paraId="22E9F076">
      <w:pPr>
        <w:pStyle w:val="14"/>
        <w:ind w:firstLine="480"/>
        <w:jc w:val="center"/>
        <w:rPr>
          <w:color w:val="auto"/>
        </w:rPr>
      </w:pPr>
      <w:r>
        <w:rPr>
          <w:color w:val="auto"/>
        </w:rPr>
        <w:t>一、分包标的</w:t>
      </w:r>
    </w:p>
    <w:p w14:paraId="7ACCA8A0">
      <w:pPr>
        <w:pStyle w:val="14"/>
        <w:ind w:firstLine="480"/>
        <w:jc w:val="center"/>
        <w:rPr>
          <w:color w:val="auto"/>
        </w:rPr>
      </w:pPr>
      <w:r>
        <w:rPr>
          <w:color w:val="auto"/>
          <w:u w:val="single"/>
        </w:rPr>
        <w:t>（根据双方的意向填写，可以是表格或文字描述）。</w:t>
      </w:r>
    </w:p>
    <w:p w14:paraId="0E100D2B">
      <w:pPr>
        <w:pStyle w:val="14"/>
        <w:ind w:firstLine="480"/>
        <w:jc w:val="center"/>
        <w:rPr>
          <w:color w:val="auto"/>
        </w:rPr>
      </w:pPr>
      <w:r>
        <w:rPr>
          <w:color w:val="auto"/>
        </w:rPr>
        <w:t>二、分包合同金额占比</w:t>
      </w:r>
    </w:p>
    <w:p w14:paraId="5831591C">
      <w:pPr>
        <w:pStyle w:val="14"/>
        <w:ind w:firstLine="480"/>
        <w:jc w:val="center"/>
        <w:rPr>
          <w:color w:val="auto"/>
        </w:rPr>
      </w:pPr>
      <w:r>
        <w:rPr>
          <w:color w:val="auto"/>
        </w:rPr>
        <w:t>分包合同价占报价总价的比例：</w:t>
      </w:r>
      <w:r>
        <w:rPr>
          <w:color w:val="auto"/>
          <w:u w:val="single"/>
        </w:rPr>
        <w:t>　　　　　</w:t>
      </w:r>
      <w:r>
        <w:rPr>
          <w:color w:val="auto"/>
        </w:rPr>
        <w:t>%</w:t>
      </w:r>
    </w:p>
    <w:p w14:paraId="255AF9C5">
      <w:pPr>
        <w:pStyle w:val="14"/>
        <w:ind w:firstLine="480"/>
        <w:jc w:val="center"/>
        <w:rPr>
          <w:color w:val="auto"/>
        </w:rPr>
      </w:pPr>
      <w:r>
        <w:rPr>
          <w:color w:val="auto"/>
        </w:rPr>
        <w:t>三、其他条款</w:t>
      </w:r>
    </w:p>
    <w:p w14:paraId="09178AF0">
      <w:pPr>
        <w:pStyle w:val="14"/>
        <w:ind w:firstLine="480"/>
        <w:jc w:val="center"/>
        <w:rPr>
          <w:color w:val="auto"/>
        </w:rPr>
      </w:pPr>
      <w:r>
        <w:rPr>
          <w:color w:val="auto"/>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41A22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484071A4">
            <w:pPr>
              <w:pStyle w:val="14"/>
              <w:jc w:val="center"/>
              <w:rPr>
                <w:color w:val="auto"/>
              </w:rPr>
            </w:pPr>
            <w:r>
              <w:rPr>
                <w:color w:val="auto"/>
              </w:rPr>
              <w:t>甲方：</w:t>
            </w:r>
          </w:p>
        </w:tc>
        <w:tc>
          <w:tcPr>
            <w:tcW w:w="4153" w:type="dxa"/>
          </w:tcPr>
          <w:p w14:paraId="06968FCD">
            <w:pPr>
              <w:pStyle w:val="14"/>
              <w:jc w:val="center"/>
              <w:rPr>
                <w:color w:val="auto"/>
              </w:rPr>
            </w:pPr>
            <w:r>
              <w:rPr>
                <w:color w:val="auto"/>
              </w:rPr>
              <w:t>乙方：</w:t>
            </w:r>
          </w:p>
        </w:tc>
      </w:tr>
      <w:tr w14:paraId="687052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054D000">
            <w:pPr>
              <w:pStyle w:val="14"/>
              <w:jc w:val="center"/>
              <w:rPr>
                <w:color w:val="auto"/>
              </w:rPr>
            </w:pPr>
            <w:r>
              <w:rPr>
                <w:color w:val="auto"/>
              </w:rPr>
              <w:t>住所：</w:t>
            </w:r>
          </w:p>
        </w:tc>
        <w:tc>
          <w:tcPr>
            <w:tcW w:w="4153" w:type="dxa"/>
          </w:tcPr>
          <w:p w14:paraId="35BC84BE">
            <w:pPr>
              <w:pStyle w:val="14"/>
              <w:jc w:val="center"/>
              <w:rPr>
                <w:color w:val="auto"/>
              </w:rPr>
            </w:pPr>
            <w:r>
              <w:rPr>
                <w:color w:val="auto"/>
              </w:rPr>
              <w:t>住所：</w:t>
            </w:r>
          </w:p>
        </w:tc>
      </w:tr>
      <w:tr w14:paraId="11DC89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EBE5855">
            <w:pPr>
              <w:pStyle w:val="14"/>
              <w:jc w:val="center"/>
              <w:rPr>
                <w:color w:val="auto"/>
              </w:rPr>
            </w:pPr>
            <w:r>
              <w:rPr>
                <w:color w:val="auto"/>
              </w:rPr>
              <w:t>单位负责人或委托代理人：</w:t>
            </w:r>
          </w:p>
        </w:tc>
        <w:tc>
          <w:tcPr>
            <w:tcW w:w="4153" w:type="dxa"/>
          </w:tcPr>
          <w:p w14:paraId="67EDADC6">
            <w:pPr>
              <w:pStyle w:val="14"/>
              <w:jc w:val="center"/>
              <w:rPr>
                <w:color w:val="auto"/>
              </w:rPr>
            </w:pPr>
            <w:r>
              <w:rPr>
                <w:color w:val="auto"/>
              </w:rPr>
              <w:t>单位负责人或委托代理人：</w:t>
            </w:r>
          </w:p>
        </w:tc>
      </w:tr>
      <w:tr w14:paraId="05493B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0CF2345">
            <w:pPr>
              <w:pStyle w:val="14"/>
              <w:jc w:val="center"/>
              <w:rPr>
                <w:color w:val="auto"/>
              </w:rPr>
            </w:pPr>
            <w:r>
              <w:rPr>
                <w:color w:val="auto"/>
              </w:rPr>
              <w:t>联系方法：</w:t>
            </w:r>
          </w:p>
        </w:tc>
        <w:tc>
          <w:tcPr>
            <w:tcW w:w="4153" w:type="dxa"/>
          </w:tcPr>
          <w:p w14:paraId="1757D2C6">
            <w:pPr>
              <w:pStyle w:val="14"/>
              <w:jc w:val="center"/>
              <w:rPr>
                <w:color w:val="auto"/>
              </w:rPr>
            </w:pPr>
            <w:r>
              <w:rPr>
                <w:color w:val="auto"/>
              </w:rPr>
              <w:t>联系方法：</w:t>
            </w:r>
          </w:p>
        </w:tc>
      </w:tr>
      <w:tr w14:paraId="1660E0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C6B90C5">
            <w:pPr>
              <w:pStyle w:val="14"/>
              <w:jc w:val="center"/>
              <w:rPr>
                <w:color w:val="auto"/>
              </w:rPr>
            </w:pPr>
            <w:r>
              <w:rPr>
                <w:color w:val="auto"/>
              </w:rPr>
              <w:t>开户银行：</w:t>
            </w:r>
          </w:p>
        </w:tc>
        <w:tc>
          <w:tcPr>
            <w:tcW w:w="4153" w:type="dxa"/>
          </w:tcPr>
          <w:p w14:paraId="7E92928A">
            <w:pPr>
              <w:pStyle w:val="14"/>
              <w:jc w:val="center"/>
              <w:rPr>
                <w:color w:val="auto"/>
              </w:rPr>
            </w:pPr>
            <w:r>
              <w:rPr>
                <w:color w:val="auto"/>
              </w:rPr>
              <w:t>开户银行：</w:t>
            </w:r>
          </w:p>
        </w:tc>
      </w:tr>
      <w:tr w14:paraId="733D5E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E8361F2">
            <w:pPr>
              <w:pStyle w:val="14"/>
              <w:jc w:val="center"/>
              <w:rPr>
                <w:color w:val="auto"/>
              </w:rPr>
            </w:pPr>
            <w:r>
              <w:rPr>
                <w:color w:val="auto"/>
              </w:rPr>
              <w:t>账号：</w:t>
            </w:r>
          </w:p>
        </w:tc>
        <w:tc>
          <w:tcPr>
            <w:tcW w:w="4153" w:type="dxa"/>
          </w:tcPr>
          <w:p w14:paraId="05AEBE64">
            <w:pPr>
              <w:pStyle w:val="14"/>
              <w:jc w:val="center"/>
              <w:rPr>
                <w:color w:val="auto"/>
              </w:rPr>
            </w:pPr>
            <w:r>
              <w:rPr>
                <w:color w:val="auto"/>
              </w:rPr>
              <w:t>账号：</w:t>
            </w:r>
          </w:p>
        </w:tc>
      </w:tr>
      <w:tr w14:paraId="2A64D1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477B52A2">
            <w:pPr>
              <w:pStyle w:val="14"/>
              <w:jc w:val="right"/>
              <w:rPr>
                <w:color w:val="auto"/>
              </w:rPr>
            </w:pPr>
            <w:r>
              <w:rPr>
                <w:color w:val="auto"/>
              </w:rPr>
              <w:t>签订地点：</w:t>
            </w:r>
            <w:r>
              <w:rPr>
                <w:color w:val="auto"/>
                <w:u w:val="single"/>
              </w:rPr>
              <w:t>　　　　　　　　　　</w:t>
            </w:r>
          </w:p>
          <w:p w14:paraId="65FD318F">
            <w:pPr>
              <w:pStyle w:val="14"/>
              <w:jc w:val="right"/>
              <w:rPr>
                <w:color w:val="auto"/>
              </w:rPr>
            </w:pPr>
            <w:r>
              <w:rPr>
                <w:color w:val="auto"/>
              </w:rPr>
              <w:t>签约日期：</w:t>
            </w:r>
            <w:r>
              <w:rPr>
                <w:color w:val="auto"/>
                <w:u w:val="single"/>
              </w:rPr>
              <w:t>　　年　　月　　日</w:t>
            </w:r>
          </w:p>
        </w:tc>
      </w:tr>
    </w:tbl>
    <w:p w14:paraId="06BB1FC0">
      <w:pPr>
        <w:pStyle w:val="14"/>
        <w:ind w:firstLine="480"/>
        <w:jc w:val="center"/>
        <w:rPr>
          <w:color w:val="auto"/>
        </w:rPr>
      </w:pPr>
      <w:r>
        <w:rPr>
          <w:color w:val="auto"/>
        </w:rPr>
        <w:t>※注意：</w:t>
      </w:r>
    </w:p>
    <w:p w14:paraId="4A4A4A9B">
      <w:pPr>
        <w:pStyle w:val="14"/>
        <w:ind w:firstLine="480"/>
        <w:jc w:val="center"/>
        <w:rPr>
          <w:color w:val="auto"/>
        </w:rPr>
      </w:pPr>
      <w:r>
        <w:rPr>
          <w:color w:val="auto"/>
        </w:rPr>
        <w:t>1.磋商文件接受合同分包且供应商拟将合同分包的，应提供本协议；否则无须提供。</w:t>
      </w:r>
    </w:p>
    <w:p w14:paraId="0BC61768">
      <w:pPr>
        <w:pStyle w:val="14"/>
        <w:ind w:firstLine="480"/>
        <w:jc w:val="center"/>
        <w:rPr>
          <w:color w:val="auto"/>
        </w:rPr>
      </w:pPr>
      <w:r>
        <w:rPr>
          <w:color w:val="auto"/>
        </w:rPr>
        <w:t>2.本协议由委托代理人签字或盖章的，应按照本章载明的格式提供“单位授权书”。</w:t>
      </w:r>
    </w:p>
    <w:p w14:paraId="37E46CBF">
      <w:pPr>
        <w:pStyle w:val="14"/>
        <w:ind w:firstLine="480"/>
        <w:jc w:val="center"/>
        <w:rPr>
          <w:color w:val="auto"/>
        </w:rPr>
      </w:pPr>
      <w:r>
        <w:rPr>
          <w:color w:val="auto"/>
        </w:rPr>
        <w:t>3.在以合同分包形式落实中小企业预留份额项目中，供应商除了要提供《中小企业声明函》，还需提供本协议。</w:t>
      </w:r>
    </w:p>
    <w:p w14:paraId="5DFC86B4">
      <w:pPr>
        <w:pStyle w:val="14"/>
        <w:jc w:val="center"/>
        <w:rPr>
          <w:color w:val="auto"/>
        </w:rPr>
      </w:pPr>
      <w:r>
        <w:rPr>
          <w:color w:val="auto"/>
        </w:rPr>
        <w:t xml:space="preserve"> </w:t>
      </w:r>
    </w:p>
    <w:p w14:paraId="2E76E6F7">
      <w:pPr>
        <w:pStyle w:val="14"/>
        <w:jc w:val="center"/>
        <w:outlineLvl w:val="3"/>
        <w:rPr>
          <w:color w:val="auto"/>
        </w:rPr>
      </w:pPr>
      <w:r>
        <w:rPr>
          <w:b/>
          <w:color w:val="auto"/>
          <w:sz w:val="24"/>
        </w:rPr>
        <w:t>附件3-12     参加采购活动前三年内在经营活动中没有重大违法记录书面声明</w:t>
      </w:r>
    </w:p>
    <w:p w14:paraId="007C7210">
      <w:pPr>
        <w:pStyle w:val="14"/>
        <w:ind w:firstLine="480"/>
        <w:jc w:val="center"/>
        <w:rPr>
          <w:color w:val="auto"/>
        </w:rPr>
      </w:pPr>
      <w:r>
        <w:rPr>
          <w:color w:val="auto"/>
        </w:rPr>
        <w:t>致：</w:t>
      </w:r>
      <w:r>
        <w:rPr>
          <w:color w:val="auto"/>
          <w:u w:val="single"/>
        </w:rPr>
        <w:t>（采购人或采购代理机构）</w:t>
      </w:r>
    </w:p>
    <w:p w14:paraId="633512E1">
      <w:pPr>
        <w:pStyle w:val="14"/>
        <w:ind w:firstLine="480"/>
        <w:jc w:val="center"/>
        <w:rPr>
          <w:rFonts w:hint="eastAsia" w:eastAsiaTheme="minorEastAsia"/>
          <w:color w:val="auto"/>
          <w:lang w:eastAsia="zh-CN"/>
        </w:rPr>
      </w:pPr>
      <w:r>
        <w:rPr>
          <w:color w:val="auto"/>
        </w:rPr>
        <w:t>参加采购活动前三年内，我方在经营活动中没有重大违法记录，即没有因违法经营受到刑事处罚或责令停产停业、吊销许可证或执照、较大数额罚款等行政处罚。否则产生不利后果由我方承担责任。</w:t>
      </w:r>
    </w:p>
    <w:p w14:paraId="73B40670">
      <w:pPr>
        <w:pStyle w:val="14"/>
        <w:ind w:firstLine="480"/>
        <w:jc w:val="center"/>
        <w:rPr>
          <w:rFonts w:hint="eastAsia" w:eastAsiaTheme="minorEastAsia"/>
          <w:color w:val="auto"/>
          <w:lang w:eastAsia="zh-CN"/>
        </w:rPr>
      </w:pPr>
    </w:p>
    <w:p w14:paraId="5D560E65">
      <w:pPr>
        <w:pStyle w:val="14"/>
        <w:ind w:firstLine="480"/>
        <w:jc w:val="center"/>
        <w:rPr>
          <w:rFonts w:hint="eastAsia" w:eastAsiaTheme="minorEastAsia"/>
          <w:color w:val="auto"/>
          <w:lang w:eastAsia="zh-CN"/>
        </w:rPr>
      </w:pPr>
      <w:r>
        <w:rPr>
          <w:color w:val="auto"/>
        </w:rPr>
        <w:t>特此申明。</w:t>
      </w:r>
    </w:p>
    <w:p w14:paraId="4039D181">
      <w:pPr>
        <w:pStyle w:val="14"/>
        <w:ind w:firstLine="480"/>
        <w:jc w:val="center"/>
        <w:rPr>
          <w:rFonts w:hint="eastAsia" w:eastAsiaTheme="minorEastAsia"/>
          <w:color w:val="auto"/>
          <w:lang w:eastAsia="zh-CN"/>
        </w:rPr>
      </w:pPr>
    </w:p>
    <w:p w14:paraId="79641C31">
      <w:pPr>
        <w:pStyle w:val="14"/>
        <w:ind w:firstLine="480"/>
        <w:jc w:val="center"/>
        <w:rPr>
          <w:color w:val="auto"/>
        </w:rPr>
      </w:pPr>
      <w:r>
        <w:rPr>
          <w:color w:val="auto"/>
        </w:rPr>
        <w:t>供应商名称</w:t>
      </w:r>
      <w:r>
        <w:rPr>
          <w:color w:val="auto"/>
          <w:u w:val="single"/>
        </w:rPr>
        <w:t>　　　　　（全称并加盖公章）</w:t>
      </w:r>
    </w:p>
    <w:p w14:paraId="38809A5F">
      <w:pPr>
        <w:pStyle w:val="14"/>
        <w:ind w:firstLine="480"/>
        <w:jc w:val="center"/>
        <w:rPr>
          <w:color w:val="auto"/>
        </w:rPr>
      </w:pPr>
      <w:r>
        <w:rPr>
          <w:color w:val="auto"/>
        </w:rPr>
        <w:t>日期：</w:t>
      </w:r>
      <w:r>
        <w:rPr>
          <w:color w:val="auto"/>
          <w:u w:val="single"/>
        </w:rPr>
        <w:t>　　</w:t>
      </w:r>
      <w:r>
        <w:rPr>
          <w:color w:val="auto"/>
        </w:rPr>
        <w:t>年</w:t>
      </w:r>
      <w:r>
        <w:rPr>
          <w:color w:val="auto"/>
          <w:u w:val="single"/>
        </w:rPr>
        <w:t>　　</w:t>
      </w:r>
      <w:r>
        <w:rPr>
          <w:color w:val="auto"/>
        </w:rPr>
        <w:t>月</w:t>
      </w:r>
      <w:r>
        <w:rPr>
          <w:color w:val="auto"/>
          <w:u w:val="single"/>
        </w:rPr>
        <w:t>　　</w:t>
      </w:r>
      <w:r>
        <w:rPr>
          <w:color w:val="auto"/>
        </w:rPr>
        <w:t>日</w:t>
      </w:r>
    </w:p>
    <w:p w14:paraId="13E43CFF">
      <w:pPr>
        <w:pStyle w:val="14"/>
        <w:ind w:firstLine="480"/>
        <w:jc w:val="center"/>
        <w:rPr>
          <w:color w:val="auto"/>
        </w:rPr>
      </w:pPr>
      <w:r>
        <w:rPr>
          <w:color w:val="auto"/>
        </w:rPr>
        <w:t>※注意：</w:t>
      </w:r>
    </w:p>
    <w:p w14:paraId="20AF87EB">
      <w:pPr>
        <w:pStyle w:val="14"/>
        <w:ind w:firstLine="480"/>
        <w:jc w:val="center"/>
        <w:rPr>
          <w:color w:val="auto"/>
        </w:rPr>
      </w:pPr>
      <w:r>
        <w:rPr>
          <w:color w:val="auto"/>
        </w:rPr>
        <w:t>1、“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20BDF950">
      <w:pPr>
        <w:pStyle w:val="14"/>
        <w:ind w:firstLine="480"/>
        <w:jc w:val="center"/>
        <w:rPr>
          <w:color w:val="auto"/>
        </w:rPr>
      </w:pPr>
      <w:r>
        <w:rPr>
          <w:color w:val="auto"/>
        </w:rPr>
        <w:t>2、请供应商根据实际情况如实声明，否则视为提供虚假材料。</w:t>
      </w:r>
    </w:p>
    <w:p w14:paraId="71167E4A">
      <w:pPr>
        <w:pStyle w:val="14"/>
        <w:jc w:val="center"/>
        <w:rPr>
          <w:color w:val="auto"/>
        </w:rPr>
      </w:pPr>
      <w:r>
        <w:rPr>
          <w:color w:val="auto"/>
        </w:rPr>
        <w:t xml:space="preserve"> </w:t>
      </w:r>
    </w:p>
    <w:p w14:paraId="5FD2289A">
      <w:pPr>
        <w:pStyle w:val="14"/>
        <w:jc w:val="center"/>
        <w:outlineLvl w:val="3"/>
        <w:rPr>
          <w:color w:val="auto"/>
        </w:rPr>
      </w:pPr>
      <w:r>
        <w:rPr>
          <w:b/>
          <w:color w:val="auto"/>
          <w:sz w:val="24"/>
        </w:rPr>
        <w:t>附件3-13  其它资格证明文件</w:t>
      </w:r>
    </w:p>
    <w:p w14:paraId="14D983CC">
      <w:pPr>
        <w:pStyle w:val="14"/>
        <w:jc w:val="center"/>
        <w:outlineLvl w:val="3"/>
        <w:rPr>
          <w:color w:val="auto"/>
        </w:rPr>
      </w:pPr>
      <w:r>
        <w:rPr>
          <w:b/>
          <w:color w:val="auto"/>
          <w:sz w:val="24"/>
        </w:rPr>
        <w:t>（若有）</w:t>
      </w:r>
    </w:p>
    <w:p w14:paraId="701CB222">
      <w:pPr>
        <w:pStyle w:val="14"/>
        <w:ind w:firstLine="480"/>
        <w:jc w:val="center"/>
        <w:rPr>
          <w:color w:val="auto"/>
        </w:rPr>
      </w:pPr>
      <w:r>
        <w:rPr>
          <w:color w:val="auto"/>
        </w:rP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14:paraId="16C39E4C">
      <w:pPr>
        <w:pStyle w:val="14"/>
        <w:ind w:firstLine="480"/>
        <w:jc w:val="center"/>
        <w:rPr>
          <w:rFonts w:hint="eastAsia" w:eastAsiaTheme="minorEastAsia"/>
          <w:color w:val="auto"/>
          <w:lang w:eastAsia="zh-CN"/>
        </w:rPr>
      </w:pPr>
      <w:r>
        <w:rPr>
          <w:color w:val="auto"/>
        </w:rPr>
        <w:t>2、若磋商文件规定接受联合体形式且供应商为联合体的，涉及联合体成员的其它资格证明文件在此处提供相关证明材料，并加盖供应商单位公章。</w:t>
      </w:r>
    </w:p>
    <w:p w14:paraId="5C2EA8DD">
      <w:pPr>
        <w:pStyle w:val="14"/>
        <w:ind w:firstLine="480"/>
        <w:jc w:val="center"/>
        <w:rPr>
          <w:rFonts w:hint="eastAsia" w:eastAsiaTheme="minorEastAsia"/>
          <w:color w:val="auto"/>
          <w:lang w:eastAsia="zh-CN"/>
        </w:rPr>
      </w:pPr>
    </w:p>
    <w:p w14:paraId="1A533F49">
      <w:pPr>
        <w:pStyle w:val="14"/>
        <w:ind w:firstLine="480"/>
        <w:jc w:val="center"/>
        <w:rPr>
          <w:rFonts w:hint="eastAsia" w:eastAsiaTheme="minorEastAsia"/>
          <w:color w:val="auto"/>
          <w:lang w:eastAsia="zh-CN"/>
        </w:rPr>
      </w:pPr>
    </w:p>
    <w:p w14:paraId="224BA36C">
      <w:pPr>
        <w:pStyle w:val="14"/>
        <w:ind w:firstLine="480"/>
        <w:jc w:val="center"/>
        <w:rPr>
          <w:color w:val="auto"/>
        </w:rPr>
      </w:pPr>
      <w:r>
        <w:rPr>
          <w:color w:val="auto"/>
        </w:rPr>
        <w:t>供应商代表</w:t>
      </w:r>
      <w:r>
        <w:rPr>
          <w:color w:val="auto"/>
          <w:u w:val="single"/>
        </w:rPr>
        <w:t>　　　　　（签字）</w:t>
      </w:r>
    </w:p>
    <w:p w14:paraId="56A92551">
      <w:pPr>
        <w:pStyle w:val="14"/>
        <w:ind w:firstLine="480"/>
        <w:jc w:val="center"/>
        <w:rPr>
          <w:color w:val="auto"/>
        </w:rPr>
      </w:pPr>
      <w:r>
        <w:rPr>
          <w:color w:val="auto"/>
        </w:rPr>
        <w:t>供应商名称</w:t>
      </w:r>
      <w:r>
        <w:rPr>
          <w:color w:val="auto"/>
          <w:u w:val="single"/>
        </w:rPr>
        <w:t>　　　　　（全称并加盖公章）</w:t>
      </w:r>
    </w:p>
    <w:p w14:paraId="3D1DE069">
      <w:pPr>
        <w:pStyle w:val="14"/>
        <w:ind w:firstLine="480"/>
        <w:jc w:val="center"/>
        <w:rPr>
          <w:color w:val="auto"/>
        </w:rPr>
      </w:pPr>
      <w:r>
        <w:rPr>
          <w:color w:val="auto"/>
        </w:rPr>
        <w:t>日期：</w:t>
      </w:r>
      <w:r>
        <w:rPr>
          <w:color w:val="auto"/>
          <w:u w:val="single"/>
        </w:rPr>
        <w:t>　　</w:t>
      </w:r>
      <w:r>
        <w:rPr>
          <w:color w:val="auto"/>
        </w:rPr>
        <w:t>年</w:t>
      </w:r>
      <w:r>
        <w:rPr>
          <w:color w:val="auto"/>
          <w:u w:val="single"/>
        </w:rPr>
        <w:t>　　</w:t>
      </w:r>
      <w:r>
        <w:rPr>
          <w:color w:val="auto"/>
        </w:rPr>
        <w:t>月</w:t>
      </w:r>
      <w:r>
        <w:rPr>
          <w:color w:val="auto"/>
          <w:u w:val="single"/>
        </w:rPr>
        <w:t>　　</w:t>
      </w:r>
      <w:r>
        <w:rPr>
          <w:color w:val="auto"/>
        </w:rPr>
        <w:t>日</w:t>
      </w:r>
    </w:p>
    <w:p w14:paraId="1CA194F5">
      <w:pPr>
        <w:pStyle w:val="14"/>
        <w:jc w:val="center"/>
        <w:rPr>
          <w:color w:val="auto"/>
        </w:rPr>
      </w:pPr>
    </w:p>
    <w:p w14:paraId="48C56B42">
      <w:pPr>
        <w:pStyle w:val="14"/>
        <w:ind w:firstLine="480"/>
        <w:jc w:val="center"/>
        <w:rPr>
          <w:color w:val="auto"/>
        </w:rPr>
      </w:pPr>
      <w:r>
        <w:rPr>
          <w:color w:val="auto"/>
        </w:rPr>
        <w:t xml:space="preserve"> </w:t>
      </w:r>
    </w:p>
    <w:p w14:paraId="4707F024">
      <w:pPr>
        <w:pStyle w:val="14"/>
        <w:jc w:val="center"/>
        <w:outlineLvl w:val="2"/>
        <w:rPr>
          <w:color w:val="auto"/>
        </w:rPr>
      </w:pPr>
      <w:r>
        <w:rPr>
          <w:b/>
          <w:color w:val="auto"/>
          <w:sz w:val="28"/>
        </w:rPr>
        <w:t>附件4   磋商保证金凭证</w:t>
      </w:r>
    </w:p>
    <w:p w14:paraId="1689D71D">
      <w:pPr>
        <w:pStyle w:val="14"/>
        <w:jc w:val="center"/>
        <w:outlineLvl w:val="3"/>
        <w:rPr>
          <w:color w:val="auto"/>
        </w:rPr>
      </w:pPr>
      <w:r>
        <w:rPr>
          <w:b/>
          <w:color w:val="auto"/>
          <w:sz w:val="24"/>
        </w:rPr>
        <w:t>编制说明</w:t>
      </w:r>
    </w:p>
    <w:p w14:paraId="3714AC1A">
      <w:pPr>
        <w:pStyle w:val="14"/>
        <w:ind w:firstLine="480"/>
        <w:jc w:val="center"/>
        <w:rPr>
          <w:color w:val="auto"/>
        </w:rPr>
      </w:pPr>
      <w:r>
        <w:rPr>
          <w:color w:val="auto"/>
        </w:rPr>
        <w:t>1、在此项下提交的“磋商保证金”材料可使用转账凭证复印件或从福建省政府采购网上公开信息系统中下载的有关原始页面的打印件。通过福建省政府采购网政府采购平台“保函服务”栏目办理电子保函的，提供电子保函电子格式。</w:t>
      </w:r>
    </w:p>
    <w:p w14:paraId="3AF42143">
      <w:pPr>
        <w:pStyle w:val="14"/>
        <w:ind w:firstLine="480"/>
        <w:jc w:val="center"/>
        <w:rPr>
          <w:color w:val="auto"/>
        </w:rPr>
      </w:pPr>
      <w:r>
        <w:rPr>
          <w:color w:val="auto"/>
        </w:rPr>
        <w:t>2、磋商保证金是否已提交按照磋商文件规定执行。</w:t>
      </w:r>
    </w:p>
    <w:p w14:paraId="7AAAC0E7">
      <w:pPr>
        <w:pStyle w:val="14"/>
        <w:jc w:val="center"/>
        <w:rPr>
          <w:color w:val="auto"/>
        </w:rPr>
      </w:pPr>
    </w:p>
    <w:p w14:paraId="788B2A9B">
      <w:pPr>
        <w:pStyle w:val="14"/>
        <w:jc w:val="center"/>
        <w:rPr>
          <w:color w:val="auto"/>
        </w:rPr>
      </w:pPr>
      <w:r>
        <w:rPr>
          <w:color w:val="auto"/>
        </w:rPr>
        <w:t xml:space="preserve"> </w:t>
      </w:r>
    </w:p>
    <w:p w14:paraId="79569F98">
      <w:pPr>
        <w:pStyle w:val="14"/>
        <w:jc w:val="center"/>
        <w:outlineLvl w:val="2"/>
        <w:rPr>
          <w:color w:val="auto"/>
        </w:rPr>
      </w:pPr>
      <w:r>
        <w:rPr>
          <w:b/>
          <w:color w:val="auto"/>
          <w:sz w:val="28"/>
        </w:rPr>
        <w:t>附件5-1  技术和服务要求响应表</w:t>
      </w:r>
    </w:p>
    <w:p w14:paraId="3B7CBA3C">
      <w:pPr>
        <w:pStyle w:val="14"/>
        <w:ind w:firstLine="480"/>
        <w:jc w:val="center"/>
        <w:rPr>
          <w:color w:val="auto"/>
        </w:rPr>
      </w:pPr>
      <w:r>
        <w:rPr>
          <w:color w:val="auto"/>
        </w:rPr>
        <w:t>供应商名称：</w:t>
      </w:r>
      <w:r>
        <w:rPr>
          <w:color w:val="auto"/>
          <w:u w:val="single"/>
        </w:rPr>
        <w:t>（全称加盖单位公章）</w:t>
      </w:r>
      <w:r>
        <w:rPr>
          <w:color w:val="auto"/>
        </w:rPr>
        <w:t>项目编号∶</w:t>
      </w:r>
      <w:r>
        <w:rPr>
          <w:color w:val="auto"/>
          <w:u w:val="single"/>
        </w:rPr>
        <w:t>　　　　　　　　　　</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14:paraId="21B6BD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7F1E2825">
            <w:pPr>
              <w:pStyle w:val="14"/>
              <w:jc w:val="center"/>
              <w:rPr>
                <w:color w:val="auto"/>
              </w:rPr>
            </w:pPr>
            <w:r>
              <w:rPr>
                <w:color w:val="auto"/>
              </w:rPr>
              <w:t>采购包</w:t>
            </w:r>
          </w:p>
        </w:tc>
        <w:tc>
          <w:tcPr>
            <w:tcW w:w="1519" w:type="dxa"/>
          </w:tcPr>
          <w:p w14:paraId="439F6B8D">
            <w:pPr>
              <w:pStyle w:val="14"/>
              <w:jc w:val="center"/>
              <w:rPr>
                <w:color w:val="auto"/>
              </w:rPr>
            </w:pPr>
            <w:r>
              <w:rPr>
                <w:color w:val="auto"/>
              </w:rPr>
              <w:t>章节条目号</w:t>
            </w:r>
          </w:p>
        </w:tc>
        <w:tc>
          <w:tcPr>
            <w:tcW w:w="2026" w:type="dxa"/>
          </w:tcPr>
          <w:p w14:paraId="026EB2FE">
            <w:pPr>
              <w:pStyle w:val="14"/>
              <w:jc w:val="center"/>
              <w:rPr>
                <w:color w:val="auto"/>
              </w:rPr>
            </w:pPr>
            <w:r>
              <w:rPr>
                <w:color w:val="auto"/>
              </w:rPr>
              <w:t>竞争性磋商文件规定的技术和服务要求</w:t>
            </w:r>
          </w:p>
        </w:tc>
        <w:tc>
          <w:tcPr>
            <w:tcW w:w="2026" w:type="dxa"/>
          </w:tcPr>
          <w:p w14:paraId="349AF8AA">
            <w:pPr>
              <w:pStyle w:val="14"/>
              <w:jc w:val="center"/>
              <w:rPr>
                <w:color w:val="auto"/>
              </w:rPr>
            </w:pPr>
            <w:r>
              <w:rPr>
                <w:color w:val="auto"/>
              </w:rPr>
              <w:t>响应文件响应承诺</w:t>
            </w:r>
          </w:p>
        </w:tc>
        <w:tc>
          <w:tcPr>
            <w:tcW w:w="2026" w:type="dxa"/>
          </w:tcPr>
          <w:p w14:paraId="0C44A1A1">
            <w:pPr>
              <w:pStyle w:val="14"/>
              <w:jc w:val="center"/>
              <w:rPr>
                <w:color w:val="auto"/>
              </w:rPr>
            </w:pPr>
            <w:r>
              <w:rPr>
                <w:color w:val="auto"/>
              </w:rPr>
              <w:t>是否偏离及说明</w:t>
            </w:r>
          </w:p>
        </w:tc>
      </w:tr>
      <w:tr w14:paraId="46447D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35CE724A">
            <w:pPr>
              <w:rPr>
                <w:color w:val="auto"/>
              </w:rPr>
            </w:pPr>
          </w:p>
        </w:tc>
        <w:tc>
          <w:tcPr>
            <w:tcW w:w="1519" w:type="dxa"/>
          </w:tcPr>
          <w:p w14:paraId="2C1E4940">
            <w:pPr>
              <w:pStyle w:val="14"/>
              <w:jc w:val="center"/>
              <w:rPr>
                <w:color w:val="auto"/>
              </w:rPr>
            </w:pPr>
            <w:r>
              <w:rPr>
                <w:color w:val="auto"/>
              </w:rPr>
              <w:t xml:space="preserve">    </w:t>
            </w:r>
          </w:p>
        </w:tc>
        <w:tc>
          <w:tcPr>
            <w:tcW w:w="2026" w:type="dxa"/>
          </w:tcPr>
          <w:p w14:paraId="36E63960">
            <w:pPr>
              <w:pStyle w:val="14"/>
              <w:jc w:val="center"/>
              <w:rPr>
                <w:color w:val="auto"/>
              </w:rPr>
            </w:pPr>
            <w:r>
              <w:rPr>
                <w:color w:val="auto"/>
              </w:rPr>
              <w:t xml:space="preserve">    </w:t>
            </w:r>
          </w:p>
        </w:tc>
        <w:tc>
          <w:tcPr>
            <w:tcW w:w="2026" w:type="dxa"/>
          </w:tcPr>
          <w:p w14:paraId="528D7D4E">
            <w:pPr>
              <w:pStyle w:val="14"/>
              <w:jc w:val="center"/>
              <w:rPr>
                <w:color w:val="auto"/>
              </w:rPr>
            </w:pPr>
            <w:r>
              <w:rPr>
                <w:color w:val="auto"/>
              </w:rPr>
              <w:t xml:space="preserve">    </w:t>
            </w:r>
          </w:p>
        </w:tc>
        <w:tc>
          <w:tcPr>
            <w:tcW w:w="2026" w:type="dxa"/>
          </w:tcPr>
          <w:p w14:paraId="1F8815F4">
            <w:pPr>
              <w:pStyle w:val="14"/>
              <w:jc w:val="center"/>
              <w:rPr>
                <w:color w:val="auto"/>
              </w:rPr>
            </w:pPr>
            <w:r>
              <w:rPr>
                <w:color w:val="auto"/>
              </w:rPr>
              <w:t xml:space="preserve">    </w:t>
            </w:r>
          </w:p>
        </w:tc>
      </w:tr>
      <w:tr w14:paraId="523A56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57AD114D">
            <w:pPr>
              <w:rPr>
                <w:color w:val="auto"/>
              </w:rPr>
            </w:pPr>
          </w:p>
        </w:tc>
        <w:tc>
          <w:tcPr>
            <w:tcW w:w="1519" w:type="dxa"/>
          </w:tcPr>
          <w:p w14:paraId="15638761">
            <w:pPr>
              <w:pStyle w:val="14"/>
              <w:jc w:val="center"/>
              <w:rPr>
                <w:color w:val="auto"/>
              </w:rPr>
            </w:pPr>
            <w:r>
              <w:rPr>
                <w:color w:val="auto"/>
              </w:rPr>
              <w:t xml:space="preserve">    </w:t>
            </w:r>
          </w:p>
        </w:tc>
        <w:tc>
          <w:tcPr>
            <w:tcW w:w="2026" w:type="dxa"/>
          </w:tcPr>
          <w:p w14:paraId="1DA14A21">
            <w:pPr>
              <w:pStyle w:val="14"/>
              <w:jc w:val="center"/>
              <w:rPr>
                <w:color w:val="auto"/>
              </w:rPr>
            </w:pPr>
            <w:r>
              <w:rPr>
                <w:color w:val="auto"/>
              </w:rPr>
              <w:t xml:space="preserve">    </w:t>
            </w:r>
          </w:p>
        </w:tc>
        <w:tc>
          <w:tcPr>
            <w:tcW w:w="2026" w:type="dxa"/>
          </w:tcPr>
          <w:p w14:paraId="4065F1C1">
            <w:pPr>
              <w:pStyle w:val="14"/>
              <w:jc w:val="center"/>
              <w:rPr>
                <w:color w:val="auto"/>
              </w:rPr>
            </w:pPr>
            <w:r>
              <w:rPr>
                <w:color w:val="auto"/>
              </w:rPr>
              <w:t xml:space="preserve">    </w:t>
            </w:r>
          </w:p>
        </w:tc>
        <w:tc>
          <w:tcPr>
            <w:tcW w:w="2026" w:type="dxa"/>
          </w:tcPr>
          <w:p w14:paraId="0DCCE4DD">
            <w:pPr>
              <w:pStyle w:val="14"/>
              <w:jc w:val="center"/>
              <w:rPr>
                <w:color w:val="auto"/>
              </w:rPr>
            </w:pPr>
            <w:r>
              <w:rPr>
                <w:color w:val="auto"/>
              </w:rPr>
              <w:t xml:space="preserve">    </w:t>
            </w:r>
          </w:p>
        </w:tc>
      </w:tr>
      <w:tr w14:paraId="046061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01F42017">
            <w:pPr>
              <w:rPr>
                <w:color w:val="auto"/>
              </w:rPr>
            </w:pPr>
          </w:p>
        </w:tc>
        <w:tc>
          <w:tcPr>
            <w:tcW w:w="1519" w:type="dxa"/>
          </w:tcPr>
          <w:p w14:paraId="5C8AE05D">
            <w:pPr>
              <w:pStyle w:val="14"/>
              <w:jc w:val="center"/>
              <w:rPr>
                <w:color w:val="auto"/>
              </w:rPr>
            </w:pPr>
            <w:r>
              <w:rPr>
                <w:color w:val="auto"/>
              </w:rPr>
              <w:t xml:space="preserve">    </w:t>
            </w:r>
          </w:p>
        </w:tc>
        <w:tc>
          <w:tcPr>
            <w:tcW w:w="2026" w:type="dxa"/>
          </w:tcPr>
          <w:p w14:paraId="6FA96CCA">
            <w:pPr>
              <w:pStyle w:val="14"/>
              <w:jc w:val="center"/>
              <w:rPr>
                <w:color w:val="auto"/>
              </w:rPr>
            </w:pPr>
            <w:r>
              <w:rPr>
                <w:color w:val="auto"/>
              </w:rPr>
              <w:t xml:space="preserve">    </w:t>
            </w:r>
          </w:p>
        </w:tc>
        <w:tc>
          <w:tcPr>
            <w:tcW w:w="2026" w:type="dxa"/>
          </w:tcPr>
          <w:p w14:paraId="0CB78A83">
            <w:pPr>
              <w:pStyle w:val="14"/>
              <w:jc w:val="center"/>
              <w:rPr>
                <w:color w:val="auto"/>
              </w:rPr>
            </w:pPr>
            <w:r>
              <w:rPr>
                <w:color w:val="auto"/>
              </w:rPr>
              <w:t xml:space="preserve">    </w:t>
            </w:r>
          </w:p>
        </w:tc>
        <w:tc>
          <w:tcPr>
            <w:tcW w:w="2026" w:type="dxa"/>
          </w:tcPr>
          <w:p w14:paraId="78DD7E07">
            <w:pPr>
              <w:pStyle w:val="14"/>
              <w:jc w:val="center"/>
              <w:rPr>
                <w:color w:val="auto"/>
              </w:rPr>
            </w:pPr>
            <w:r>
              <w:rPr>
                <w:color w:val="auto"/>
              </w:rPr>
              <w:t xml:space="preserve">    </w:t>
            </w:r>
          </w:p>
        </w:tc>
      </w:tr>
    </w:tbl>
    <w:p w14:paraId="6C32BF45">
      <w:pPr>
        <w:pStyle w:val="14"/>
        <w:jc w:val="center"/>
        <w:rPr>
          <w:color w:val="auto"/>
        </w:rPr>
      </w:pPr>
      <w:r>
        <w:rPr>
          <w:b/>
          <w:color w:val="auto"/>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4F620B39">
      <w:pPr>
        <w:pStyle w:val="14"/>
        <w:jc w:val="center"/>
        <w:rPr>
          <w:rFonts w:hint="eastAsia" w:eastAsiaTheme="minorEastAsia"/>
          <w:b/>
          <w:color w:val="auto"/>
          <w:lang w:eastAsia="zh-CN"/>
        </w:rPr>
      </w:pPr>
      <w:r>
        <w:rPr>
          <w:b/>
          <w:color w:val="auto"/>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14:paraId="386E526A">
      <w:pPr>
        <w:pStyle w:val="14"/>
        <w:jc w:val="center"/>
        <w:rPr>
          <w:rFonts w:hint="eastAsia" w:eastAsiaTheme="minorEastAsia"/>
          <w:b/>
          <w:color w:val="auto"/>
          <w:lang w:eastAsia="zh-CN"/>
        </w:rPr>
      </w:pPr>
    </w:p>
    <w:p w14:paraId="6109BF27">
      <w:pPr>
        <w:pStyle w:val="14"/>
        <w:jc w:val="center"/>
        <w:rPr>
          <w:rFonts w:hint="eastAsia" w:eastAsiaTheme="minorEastAsia"/>
          <w:color w:val="auto"/>
          <w:lang w:eastAsia="zh-CN"/>
        </w:rPr>
      </w:pPr>
    </w:p>
    <w:p w14:paraId="4B835545">
      <w:pPr>
        <w:pStyle w:val="14"/>
        <w:ind w:firstLine="480"/>
        <w:jc w:val="center"/>
        <w:rPr>
          <w:color w:val="auto"/>
        </w:rPr>
      </w:pPr>
      <w:r>
        <w:rPr>
          <w:color w:val="auto"/>
        </w:rPr>
        <w:t>供应商代表签字：</w:t>
      </w:r>
      <w:r>
        <w:rPr>
          <w:color w:val="auto"/>
          <w:u w:val="single"/>
        </w:rPr>
        <w:t>　　　　　　　　　　</w:t>
      </w:r>
    </w:p>
    <w:p w14:paraId="4E36084E">
      <w:pPr>
        <w:pStyle w:val="14"/>
        <w:jc w:val="center"/>
        <w:rPr>
          <w:color w:val="auto"/>
        </w:rPr>
      </w:pPr>
    </w:p>
    <w:p w14:paraId="2DBECC5D">
      <w:pPr>
        <w:pStyle w:val="14"/>
        <w:jc w:val="center"/>
        <w:rPr>
          <w:color w:val="auto"/>
        </w:rPr>
      </w:pPr>
      <w:r>
        <w:rPr>
          <w:color w:val="auto"/>
        </w:rPr>
        <w:t xml:space="preserve"> </w:t>
      </w:r>
    </w:p>
    <w:p w14:paraId="73BC4AF2">
      <w:pPr>
        <w:pStyle w:val="14"/>
        <w:jc w:val="center"/>
        <w:outlineLvl w:val="3"/>
        <w:rPr>
          <w:color w:val="auto"/>
        </w:rPr>
      </w:pPr>
      <w:r>
        <w:rPr>
          <w:b/>
          <w:color w:val="auto"/>
          <w:sz w:val="24"/>
        </w:rPr>
        <w:t>附件5-2        商务条件和其它事项响应表</w:t>
      </w:r>
    </w:p>
    <w:p w14:paraId="0A2CFFA6">
      <w:pPr>
        <w:pStyle w:val="14"/>
        <w:ind w:firstLine="480"/>
        <w:jc w:val="center"/>
        <w:rPr>
          <w:color w:val="auto"/>
        </w:rPr>
      </w:pPr>
      <w:r>
        <w:rPr>
          <w:color w:val="auto"/>
        </w:rPr>
        <w:t>供应商名称：</w:t>
      </w:r>
      <w:r>
        <w:rPr>
          <w:color w:val="auto"/>
          <w:u w:val="single"/>
        </w:rPr>
        <w:t>（全称加盖单位公章）</w:t>
      </w:r>
      <w:r>
        <w:rPr>
          <w:color w:val="auto"/>
        </w:rPr>
        <w:t>项目编号∶</w:t>
      </w:r>
      <w:r>
        <w:rPr>
          <w:color w:val="auto"/>
          <w:u w:val="single"/>
        </w:rPr>
        <w:t>　　　　　　　　　　</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14:paraId="7AE692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31937CCE">
            <w:pPr>
              <w:pStyle w:val="14"/>
              <w:jc w:val="center"/>
              <w:rPr>
                <w:color w:val="auto"/>
              </w:rPr>
            </w:pPr>
            <w:r>
              <w:rPr>
                <w:color w:val="auto"/>
              </w:rPr>
              <w:t>采购包</w:t>
            </w:r>
          </w:p>
        </w:tc>
        <w:tc>
          <w:tcPr>
            <w:tcW w:w="1519" w:type="dxa"/>
          </w:tcPr>
          <w:p w14:paraId="774E7D9F">
            <w:pPr>
              <w:pStyle w:val="14"/>
              <w:jc w:val="center"/>
              <w:rPr>
                <w:color w:val="auto"/>
              </w:rPr>
            </w:pPr>
            <w:r>
              <w:rPr>
                <w:color w:val="auto"/>
              </w:rPr>
              <w:t>章节条目号</w:t>
            </w:r>
          </w:p>
        </w:tc>
        <w:tc>
          <w:tcPr>
            <w:tcW w:w="2026" w:type="dxa"/>
          </w:tcPr>
          <w:p w14:paraId="58741C72">
            <w:pPr>
              <w:pStyle w:val="14"/>
              <w:jc w:val="center"/>
              <w:rPr>
                <w:color w:val="auto"/>
              </w:rPr>
            </w:pPr>
            <w:r>
              <w:rPr>
                <w:color w:val="auto"/>
              </w:rPr>
              <w:t>竞争性磋商文件规定的商务条件要求</w:t>
            </w:r>
          </w:p>
        </w:tc>
        <w:tc>
          <w:tcPr>
            <w:tcW w:w="2026" w:type="dxa"/>
          </w:tcPr>
          <w:p w14:paraId="7D2466ED">
            <w:pPr>
              <w:pStyle w:val="14"/>
              <w:jc w:val="center"/>
              <w:rPr>
                <w:color w:val="auto"/>
              </w:rPr>
            </w:pPr>
            <w:r>
              <w:rPr>
                <w:color w:val="auto"/>
              </w:rPr>
              <w:t>响应文件响应承诺</w:t>
            </w:r>
          </w:p>
        </w:tc>
        <w:tc>
          <w:tcPr>
            <w:tcW w:w="2026" w:type="dxa"/>
          </w:tcPr>
          <w:p w14:paraId="2998C1F2">
            <w:pPr>
              <w:pStyle w:val="14"/>
              <w:jc w:val="center"/>
              <w:rPr>
                <w:color w:val="auto"/>
              </w:rPr>
            </w:pPr>
            <w:r>
              <w:rPr>
                <w:color w:val="auto"/>
              </w:rPr>
              <w:t>是否偏离及说明</w:t>
            </w:r>
          </w:p>
        </w:tc>
      </w:tr>
      <w:tr w14:paraId="3557C9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26EC88E0">
            <w:pPr>
              <w:rPr>
                <w:color w:val="auto"/>
              </w:rPr>
            </w:pPr>
          </w:p>
        </w:tc>
        <w:tc>
          <w:tcPr>
            <w:tcW w:w="1519" w:type="dxa"/>
          </w:tcPr>
          <w:p w14:paraId="6DB2FF74">
            <w:pPr>
              <w:pStyle w:val="14"/>
              <w:jc w:val="center"/>
              <w:rPr>
                <w:color w:val="auto"/>
              </w:rPr>
            </w:pPr>
            <w:r>
              <w:rPr>
                <w:color w:val="auto"/>
              </w:rPr>
              <w:t xml:space="preserve">    </w:t>
            </w:r>
          </w:p>
        </w:tc>
        <w:tc>
          <w:tcPr>
            <w:tcW w:w="2026" w:type="dxa"/>
          </w:tcPr>
          <w:p w14:paraId="40DDB1CC">
            <w:pPr>
              <w:pStyle w:val="14"/>
              <w:jc w:val="center"/>
              <w:rPr>
                <w:color w:val="auto"/>
              </w:rPr>
            </w:pPr>
            <w:r>
              <w:rPr>
                <w:color w:val="auto"/>
              </w:rPr>
              <w:t xml:space="preserve">    </w:t>
            </w:r>
          </w:p>
        </w:tc>
        <w:tc>
          <w:tcPr>
            <w:tcW w:w="2026" w:type="dxa"/>
          </w:tcPr>
          <w:p w14:paraId="25449836">
            <w:pPr>
              <w:pStyle w:val="14"/>
              <w:jc w:val="center"/>
              <w:rPr>
                <w:color w:val="auto"/>
              </w:rPr>
            </w:pPr>
            <w:r>
              <w:rPr>
                <w:color w:val="auto"/>
              </w:rPr>
              <w:t xml:space="preserve">    </w:t>
            </w:r>
          </w:p>
        </w:tc>
        <w:tc>
          <w:tcPr>
            <w:tcW w:w="2026" w:type="dxa"/>
          </w:tcPr>
          <w:p w14:paraId="44E58512">
            <w:pPr>
              <w:pStyle w:val="14"/>
              <w:jc w:val="center"/>
              <w:rPr>
                <w:color w:val="auto"/>
              </w:rPr>
            </w:pPr>
            <w:r>
              <w:rPr>
                <w:color w:val="auto"/>
              </w:rPr>
              <w:t xml:space="preserve">    </w:t>
            </w:r>
          </w:p>
        </w:tc>
      </w:tr>
      <w:tr w14:paraId="6FFBEB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7382C5EB">
            <w:pPr>
              <w:rPr>
                <w:color w:val="auto"/>
              </w:rPr>
            </w:pPr>
          </w:p>
        </w:tc>
        <w:tc>
          <w:tcPr>
            <w:tcW w:w="1519" w:type="dxa"/>
          </w:tcPr>
          <w:p w14:paraId="1BCCA09C">
            <w:pPr>
              <w:pStyle w:val="14"/>
              <w:jc w:val="center"/>
              <w:rPr>
                <w:color w:val="auto"/>
              </w:rPr>
            </w:pPr>
            <w:r>
              <w:rPr>
                <w:color w:val="auto"/>
              </w:rPr>
              <w:t xml:space="preserve">    </w:t>
            </w:r>
          </w:p>
        </w:tc>
        <w:tc>
          <w:tcPr>
            <w:tcW w:w="2026" w:type="dxa"/>
          </w:tcPr>
          <w:p w14:paraId="6A51C3C2">
            <w:pPr>
              <w:pStyle w:val="14"/>
              <w:jc w:val="center"/>
              <w:rPr>
                <w:color w:val="auto"/>
              </w:rPr>
            </w:pPr>
            <w:r>
              <w:rPr>
                <w:color w:val="auto"/>
              </w:rPr>
              <w:t xml:space="preserve">    </w:t>
            </w:r>
          </w:p>
        </w:tc>
        <w:tc>
          <w:tcPr>
            <w:tcW w:w="2026" w:type="dxa"/>
          </w:tcPr>
          <w:p w14:paraId="0C37DB64">
            <w:pPr>
              <w:pStyle w:val="14"/>
              <w:jc w:val="center"/>
              <w:rPr>
                <w:color w:val="auto"/>
              </w:rPr>
            </w:pPr>
            <w:r>
              <w:rPr>
                <w:color w:val="auto"/>
              </w:rPr>
              <w:t xml:space="preserve">    </w:t>
            </w:r>
          </w:p>
        </w:tc>
        <w:tc>
          <w:tcPr>
            <w:tcW w:w="2026" w:type="dxa"/>
          </w:tcPr>
          <w:p w14:paraId="51F02CB8">
            <w:pPr>
              <w:pStyle w:val="14"/>
              <w:jc w:val="center"/>
              <w:rPr>
                <w:color w:val="auto"/>
              </w:rPr>
            </w:pPr>
            <w:r>
              <w:rPr>
                <w:color w:val="auto"/>
              </w:rPr>
              <w:t xml:space="preserve">    </w:t>
            </w:r>
          </w:p>
        </w:tc>
      </w:tr>
      <w:tr w14:paraId="263B7C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748B923A">
            <w:pPr>
              <w:rPr>
                <w:color w:val="auto"/>
              </w:rPr>
            </w:pPr>
          </w:p>
        </w:tc>
        <w:tc>
          <w:tcPr>
            <w:tcW w:w="1519" w:type="dxa"/>
          </w:tcPr>
          <w:p w14:paraId="4FE56612">
            <w:pPr>
              <w:pStyle w:val="14"/>
              <w:jc w:val="center"/>
              <w:rPr>
                <w:color w:val="auto"/>
              </w:rPr>
            </w:pPr>
            <w:r>
              <w:rPr>
                <w:color w:val="auto"/>
              </w:rPr>
              <w:t xml:space="preserve">    </w:t>
            </w:r>
          </w:p>
        </w:tc>
        <w:tc>
          <w:tcPr>
            <w:tcW w:w="2026" w:type="dxa"/>
          </w:tcPr>
          <w:p w14:paraId="04C5138B">
            <w:pPr>
              <w:pStyle w:val="14"/>
              <w:jc w:val="center"/>
              <w:rPr>
                <w:color w:val="auto"/>
              </w:rPr>
            </w:pPr>
            <w:r>
              <w:rPr>
                <w:color w:val="auto"/>
              </w:rPr>
              <w:t xml:space="preserve">    </w:t>
            </w:r>
          </w:p>
        </w:tc>
        <w:tc>
          <w:tcPr>
            <w:tcW w:w="2026" w:type="dxa"/>
          </w:tcPr>
          <w:p w14:paraId="64F28041">
            <w:pPr>
              <w:pStyle w:val="14"/>
              <w:jc w:val="center"/>
              <w:rPr>
                <w:color w:val="auto"/>
              </w:rPr>
            </w:pPr>
            <w:r>
              <w:rPr>
                <w:color w:val="auto"/>
              </w:rPr>
              <w:t xml:space="preserve">    </w:t>
            </w:r>
          </w:p>
        </w:tc>
        <w:tc>
          <w:tcPr>
            <w:tcW w:w="2026" w:type="dxa"/>
          </w:tcPr>
          <w:p w14:paraId="715AB4CC">
            <w:pPr>
              <w:pStyle w:val="14"/>
              <w:jc w:val="center"/>
              <w:rPr>
                <w:color w:val="auto"/>
              </w:rPr>
            </w:pPr>
            <w:r>
              <w:rPr>
                <w:color w:val="auto"/>
              </w:rPr>
              <w:t xml:space="preserve">    </w:t>
            </w:r>
          </w:p>
        </w:tc>
      </w:tr>
    </w:tbl>
    <w:p w14:paraId="6CDE7AFD">
      <w:pPr>
        <w:pStyle w:val="14"/>
        <w:jc w:val="center"/>
        <w:rPr>
          <w:color w:val="auto"/>
        </w:rPr>
      </w:pPr>
      <w:r>
        <w:rPr>
          <w:b/>
          <w:color w:val="auto"/>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47704EB7">
      <w:pPr>
        <w:pStyle w:val="14"/>
        <w:jc w:val="center"/>
        <w:rPr>
          <w:rFonts w:hint="eastAsia" w:eastAsiaTheme="minorEastAsia"/>
          <w:b/>
          <w:color w:val="auto"/>
          <w:lang w:eastAsia="zh-CN"/>
        </w:rPr>
      </w:pPr>
      <w:r>
        <w:rPr>
          <w:b/>
          <w:color w:val="auto"/>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14:paraId="6EFBB25E">
      <w:pPr>
        <w:pStyle w:val="14"/>
        <w:jc w:val="center"/>
        <w:rPr>
          <w:rFonts w:hint="eastAsia" w:eastAsiaTheme="minorEastAsia"/>
          <w:b/>
          <w:color w:val="auto"/>
          <w:lang w:eastAsia="zh-CN"/>
        </w:rPr>
      </w:pPr>
    </w:p>
    <w:p w14:paraId="15054CAE">
      <w:pPr>
        <w:pStyle w:val="14"/>
        <w:jc w:val="center"/>
        <w:rPr>
          <w:rFonts w:hint="eastAsia" w:eastAsiaTheme="minorEastAsia"/>
          <w:color w:val="auto"/>
          <w:lang w:eastAsia="zh-CN"/>
        </w:rPr>
      </w:pPr>
    </w:p>
    <w:p w14:paraId="72449BDA">
      <w:pPr>
        <w:pStyle w:val="14"/>
        <w:ind w:firstLine="480"/>
        <w:jc w:val="center"/>
        <w:rPr>
          <w:color w:val="auto"/>
        </w:rPr>
      </w:pPr>
      <w:r>
        <w:rPr>
          <w:color w:val="auto"/>
        </w:rPr>
        <w:t>供应商代表签字：</w:t>
      </w:r>
      <w:r>
        <w:rPr>
          <w:color w:val="auto"/>
          <w:u w:val="single"/>
        </w:rPr>
        <w:t>　　　　　　　　　　</w:t>
      </w:r>
    </w:p>
    <w:p w14:paraId="6E1383A0">
      <w:pPr>
        <w:pStyle w:val="14"/>
        <w:jc w:val="center"/>
        <w:rPr>
          <w:color w:val="auto"/>
        </w:rPr>
      </w:pPr>
    </w:p>
    <w:p w14:paraId="16B579B1">
      <w:pPr>
        <w:pStyle w:val="14"/>
        <w:jc w:val="center"/>
        <w:rPr>
          <w:color w:val="auto"/>
        </w:rPr>
      </w:pPr>
      <w:r>
        <w:rPr>
          <w:color w:val="auto"/>
        </w:rPr>
        <w:t xml:space="preserve"> </w:t>
      </w:r>
    </w:p>
    <w:p w14:paraId="2FAC14CE">
      <w:pPr>
        <w:pStyle w:val="14"/>
        <w:jc w:val="center"/>
        <w:outlineLvl w:val="2"/>
        <w:rPr>
          <w:color w:val="auto"/>
        </w:rPr>
      </w:pPr>
      <w:r>
        <w:rPr>
          <w:b/>
          <w:color w:val="auto"/>
          <w:sz w:val="28"/>
        </w:rPr>
        <w:t>附件6   相关技术、商务、服务响应承诺及资料</w:t>
      </w:r>
    </w:p>
    <w:p w14:paraId="3C01A751">
      <w:pPr>
        <w:pStyle w:val="14"/>
        <w:ind w:firstLine="480"/>
        <w:jc w:val="left"/>
        <w:rPr>
          <w:color w:val="auto"/>
        </w:rPr>
      </w:pPr>
      <w:r>
        <w:rPr>
          <w:color w:val="auto"/>
        </w:rPr>
        <w:t>说明：</w:t>
      </w:r>
    </w:p>
    <w:p w14:paraId="3430871A">
      <w:pPr>
        <w:pStyle w:val="14"/>
        <w:ind w:firstLine="480"/>
        <w:jc w:val="left"/>
        <w:rPr>
          <w:color w:val="auto"/>
        </w:rPr>
      </w:pPr>
      <w:r>
        <w:rPr>
          <w:color w:val="auto"/>
        </w:rPr>
        <w:t>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14:paraId="1251AC6A">
      <w:pPr>
        <w:pStyle w:val="14"/>
        <w:ind w:firstLine="480"/>
        <w:jc w:val="left"/>
        <w:rPr>
          <w:rFonts w:hint="eastAsia" w:eastAsiaTheme="minorEastAsia"/>
          <w:color w:val="auto"/>
          <w:lang w:eastAsia="zh-CN"/>
        </w:rPr>
      </w:pPr>
      <w:r>
        <w:rPr>
          <w:color w:val="auto"/>
        </w:rPr>
        <w:t>2.如果没有特别要求的，供应商根据磋商文件的要求以及特点，提供相关技术、商务、服务响应承诺及资料，格式自拟。</w:t>
      </w:r>
    </w:p>
    <w:p w14:paraId="18776537">
      <w:pPr>
        <w:pStyle w:val="14"/>
        <w:ind w:firstLine="480"/>
        <w:jc w:val="left"/>
        <w:rPr>
          <w:rFonts w:hint="eastAsia" w:eastAsiaTheme="minorEastAsia"/>
          <w:color w:val="auto"/>
          <w:lang w:eastAsia="zh-CN"/>
        </w:rPr>
      </w:pPr>
    </w:p>
    <w:p w14:paraId="00E9A267">
      <w:pPr>
        <w:pStyle w:val="14"/>
        <w:ind w:firstLine="480"/>
        <w:jc w:val="left"/>
        <w:rPr>
          <w:rFonts w:hint="eastAsia" w:eastAsiaTheme="minorEastAsia"/>
          <w:color w:val="auto"/>
          <w:lang w:eastAsia="zh-CN"/>
        </w:rPr>
      </w:pPr>
    </w:p>
    <w:p w14:paraId="67DC1280">
      <w:pPr>
        <w:pStyle w:val="14"/>
        <w:ind w:firstLine="480"/>
        <w:jc w:val="left"/>
        <w:rPr>
          <w:rFonts w:hint="eastAsia" w:eastAsiaTheme="minorEastAsia"/>
          <w:color w:val="auto"/>
          <w:lang w:eastAsia="zh-CN"/>
        </w:rPr>
      </w:pPr>
    </w:p>
    <w:p w14:paraId="2737BCEE">
      <w:pPr>
        <w:pStyle w:val="14"/>
        <w:ind w:firstLine="480"/>
        <w:jc w:val="left"/>
        <w:rPr>
          <w:rFonts w:hint="eastAsia" w:eastAsiaTheme="minorEastAsia"/>
          <w:color w:val="auto"/>
          <w:lang w:eastAsia="zh-CN"/>
        </w:rPr>
      </w:pPr>
    </w:p>
    <w:p w14:paraId="0738F0EC">
      <w:pPr>
        <w:pStyle w:val="14"/>
        <w:ind w:firstLine="480"/>
        <w:jc w:val="left"/>
        <w:rPr>
          <w:color w:val="auto"/>
        </w:rPr>
      </w:pPr>
      <w:r>
        <w:rPr>
          <w:color w:val="auto"/>
        </w:rPr>
        <w:t>供应商代表</w:t>
      </w:r>
      <w:r>
        <w:rPr>
          <w:color w:val="auto"/>
          <w:u w:val="single"/>
        </w:rPr>
        <w:t>　　　　　（签字）</w:t>
      </w:r>
    </w:p>
    <w:p w14:paraId="5FFC9419">
      <w:pPr>
        <w:pStyle w:val="14"/>
        <w:ind w:firstLine="480"/>
        <w:jc w:val="left"/>
        <w:rPr>
          <w:color w:val="auto"/>
        </w:rPr>
      </w:pPr>
      <w:r>
        <w:rPr>
          <w:color w:val="auto"/>
        </w:rPr>
        <w:t>供应商名称</w:t>
      </w:r>
      <w:r>
        <w:rPr>
          <w:color w:val="auto"/>
          <w:u w:val="single"/>
        </w:rPr>
        <w:t>　　　　　（全称并加盖公章）　　　　　</w:t>
      </w:r>
    </w:p>
    <w:p w14:paraId="50F91BD0">
      <w:pPr>
        <w:pStyle w:val="14"/>
        <w:ind w:firstLine="480"/>
        <w:jc w:val="left"/>
        <w:rPr>
          <w:color w:val="auto"/>
        </w:rPr>
      </w:pPr>
      <w:r>
        <w:rPr>
          <w:color w:val="auto"/>
        </w:rPr>
        <w:t>日期：</w:t>
      </w:r>
      <w:r>
        <w:rPr>
          <w:color w:val="auto"/>
          <w:u w:val="single"/>
        </w:rPr>
        <w:t>　　　</w:t>
      </w:r>
      <w:r>
        <w:rPr>
          <w:color w:val="auto"/>
        </w:rPr>
        <w:t>年</w:t>
      </w:r>
      <w:r>
        <w:rPr>
          <w:color w:val="auto"/>
          <w:u w:val="single"/>
        </w:rPr>
        <w:t>　　　</w:t>
      </w:r>
      <w:r>
        <w:rPr>
          <w:color w:val="auto"/>
        </w:rPr>
        <w:t>月</w:t>
      </w:r>
      <w:r>
        <w:rPr>
          <w:color w:val="auto"/>
          <w:u w:val="single"/>
        </w:rPr>
        <w:t>　　　</w:t>
      </w:r>
      <w:r>
        <w:rPr>
          <w:color w:val="auto"/>
        </w:rPr>
        <w:t>日</w:t>
      </w:r>
    </w:p>
    <w:p w14:paraId="0C4B0A8A">
      <w:pPr>
        <w:pStyle w:val="14"/>
        <w:jc w:val="left"/>
        <w:rPr>
          <w:color w:val="auto"/>
        </w:rPr>
      </w:pPr>
    </w:p>
    <w:p w14:paraId="4787AFE1">
      <w:pPr>
        <w:pStyle w:val="14"/>
        <w:jc w:val="left"/>
        <w:rPr>
          <w:color w:val="auto"/>
        </w:rPr>
      </w:pPr>
      <w:r>
        <w:rPr>
          <w:color w:val="auto"/>
        </w:rPr>
        <w:t xml:space="preserve"> </w:t>
      </w:r>
    </w:p>
    <w:p w14:paraId="40EC6248">
      <w:pPr>
        <w:pStyle w:val="14"/>
        <w:jc w:val="center"/>
        <w:outlineLvl w:val="2"/>
        <w:rPr>
          <w:color w:val="auto"/>
        </w:rPr>
      </w:pPr>
      <w:r>
        <w:rPr>
          <w:b/>
          <w:color w:val="auto"/>
          <w:sz w:val="28"/>
        </w:rPr>
        <w:t>附件7    供应商提交符合政府采购政策的证明材料</w:t>
      </w:r>
    </w:p>
    <w:p w14:paraId="287D242D">
      <w:pPr>
        <w:pStyle w:val="14"/>
        <w:jc w:val="center"/>
        <w:outlineLvl w:val="3"/>
        <w:rPr>
          <w:color w:val="auto"/>
        </w:rPr>
      </w:pPr>
      <w:r>
        <w:rPr>
          <w:b/>
          <w:color w:val="auto"/>
          <w:sz w:val="24"/>
        </w:rPr>
        <w:t>附件7-1-1        中小企业声明函（若有）</w:t>
      </w:r>
    </w:p>
    <w:p w14:paraId="1143474F">
      <w:pPr>
        <w:pStyle w:val="14"/>
        <w:ind w:firstLine="480"/>
        <w:jc w:val="center"/>
        <w:rPr>
          <w:color w:val="auto"/>
        </w:rPr>
      </w:pPr>
      <w:r>
        <w:rPr>
          <w:color w:val="auto"/>
        </w:rPr>
        <w:t>中小企业声明函（货物）</w:t>
      </w:r>
    </w:p>
    <w:p w14:paraId="448429BB">
      <w:pPr>
        <w:pStyle w:val="14"/>
        <w:ind w:firstLine="480"/>
        <w:jc w:val="center"/>
        <w:rPr>
          <w:color w:val="auto"/>
        </w:rPr>
      </w:pPr>
      <w:r>
        <w:rPr>
          <w:color w:val="auto"/>
        </w:rPr>
        <w:t>本公司</w:t>
      </w:r>
      <w:r>
        <w:rPr>
          <w:color w:val="auto"/>
          <w:u w:val="single"/>
        </w:rPr>
        <w:t>（联合体）</w:t>
      </w:r>
      <w:r>
        <w:rPr>
          <w:color w:val="auto"/>
        </w:rPr>
        <w:t>郑重声明，根据《政府采购促进中小企业发展管理办法》（财库﹝2020﹞46号）的规定，本公司</w:t>
      </w:r>
      <w:r>
        <w:rPr>
          <w:color w:val="auto"/>
          <w:u w:val="single"/>
        </w:rPr>
        <w:t>（联合体）</w:t>
      </w:r>
      <w:r>
        <w:rPr>
          <w:color w:val="auto"/>
        </w:rPr>
        <w:t>参加</w:t>
      </w:r>
      <w:r>
        <w:rPr>
          <w:color w:val="auto"/>
          <w:u w:val="single"/>
        </w:rPr>
        <w:t>（单位名称）</w:t>
      </w:r>
      <w:r>
        <w:rPr>
          <w:color w:val="auto"/>
        </w:rPr>
        <w:t>的</w:t>
      </w:r>
      <w:r>
        <w:rPr>
          <w:color w:val="auto"/>
          <w:u w:val="single"/>
        </w:rPr>
        <w:t>（项目名称）</w:t>
      </w:r>
      <w:r>
        <w:rPr>
          <w:color w:val="auto"/>
        </w:rPr>
        <w:t>采购活动，提供的货物全部由符合政策要求的中小企业制造。相关企业（含联合体中的中小企业、签订分包意向协议的中小企业）的具体情况如下：</w:t>
      </w:r>
    </w:p>
    <w:p w14:paraId="5664778C">
      <w:pPr>
        <w:pStyle w:val="14"/>
        <w:ind w:firstLine="480"/>
        <w:jc w:val="center"/>
        <w:rPr>
          <w:color w:val="auto"/>
        </w:rPr>
      </w:pPr>
      <w:r>
        <w:rPr>
          <w:color w:val="auto"/>
        </w:rPr>
        <w:t>1.</w:t>
      </w:r>
      <w:r>
        <w:rPr>
          <w:color w:val="auto"/>
          <w:u w:val="single"/>
        </w:rPr>
        <w:t>（标的名称）</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，从业人员人，营业收入为万元，资产总额为万元1，属于</w:t>
      </w:r>
      <w:r>
        <w:rPr>
          <w:color w:val="auto"/>
          <w:u w:val="single"/>
        </w:rPr>
        <w:t>（中型企业、小型企业、微型企业）</w:t>
      </w:r>
      <w:r>
        <w:rPr>
          <w:color w:val="auto"/>
        </w:rPr>
        <w:t>；</w:t>
      </w:r>
    </w:p>
    <w:p w14:paraId="303AE5F3">
      <w:pPr>
        <w:pStyle w:val="14"/>
        <w:ind w:firstLine="480"/>
        <w:jc w:val="center"/>
        <w:rPr>
          <w:color w:val="auto"/>
        </w:rPr>
      </w:pPr>
      <w:r>
        <w:rPr>
          <w:color w:val="auto"/>
        </w:rPr>
        <w:t>2.</w:t>
      </w:r>
      <w:r>
        <w:rPr>
          <w:color w:val="auto"/>
          <w:u w:val="single"/>
        </w:rPr>
        <w:t>（标的名称）</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，从业人员人，营业收入为万元，资产总额为万元1，属于</w:t>
      </w:r>
      <w:r>
        <w:rPr>
          <w:color w:val="auto"/>
          <w:u w:val="single"/>
        </w:rPr>
        <w:t>（中型企业、小型企业、微型企业）</w:t>
      </w:r>
      <w:r>
        <w:rPr>
          <w:color w:val="auto"/>
        </w:rPr>
        <w:t>；</w:t>
      </w:r>
    </w:p>
    <w:p w14:paraId="3714DD35">
      <w:pPr>
        <w:pStyle w:val="14"/>
        <w:ind w:firstLine="480"/>
        <w:jc w:val="center"/>
        <w:rPr>
          <w:color w:val="auto"/>
        </w:rPr>
      </w:pPr>
      <w:r>
        <w:rPr>
          <w:color w:val="auto"/>
        </w:rPr>
        <w:t>......</w:t>
      </w:r>
    </w:p>
    <w:p w14:paraId="1DA999EA">
      <w:pPr>
        <w:pStyle w:val="14"/>
        <w:ind w:firstLine="480"/>
        <w:jc w:val="center"/>
        <w:rPr>
          <w:color w:val="auto"/>
        </w:rPr>
      </w:pPr>
      <w:r>
        <w:rPr>
          <w:color w:val="auto"/>
        </w:rPr>
        <w:t>以上企业，不属于大企业的分支机构，不存在控股股东为大企业的情形，也不存在与大企业的负责人为同一人的情形。</w:t>
      </w:r>
    </w:p>
    <w:p w14:paraId="373A2EFA">
      <w:pPr>
        <w:pStyle w:val="14"/>
        <w:ind w:firstLine="480"/>
        <w:jc w:val="center"/>
        <w:rPr>
          <w:color w:val="auto"/>
        </w:rPr>
      </w:pPr>
      <w:r>
        <w:rPr>
          <w:color w:val="auto"/>
        </w:rPr>
        <w:t>本企业对上述声明内容的真实性负责。如有虚假，将依法承担相应责任。</w:t>
      </w:r>
    </w:p>
    <w:p w14:paraId="04949965">
      <w:pPr>
        <w:pStyle w:val="14"/>
        <w:ind w:firstLine="480"/>
        <w:jc w:val="center"/>
        <w:rPr>
          <w:color w:val="auto"/>
        </w:rPr>
      </w:pPr>
      <w:r>
        <w:rPr>
          <w:color w:val="auto"/>
        </w:rPr>
        <w:t>企业名称（盖章）：</w:t>
      </w:r>
    </w:p>
    <w:p w14:paraId="4B5FB86C">
      <w:pPr>
        <w:pStyle w:val="14"/>
        <w:ind w:firstLine="480"/>
        <w:jc w:val="center"/>
        <w:rPr>
          <w:color w:val="auto"/>
        </w:rPr>
      </w:pPr>
      <w:r>
        <w:rPr>
          <w:color w:val="auto"/>
        </w:rPr>
        <w:t>日期：</w:t>
      </w:r>
      <w:r>
        <w:rPr>
          <w:color w:val="auto"/>
          <w:u w:val="single"/>
        </w:rPr>
        <w:t>　　　</w:t>
      </w:r>
      <w:r>
        <w:rPr>
          <w:color w:val="auto"/>
        </w:rPr>
        <w:t>年</w:t>
      </w:r>
      <w:r>
        <w:rPr>
          <w:color w:val="auto"/>
          <w:u w:val="single"/>
        </w:rPr>
        <w:t>　　　</w:t>
      </w:r>
      <w:r>
        <w:rPr>
          <w:color w:val="auto"/>
        </w:rPr>
        <w:t>月</w:t>
      </w:r>
      <w:r>
        <w:rPr>
          <w:color w:val="auto"/>
          <w:u w:val="single"/>
        </w:rPr>
        <w:t>　　　</w:t>
      </w:r>
      <w:r>
        <w:rPr>
          <w:color w:val="auto"/>
        </w:rPr>
        <w:t>日</w:t>
      </w:r>
    </w:p>
    <w:p w14:paraId="786D50D1">
      <w:pPr>
        <w:pStyle w:val="14"/>
        <w:ind w:firstLine="480"/>
        <w:jc w:val="center"/>
        <w:rPr>
          <w:color w:val="auto"/>
        </w:rPr>
      </w:pPr>
      <w:r>
        <w:rPr>
          <w:color w:val="auto"/>
        </w:rPr>
        <w:t>※注意：</w:t>
      </w:r>
    </w:p>
    <w:p w14:paraId="0DC0E756">
      <w:pPr>
        <w:pStyle w:val="14"/>
        <w:ind w:firstLine="480"/>
        <w:jc w:val="center"/>
        <w:rPr>
          <w:color w:val="auto"/>
        </w:rPr>
      </w:pPr>
      <w:r>
        <w:rPr>
          <w:color w:val="auto"/>
        </w:rPr>
        <w:t>1、从业人员、营业收入、资产总额填报上一年度数据，无上一年度数据的新成立企业可不填报。</w:t>
      </w:r>
    </w:p>
    <w:p w14:paraId="4B3D57E4">
      <w:pPr>
        <w:pStyle w:val="14"/>
        <w:ind w:firstLine="480"/>
        <w:jc w:val="center"/>
        <w:rPr>
          <w:color w:val="auto"/>
        </w:rPr>
      </w:pPr>
      <w:r>
        <w:rPr>
          <w:color w:val="auto"/>
        </w:rPr>
        <w:t>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5E8B7FF5">
      <w:pPr>
        <w:pStyle w:val="14"/>
        <w:ind w:firstLine="480"/>
        <w:jc w:val="center"/>
        <w:rPr>
          <w:color w:val="auto"/>
        </w:rPr>
      </w:pPr>
      <w:r>
        <w:rPr>
          <w:color w:val="auto"/>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3FC858FB">
      <w:pPr>
        <w:pStyle w:val="14"/>
        <w:jc w:val="center"/>
        <w:rPr>
          <w:color w:val="auto"/>
        </w:rPr>
      </w:pPr>
    </w:p>
    <w:p w14:paraId="0DD5C8F6">
      <w:pPr>
        <w:pStyle w:val="14"/>
        <w:jc w:val="center"/>
        <w:rPr>
          <w:color w:val="auto"/>
        </w:rPr>
      </w:pPr>
      <w:r>
        <w:rPr>
          <w:color w:val="auto"/>
        </w:rPr>
        <w:t xml:space="preserve"> </w:t>
      </w:r>
    </w:p>
    <w:p w14:paraId="60B88688">
      <w:pPr>
        <w:pStyle w:val="14"/>
        <w:jc w:val="center"/>
        <w:outlineLvl w:val="3"/>
        <w:rPr>
          <w:color w:val="auto"/>
        </w:rPr>
      </w:pPr>
      <w:r>
        <w:rPr>
          <w:b/>
          <w:color w:val="auto"/>
          <w:sz w:val="24"/>
        </w:rPr>
        <w:t xml:space="preserve"> 中小企业声明函（工程、服务）</w:t>
      </w:r>
    </w:p>
    <w:p w14:paraId="215432B4">
      <w:pPr>
        <w:pStyle w:val="14"/>
        <w:ind w:firstLine="480"/>
        <w:jc w:val="center"/>
        <w:rPr>
          <w:color w:val="auto"/>
        </w:rPr>
      </w:pPr>
      <w:r>
        <w:rPr>
          <w:color w:val="auto"/>
        </w:rPr>
        <w:t>本公司</w:t>
      </w:r>
      <w:r>
        <w:rPr>
          <w:color w:val="auto"/>
          <w:u w:val="single"/>
        </w:rPr>
        <w:t>（联合体）</w:t>
      </w:r>
      <w:r>
        <w:rPr>
          <w:color w:val="auto"/>
        </w:rPr>
        <w:t>郑重声明，根据《政府采购促进中小企业发展管理办法》（财库﹝2020﹞46号）的规定，本公司</w:t>
      </w:r>
      <w:r>
        <w:rPr>
          <w:color w:val="auto"/>
          <w:u w:val="single"/>
        </w:rPr>
        <w:t>（联合体）</w:t>
      </w:r>
      <w:r>
        <w:rPr>
          <w:color w:val="auto"/>
        </w:rPr>
        <w:t>参加</w:t>
      </w:r>
      <w:r>
        <w:rPr>
          <w:color w:val="auto"/>
          <w:u w:val="single"/>
        </w:rPr>
        <w:t>（单位名称）</w:t>
      </w:r>
      <w:r>
        <w:rPr>
          <w:color w:val="auto"/>
        </w:rPr>
        <w:t>的</w:t>
      </w:r>
      <w:r>
        <w:rPr>
          <w:color w:val="auto"/>
          <w:u w:val="single"/>
        </w:rPr>
        <w:t>（项目名称）</w:t>
      </w:r>
      <w:r>
        <w:rPr>
          <w:color w:val="auto"/>
        </w:rPr>
        <w:t>采购活动，工程的施工单位全部为符合政策要求的中小企业（或者：服务全部由符合政策要求的中小企业承接）。相关企业（含联合体中的中小企业、签订分包意向协议的中小企业）的具体情况如下：</w:t>
      </w:r>
    </w:p>
    <w:p w14:paraId="489C783A">
      <w:pPr>
        <w:pStyle w:val="14"/>
        <w:ind w:firstLine="480"/>
        <w:jc w:val="center"/>
        <w:rPr>
          <w:color w:val="auto"/>
        </w:rPr>
      </w:pPr>
      <w:r>
        <w:rPr>
          <w:color w:val="auto"/>
        </w:rPr>
        <w:t>1.</w:t>
      </w:r>
      <w:r>
        <w:rPr>
          <w:color w:val="auto"/>
          <w:u w:val="single"/>
        </w:rPr>
        <w:t>（标的名称）</w:t>
      </w:r>
      <w:r>
        <w:rPr>
          <w:color w:val="auto"/>
        </w:rPr>
        <w:t>，属于</w:t>
      </w:r>
      <w:r>
        <w:rPr>
          <w:color w:val="auto"/>
          <w:u w:val="single"/>
        </w:rPr>
        <w:t>（采购文件中明确的所属行业）</w:t>
      </w:r>
      <w:r>
        <w:rPr>
          <w:color w:val="auto"/>
        </w:rPr>
        <w:t>行业；承建（承接）企业为</w:t>
      </w:r>
      <w:r>
        <w:rPr>
          <w:color w:val="auto"/>
          <w:u w:val="single"/>
        </w:rPr>
        <w:t>（企业名称）</w:t>
      </w:r>
      <w:r>
        <w:rPr>
          <w:color w:val="auto"/>
        </w:rPr>
        <w:t>，从业人员</w:t>
      </w:r>
      <w:r>
        <w:rPr>
          <w:color w:val="auto"/>
          <w:u w:val="single"/>
        </w:rPr>
        <w:t xml:space="preserve"> </w:t>
      </w:r>
      <w:r>
        <w:rPr>
          <w:color w:val="auto"/>
        </w:rPr>
        <w:t>人，营业收入为</w:t>
      </w:r>
      <w:r>
        <w:rPr>
          <w:color w:val="auto"/>
          <w:u w:val="single"/>
        </w:rPr>
        <w:t xml:space="preserve"> </w:t>
      </w:r>
      <w:r>
        <w:rPr>
          <w:color w:val="auto"/>
        </w:rPr>
        <w:t>万元，资产总额为</w:t>
      </w:r>
      <w:r>
        <w:rPr>
          <w:color w:val="auto"/>
          <w:u w:val="single"/>
        </w:rPr>
        <w:t xml:space="preserve"> </w:t>
      </w:r>
      <w:r>
        <w:rPr>
          <w:color w:val="auto"/>
        </w:rPr>
        <w:t>万元1，属于</w:t>
      </w:r>
      <w:r>
        <w:rPr>
          <w:color w:val="auto"/>
          <w:u w:val="single"/>
        </w:rPr>
        <w:t>（中型企业、小型企业、微型企业）</w:t>
      </w:r>
      <w:r>
        <w:rPr>
          <w:color w:val="auto"/>
        </w:rPr>
        <w:t>；</w:t>
      </w:r>
    </w:p>
    <w:p w14:paraId="673E4482">
      <w:pPr>
        <w:pStyle w:val="14"/>
        <w:ind w:firstLine="480"/>
        <w:jc w:val="center"/>
        <w:rPr>
          <w:color w:val="auto"/>
        </w:rPr>
      </w:pPr>
      <w:r>
        <w:rPr>
          <w:color w:val="auto"/>
        </w:rPr>
        <w:t>1.</w:t>
      </w:r>
      <w:r>
        <w:rPr>
          <w:color w:val="auto"/>
          <w:u w:val="single"/>
        </w:rPr>
        <w:t>（标的名称）</w:t>
      </w:r>
      <w:r>
        <w:rPr>
          <w:color w:val="auto"/>
        </w:rPr>
        <w:t>，属于</w:t>
      </w:r>
      <w:r>
        <w:rPr>
          <w:color w:val="auto"/>
          <w:u w:val="single"/>
        </w:rPr>
        <w:t>（采购文件中明确的所属行业）</w:t>
      </w:r>
      <w:r>
        <w:rPr>
          <w:color w:val="auto"/>
        </w:rPr>
        <w:t>行业；承建（承接）企业为</w:t>
      </w:r>
      <w:r>
        <w:rPr>
          <w:color w:val="auto"/>
          <w:u w:val="single"/>
        </w:rPr>
        <w:t>（企业名称）</w:t>
      </w:r>
      <w:r>
        <w:rPr>
          <w:color w:val="auto"/>
        </w:rPr>
        <w:t>，从业人员</w:t>
      </w:r>
      <w:r>
        <w:rPr>
          <w:color w:val="auto"/>
          <w:u w:val="single"/>
        </w:rPr>
        <w:t xml:space="preserve"> </w:t>
      </w:r>
      <w:r>
        <w:rPr>
          <w:color w:val="auto"/>
        </w:rPr>
        <w:t>人，营业收入为</w:t>
      </w:r>
      <w:r>
        <w:rPr>
          <w:color w:val="auto"/>
          <w:u w:val="single"/>
        </w:rPr>
        <w:t xml:space="preserve"> </w:t>
      </w:r>
      <w:r>
        <w:rPr>
          <w:color w:val="auto"/>
        </w:rPr>
        <w:t>万元，资产总额为</w:t>
      </w:r>
      <w:r>
        <w:rPr>
          <w:color w:val="auto"/>
          <w:u w:val="single"/>
        </w:rPr>
        <w:t xml:space="preserve"> </w:t>
      </w:r>
      <w:r>
        <w:rPr>
          <w:color w:val="auto"/>
        </w:rPr>
        <w:t>万元1，属于</w:t>
      </w:r>
      <w:r>
        <w:rPr>
          <w:color w:val="auto"/>
          <w:u w:val="single"/>
        </w:rPr>
        <w:t>（中型企业、小型企业、微型企业）</w:t>
      </w:r>
      <w:r>
        <w:rPr>
          <w:color w:val="auto"/>
        </w:rPr>
        <w:t>；</w:t>
      </w:r>
    </w:p>
    <w:p w14:paraId="5B98FC8F">
      <w:pPr>
        <w:pStyle w:val="14"/>
        <w:ind w:firstLine="480"/>
        <w:jc w:val="center"/>
        <w:rPr>
          <w:color w:val="auto"/>
        </w:rPr>
      </w:pPr>
      <w:r>
        <w:rPr>
          <w:color w:val="auto"/>
        </w:rPr>
        <w:t>......</w:t>
      </w:r>
    </w:p>
    <w:p w14:paraId="5AD41B5A">
      <w:pPr>
        <w:pStyle w:val="14"/>
        <w:ind w:firstLine="480"/>
        <w:jc w:val="center"/>
        <w:rPr>
          <w:color w:val="auto"/>
        </w:rPr>
      </w:pPr>
      <w:r>
        <w:rPr>
          <w:color w:val="auto"/>
        </w:rPr>
        <w:t>以上企业，不属于大企业的分支机构，不存在控股股东为大企业的情形，也不存在与大企业的负责人为同一人的情形。</w:t>
      </w:r>
    </w:p>
    <w:p w14:paraId="7F2639DB">
      <w:pPr>
        <w:pStyle w:val="14"/>
        <w:ind w:firstLine="480"/>
        <w:jc w:val="center"/>
        <w:rPr>
          <w:color w:val="auto"/>
        </w:rPr>
      </w:pPr>
      <w:r>
        <w:rPr>
          <w:color w:val="auto"/>
        </w:rPr>
        <w:t>本企业对上述声明内容的真实性负责。如有虚假，将依法承担相应责任。</w:t>
      </w:r>
    </w:p>
    <w:p w14:paraId="0E28BD24">
      <w:pPr>
        <w:pStyle w:val="14"/>
        <w:ind w:firstLine="480"/>
        <w:jc w:val="center"/>
        <w:rPr>
          <w:color w:val="auto"/>
        </w:rPr>
      </w:pPr>
      <w:r>
        <w:rPr>
          <w:color w:val="auto"/>
        </w:rPr>
        <w:t>企业名称（盖章）：</w:t>
      </w:r>
    </w:p>
    <w:p w14:paraId="7A022EB0">
      <w:pPr>
        <w:pStyle w:val="14"/>
        <w:ind w:firstLine="480"/>
        <w:jc w:val="center"/>
        <w:rPr>
          <w:rFonts w:hint="eastAsia" w:eastAsiaTheme="minorEastAsia"/>
          <w:color w:val="auto"/>
          <w:lang w:eastAsia="zh-CN"/>
        </w:rPr>
      </w:pPr>
      <w:r>
        <w:rPr>
          <w:color w:val="auto"/>
        </w:rPr>
        <w:t>日期：</w:t>
      </w:r>
      <w:r>
        <w:rPr>
          <w:color w:val="auto"/>
          <w:u w:val="single"/>
        </w:rPr>
        <w:t>　　　</w:t>
      </w:r>
      <w:r>
        <w:rPr>
          <w:color w:val="auto"/>
        </w:rPr>
        <w:t>年</w:t>
      </w:r>
      <w:r>
        <w:rPr>
          <w:color w:val="auto"/>
          <w:u w:val="single"/>
        </w:rPr>
        <w:t>　　　</w:t>
      </w:r>
      <w:r>
        <w:rPr>
          <w:color w:val="auto"/>
        </w:rPr>
        <w:t>月</w:t>
      </w:r>
      <w:r>
        <w:rPr>
          <w:color w:val="auto"/>
          <w:u w:val="single"/>
        </w:rPr>
        <w:t>　　　</w:t>
      </w:r>
      <w:r>
        <w:rPr>
          <w:color w:val="auto"/>
        </w:rPr>
        <w:t>日</w:t>
      </w:r>
    </w:p>
    <w:p w14:paraId="614DBA75">
      <w:pPr>
        <w:pStyle w:val="14"/>
        <w:ind w:firstLine="480"/>
        <w:jc w:val="center"/>
        <w:rPr>
          <w:rFonts w:hint="eastAsia" w:eastAsiaTheme="minorEastAsia"/>
          <w:color w:val="auto"/>
          <w:lang w:eastAsia="zh-CN"/>
        </w:rPr>
      </w:pPr>
    </w:p>
    <w:p w14:paraId="38298C48">
      <w:pPr>
        <w:pStyle w:val="14"/>
        <w:ind w:firstLine="480"/>
        <w:jc w:val="center"/>
        <w:rPr>
          <w:color w:val="auto"/>
        </w:rPr>
      </w:pPr>
      <w:r>
        <w:rPr>
          <w:color w:val="auto"/>
        </w:rPr>
        <w:t>※注意：</w:t>
      </w:r>
    </w:p>
    <w:p w14:paraId="6360E005">
      <w:pPr>
        <w:pStyle w:val="14"/>
        <w:ind w:firstLine="480"/>
        <w:jc w:val="center"/>
        <w:rPr>
          <w:color w:val="auto"/>
        </w:rPr>
      </w:pPr>
      <w:r>
        <w:rPr>
          <w:color w:val="auto"/>
        </w:rPr>
        <w:t>1、从业人员、营业收入、资产总额填报上一年度数据，无上一年度数据的新成立企业可不填报。</w:t>
      </w:r>
    </w:p>
    <w:p w14:paraId="4B7C4814">
      <w:pPr>
        <w:pStyle w:val="14"/>
        <w:ind w:firstLine="480"/>
        <w:jc w:val="center"/>
        <w:rPr>
          <w:color w:val="auto"/>
        </w:rPr>
      </w:pPr>
      <w:r>
        <w:rPr>
          <w:color w:val="auto"/>
        </w:rPr>
        <w:t>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28F8C888">
      <w:pPr>
        <w:pStyle w:val="14"/>
        <w:ind w:firstLine="480"/>
        <w:jc w:val="center"/>
        <w:rPr>
          <w:rFonts w:hint="eastAsia" w:eastAsiaTheme="minorEastAsia"/>
          <w:color w:val="auto"/>
          <w:lang w:eastAsia="zh-CN"/>
        </w:rPr>
      </w:pPr>
      <w:r>
        <w:rPr>
          <w:color w:val="auto"/>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21D3BB50">
      <w:pPr>
        <w:pStyle w:val="14"/>
        <w:ind w:firstLine="480"/>
        <w:jc w:val="center"/>
        <w:rPr>
          <w:rFonts w:hint="eastAsia" w:eastAsiaTheme="minorEastAsia"/>
          <w:color w:val="auto"/>
          <w:lang w:eastAsia="zh-CN"/>
        </w:rPr>
      </w:pPr>
    </w:p>
    <w:p w14:paraId="617CD469">
      <w:pPr>
        <w:pStyle w:val="14"/>
        <w:jc w:val="center"/>
        <w:rPr>
          <w:color w:val="auto"/>
        </w:rPr>
      </w:pPr>
    </w:p>
    <w:p w14:paraId="02E3FFBB">
      <w:pPr>
        <w:pStyle w:val="14"/>
        <w:jc w:val="center"/>
        <w:rPr>
          <w:color w:val="auto"/>
        </w:rPr>
      </w:pPr>
      <w:r>
        <w:rPr>
          <w:color w:val="auto"/>
        </w:rPr>
        <w:t xml:space="preserve"> </w:t>
      </w:r>
    </w:p>
    <w:p w14:paraId="3674304F">
      <w:pPr>
        <w:pStyle w:val="14"/>
        <w:jc w:val="center"/>
        <w:outlineLvl w:val="3"/>
        <w:rPr>
          <w:color w:val="auto"/>
        </w:rPr>
      </w:pPr>
      <w:r>
        <w:rPr>
          <w:b/>
          <w:color w:val="auto"/>
          <w:sz w:val="24"/>
        </w:rPr>
        <w:t xml:space="preserve"> 附件7-1-2     残疾人福利性单位声明函（若有）</w:t>
      </w:r>
    </w:p>
    <w:p w14:paraId="36666162">
      <w:pPr>
        <w:pStyle w:val="14"/>
        <w:ind w:firstLine="480"/>
        <w:jc w:val="center"/>
        <w:rPr>
          <w:color w:val="auto"/>
        </w:rPr>
      </w:pPr>
      <w:r>
        <w:rPr>
          <w:color w:val="auto"/>
        </w:rP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color w:val="auto"/>
          <w:u w:val="single"/>
        </w:rPr>
        <w:t>（填写“项目名称”）</w:t>
      </w:r>
      <w:r>
        <w:rPr>
          <w:color w:val="auto"/>
        </w:rPr>
        <w:t>项目采购活动：</w:t>
      </w:r>
    </w:p>
    <w:p w14:paraId="5ABDC3CF">
      <w:pPr>
        <w:pStyle w:val="14"/>
        <w:ind w:firstLine="480"/>
        <w:jc w:val="center"/>
        <w:rPr>
          <w:color w:val="auto"/>
        </w:rPr>
      </w:pPr>
      <w:r>
        <w:rPr>
          <w:color w:val="auto"/>
        </w:rPr>
        <w:t>（ ）提供本供应商制造的</w:t>
      </w:r>
      <w:r>
        <w:rPr>
          <w:color w:val="auto"/>
          <w:u w:val="single"/>
        </w:rPr>
        <w:t>（填写“所投采购包、品目号”）</w:t>
      </w:r>
      <w:r>
        <w:rPr>
          <w:color w:val="auto"/>
        </w:rPr>
        <w:t>货物，或提供其他残疾人福利性单位制造的</w:t>
      </w:r>
      <w:r>
        <w:rPr>
          <w:color w:val="auto"/>
          <w:u w:val="single"/>
        </w:rPr>
        <w:t>（填写“所投采购包、品目号”）</w:t>
      </w:r>
      <w:r>
        <w:rPr>
          <w:color w:val="auto"/>
        </w:rPr>
        <w:t>货物（不包括使用非残疾人福利性单位注册商标的货物）。（说明：只有部分货物由残疾人福利企业制造的，在该货物后标★）</w:t>
      </w:r>
    </w:p>
    <w:p w14:paraId="064189E3">
      <w:pPr>
        <w:pStyle w:val="14"/>
        <w:ind w:firstLine="480"/>
        <w:jc w:val="center"/>
        <w:rPr>
          <w:color w:val="auto"/>
        </w:rPr>
      </w:pPr>
      <w:r>
        <w:rPr>
          <w:color w:val="auto"/>
        </w:rPr>
        <w:t>（ ）由本供应商承建的</w:t>
      </w:r>
      <w:r>
        <w:rPr>
          <w:color w:val="auto"/>
          <w:u w:val="single"/>
        </w:rPr>
        <w:t>（填写“所投采购包、品目号”）</w:t>
      </w:r>
      <w:r>
        <w:rPr>
          <w:color w:val="auto"/>
        </w:rPr>
        <w:t>工程</w:t>
      </w:r>
    </w:p>
    <w:p w14:paraId="2863292D">
      <w:pPr>
        <w:pStyle w:val="14"/>
        <w:ind w:firstLine="480"/>
        <w:jc w:val="center"/>
        <w:rPr>
          <w:color w:val="auto"/>
        </w:rPr>
      </w:pPr>
      <w:r>
        <w:rPr>
          <w:color w:val="auto"/>
        </w:rPr>
        <w:t>（ ）由本供应商承接的</w:t>
      </w:r>
      <w:r>
        <w:rPr>
          <w:color w:val="auto"/>
          <w:u w:val="single"/>
        </w:rPr>
        <w:t>（填写“所投采购包、品目号”）</w:t>
      </w:r>
      <w:r>
        <w:rPr>
          <w:color w:val="auto"/>
        </w:rPr>
        <w:t>服务；</w:t>
      </w:r>
    </w:p>
    <w:p w14:paraId="7AD6B64F">
      <w:pPr>
        <w:pStyle w:val="14"/>
        <w:ind w:firstLine="480"/>
        <w:jc w:val="center"/>
        <w:rPr>
          <w:rFonts w:hint="eastAsia" w:eastAsiaTheme="minorEastAsia"/>
          <w:color w:val="auto"/>
          <w:lang w:eastAsia="zh-CN"/>
        </w:rPr>
      </w:pPr>
      <w:r>
        <w:rPr>
          <w:color w:val="auto"/>
        </w:rPr>
        <w:t>本供应商对上述声明的真实性负责。如有虚假，将依法承担相应责任。</w:t>
      </w:r>
    </w:p>
    <w:p w14:paraId="6DFD496C">
      <w:pPr>
        <w:pStyle w:val="14"/>
        <w:ind w:firstLine="480"/>
        <w:jc w:val="center"/>
        <w:rPr>
          <w:rFonts w:hint="eastAsia" w:eastAsiaTheme="minorEastAsia"/>
          <w:color w:val="auto"/>
          <w:lang w:eastAsia="zh-CN"/>
        </w:rPr>
      </w:pPr>
    </w:p>
    <w:p w14:paraId="74E3A870">
      <w:pPr>
        <w:pStyle w:val="14"/>
        <w:ind w:firstLine="480"/>
        <w:jc w:val="center"/>
        <w:rPr>
          <w:rFonts w:hint="eastAsia" w:eastAsiaTheme="minorEastAsia"/>
          <w:color w:val="auto"/>
          <w:lang w:eastAsia="zh-CN"/>
        </w:rPr>
      </w:pPr>
    </w:p>
    <w:p w14:paraId="44DFDB75">
      <w:pPr>
        <w:pStyle w:val="14"/>
        <w:ind w:firstLine="480"/>
        <w:jc w:val="center"/>
        <w:rPr>
          <w:color w:val="auto"/>
        </w:rPr>
      </w:pPr>
      <w:r>
        <w:rPr>
          <w:color w:val="auto"/>
        </w:rPr>
        <w:t>供应商代表</w:t>
      </w:r>
      <w:r>
        <w:rPr>
          <w:color w:val="auto"/>
          <w:u w:val="single"/>
        </w:rPr>
        <w:t>　　　（签字）</w:t>
      </w:r>
    </w:p>
    <w:p w14:paraId="2D262989">
      <w:pPr>
        <w:pStyle w:val="14"/>
        <w:ind w:firstLine="480"/>
        <w:jc w:val="center"/>
        <w:rPr>
          <w:color w:val="auto"/>
        </w:rPr>
      </w:pPr>
      <w:r>
        <w:rPr>
          <w:color w:val="auto"/>
        </w:rPr>
        <w:t>供应商名称</w:t>
      </w:r>
      <w:r>
        <w:rPr>
          <w:color w:val="auto"/>
          <w:u w:val="single"/>
        </w:rPr>
        <w:t>　　　（全称并加盖公章）　　　</w:t>
      </w:r>
    </w:p>
    <w:p w14:paraId="7ECFACAC">
      <w:pPr>
        <w:pStyle w:val="14"/>
        <w:ind w:firstLine="480"/>
        <w:jc w:val="center"/>
        <w:rPr>
          <w:rFonts w:hint="eastAsia" w:eastAsiaTheme="minorEastAsia"/>
          <w:color w:val="auto"/>
          <w:lang w:eastAsia="zh-CN"/>
        </w:rPr>
      </w:pPr>
      <w:r>
        <w:rPr>
          <w:color w:val="auto"/>
        </w:rPr>
        <w:t>日期：</w:t>
      </w:r>
      <w:r>
        <w:rPr>
          <w:color w:val="auto"/>
          <w:u w:val="single"/>
        </w:rPr>
        <w:t>　　　</w:t>
      </w:r>
      <w:r>
        <w:rPr>
          <w:color w:val="auto"/>
        </w:rPr>
        <w:t>年</w:t>
      </w:r>
      <w:r>
        <w:rPr>
          <w:color w:val="auto"/>
          <w:u w:val="single"/>
        </w:rPr>
        <w:t>　　　</w:t>
      </w:r>
      <w:r>
        <w:rPr>
          <w:color w:val="auto"/>
        </w:rPr>
        <w:t>月</w:t>
      </w:r>
      <w:r>
        <w:rPr>
          <w:color w:val="auto"/>
          <w:u w:val="single"/>
        </w:rPr>
        <w:t>　　　</w:t>
      </w:r>
      <w:r>
        <w:rPr>
          <w:color w:val="auto"/>
        </w:rPr>
        <w:t>日</w:t>
      </w:r>
    </w:p>
    <w:p w14:paraId="37306DDC">
      <w:pPr>
        <w:pStyle w:val="14"/>
        <w:ind w:firstLine="480"/>
        <w:jc w:val="center"/>
        <w:rPr>
          <w:rFonts w:hint="eastAsia" w:eastAsiaTheme="minorEastAsia"/>
          <w:color w:val="auto"/>
          <w:lang w:eastAsia="zh-CN"/>
        </w:rPr>
      </w:pPr>
    </w:p>
    <w:p w14:paraId="49A86745">
      <w:pPr>
        <w:pStyle w:val="14"/>
        <w:ind w:firstLine="480"/>
        <w:jc w:val="center"/>
        <w:rPr>
          <w:rFonts w:hint="eastAsia" w:eastAsiaTheme="minorEastAsia"/>
          <w:color w:val="auto"/>
          <w:lang w:eastAsia="zh-CN"/>
        </w:rPr>
      </w:pPr>
    </w:p>
    <w:p w14:paraId="39035C6C">
      <w:pPr>
        <w:pStyle w:val="14"/>
        <w:ind w:firstLine="480"/>
        <w:jc w:val="center"/>
        <w:rPr>
          <w:color w:val="auto"/>
        </w:rPr>
      </w:pPr>
      <w:r>
        <w:rPr>
          <w:color w:val="auto"/>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14:paraId="20E7A5FC">
      <w:pPr>
        <w:pStyle w:val="14"/>
        <w:ind w:firstLine="480"/>
        <w:jc w:val="center"/>
        <w:rPr>
          <w:color w:val="auto"/>
        </w:rPr>
      </w:pPr>
      <w:r>
        <w:rPr>
          <w:color w:val="auto"/>
        </w:rPr>
        <w:t>（2）请供应商按照实际情况编制填写本声明函，并在相应的（）中打“√”。</w:t>
      </w:r>
    </w:p>
    <w:p w14:paraId="64EE7000">
      <w:pPr>
        <w:pStyle w:val="14"/>
        <w:ind w:firstLine="480"/>
        <w:jc w:val="center"/>
        <w:rPr>
          <w:color w:val="auto"/>
        </w:rPr>
      </w:pPr>
      <w:r>
        <w:rPr>
          <w:color w:val="auto"/>
        </w:rPr>
        <w:t>（3）纸质响应文件正本中的本声明函（若有）应为原件。</w:t>
      </w:r>
    </w:p>
    <w:p w14:paraId="14B6EA09">
      <w:pPr>
        <w:pStyle w:val="14"/>
        <w:ind w:firstLine="480"/>
        <w:jc w:val="center"/>
        <w:rPr>
          <w:color w:val="auto"/>
        </w:rPr>
      </w:pPr>
      <w:r>
        <w:rPr>
          <w:color w:val="auto"/>
        </w:rPr>
        <w:t>（4）若《残疾人福利性单位声明函》内容不真实，视为提供虚假材料。</w:t>
      </w:r>
    </w:p>
    <w:p w14:paraId="62727C68">
      <w:pPr>
        <w:pStyle w:val="14"/>
        <w:jc w:val="center"/>
        <w:rPr>
          <w:color w:val="auto"/>
        </w:rPr>
      </w:pPr>
    </w:p>
    <w:p w14:paraId="348A6FE4">
      <w:pPr>
        <w:pStyle w:val="14"/>
        <w:jc w:val="center"/>
        <w:rPr>
          <w:color w:val="auto"/>
        </w:rPr>
      </w:pPr>
      <w:r>
        <w:rPr>
          <w:color w:val="auto"/>
        </w:rPr>
        <w:t xml:space="preserve"> </w:t>
      </w:r>
    </w:p>
    <w:p w14:paraId="78A4FB34">
      <w:pPr>
        <w:pStyle w:val="14"/>
        <w:jc w:val="center"/>
        <w:outlineLvl w:val="3"/>
        <w:rPr>
          <w:color w:val="auto"/>
        </w:rPr>
      </w:pPr>
      <w:r>
        <w:rPr>
          <w:b/>
          <w:color w:val="auto"/>
          <w:sz w:val="24"/>
        </w:rPr>
        <w:t>附件7-1-3 监狱企业证明材料</w:t>
      </w:r>
    </w:p>
    <w:p w14:paraId="5DD37B0E">
      <w:pPr>
        <w:pStyle w:val="14"/>
        <w:ind w:firstLine="480"/>
        <w:jc w:val="center"/>
        <w:rPr>
          <w:color w:val="auto"/>
        </w:rPr>
      </w:pPr>
      <w:r>
        <w:rPr>
          <w:color w:val="auto"/>
        </w:rPr>
        <w:t>供应商为监狱企业，提供本单位制造的货物（承接的服务），并在电子响应文件中提供省级以上监狱管理局、戒毒管理局（含新疆生产建设兵团）出具的属于监狱企业的证明文件。</w:t>
      </w:r>
    </w:p>
    <w:p w14:paraId="4086D5E4">
      <w:pPr>
        <w:pStyle w:val="14"/>
        <w:jc w:val="center"/>
        <w:rPr>
          <w:color w:val="auto"/>
        </w:rPr>
      </w:pPr>
      <w:r>
        <w:rPr>
          <w:color w:val="auto"/>
        </w:rPr>
        <w:t xml:space="preserve"> </w:t>
      </w:r>
    </w:p>
    <w:p w14:paraId="48BEC505">
      <w:pPr>
        <w:pStyle w:val="14"/>
        <w:jc w:val="center"/>
        <w:outlineLvl w:val="3"/>
        <w:rPr>
          <w:color w:val="auto"/>
        </w:rPr>
      </w:pPr>
      <w:r>
        <w:rPr>
          <w:b/>
          <w:color w:val="auto"/>
          <w:sz w:val="24"/>
        </w:rPr>
        <w:t xml:space="preserve"> 附件7-2       优先类节能产品、环境标志产品加分证明材料（若有）</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1661"/>
        <w:gridCol w:w="1661"/>
        <w:gridCol w:w="1661"/>
        <w:gridCol w:w="831"/>
        <w:gridCol w:w="831"/>
      </w:tblGrid>
      <w:tr w14:paraId="3E75D4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7645957">
            <w:pPr>
              <w:pStyle w:val="14"/>
              <w:jc w:val="center"/>
              <w:rPr>
                <w:color w:val="auto"/>
              </w:rPr>
            </w:pPr>
            <w:r>
              <w:rPr>
                <w:color w:val="auto"/>
              </w:rPr>
              <w:t xml:space="preserve">  </w:t>
            </w:r>
          </w:p>
        </w:tc>
        <w:tc>
          <w:tcPr>
            <w:tcW w:w="7476" w:type="dxa"/>
            <w:gridSpan w:val="6"/>
          </w:tcPr>
          <w:p w14:paraId="4ACB49A9">
            <w:pPr>
              <w:pStyle w:val="14"/>
              <w:jc w:val="center"/>
              <w:rPr>
                <w:color w:val="auto"/>
              </w:rPr>
            </w:pPr>
            <w:r>
              <w:rPr>
                <w:color w:val="auto"/>
              </w:rPr>
              <w:t>本采购包内属于节能、环境标志产品的情况</w:t>
            </w:r>
          </w:p>
        </w:tc>
      </w:tr>
      <w:tr w14:paraId="4BE0C7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CA3F43D">
            <w:pPr>
              <w:pStyle w:val="14"/>
              <w:jc w:val="center"/>
              <w:rPr>
                <w:color w:val="auto"/>
              </w:rPr>
            </w:pPr>
            <w:r>
              <w:rPr>
                <w:color w:val="auto"/>
              </w:rPr>
              <w:t>采购包</w:t>
            </w:r>
          </w:p>
        </w:tc>
        <w:tc>
          <w:tcPr>
            <w:tcW w:w="831" w:type="dxa"/>
          </w:tcPr>
          <w:p w14:paraId="5AA7644C">
            <w:pPr>
              <w:pStyle w:val="14"/>
              <w:jc w:val="center"/>
              <w:rPr>
                <w:color w:val="auto"/>
              </w:rPr>
            </w:pPr>
            <w:r>
              <w:rPr>
                <w:color w:val="auto"/>
              </w:rPr>
              <w:t>品目号</w:t>
            </w:r>
          </w:p>
        </w:tc>
        <w:tc>
          <w:tcPr>
            <w:tcW w:w="1661" w:type="dxa"/>
          </w:tcPr>
          <w:p w14:paraId="4060E2D1">
            <w:pPr>
              <w:pStyle w:val="14"/>
              <w:jc w:val="center"/>
              <w:rPr>
                <w:color w:val="auto"/>
              </w:rPr>
            </w:pPr>
            <w:r>
              <w:rPr>
                <w:color w:val="auto"/>
              </w:rPr>
              <w:t>产品名称</w:t>
            </w:r>
          </w:p>
        </w:tc>
        <w:tc>
          <w:tcPr>
            <w:tcW w:w="1661" w:type="dxa"/>
          </w:tcPr>
          <w:p w14:paraId="5BF9A603">
            <w:pPr>
              <w:pStyle w:val="14"/>
              <w:jc w:val="center"/>
              <w:rPr>
                <w:color w:val="auto"/>
              </w:rPr>
            </w:pPr>
            <w:r>
              <w:rPr>
                <w:color w:val="auto"/>
              </w:rPr>
              <w:t>最后报价单价（现场）</w:t>
            </w:r>
          </w:p>
        </w:tc>
        <w:tc>
          <w:tcPr>
            <w:tcW w:w="1661" w:type="dxa"/>
          </w:tcPr>
          <w:p w14:paraId="5DE903B8">
            <w:pPr>
              <w:pStyle w:val="14"/>
              <w:jc w:val="center"/>
              <w:rPr>
                <w:color w:val="auto"/>
              </w:rPr>
            </w:pPr>
            <w:r>
              <w:rPr>
                <w:color w:val="auto"/>
              </w:rPr>
              <w:t>数量</w:t>
            </w:r>
          </w:p>
        </w:tc>
        <w:tc>
          <w:tcPr>
            <w:tcW w:w="831" w:type="dxa"/>
          </w:tcPr>
          <w:p w14:paraId="105DAF3D">
            <w:pPr>
              <w:pStyle w:val="14"/>
              <w:jc w:val="center"/>
              <w:rPr>
                <w:color w:val="auto"/>
              </w:rPr>
            </w:pPr>
            <w:r>
              <w:rPr>
                <w:color w:val="auto"/>
              </w:rPr>
              <w:t>最后报价总价（现场）</w:t>
            </w:r>
          </w:p>
        </w:tc>
        <w:tc>
          <w:tcPr>
            <w:tcW w:w="831" w:type="dxa"/>
          </w:tcPr>
          <w:p w14:paraId="3AD9B36F">
            <w:pPr>
              <w:pStyle w:val="14"/>
              <w:jc w:val="center"/>
              <w:rPr>
                <w:color w:val="auto"/>
              </w:rPr>
            </w:pPr>
            <w:r>
              <w:rPr>
                <w:color w:val="auto"/>
              </w:rPr>
              <w:t>认证种类</w:t>
            </w:r>
          </w:p>
        </w:tc>
      </w:tr>
      <w:tr w14:paraId="1BA5AD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restart"/>
          </w:tcPr>
          <w:p w14:paraId="5248F4E8">
            <w:pPr>
              <w:pStyle w:val="14"/>
              <w:jc w:val="center"/>
              <w:rPr>
                <w:color w:val="auto"/>
              </w:rPr>
            </w:pPr>
            <w:r>
              <w:rPr>
                <w:color w:val="auto"/>
              </w:rPr>
              <w:t>*</w:t>
            </w:r>
          </w:p>
        </w:tc>
        <w:tc>
          <w:tcPr>
            <w:tcW w:w="831" w:type="dxa"/>
          </w:tcPr>
          <w:p w14:paraId="45444AE3">
            <w:pPr>
              <w:pStyle w:val="14"/>
              <w:jc w:val="center"/>
              <w:rPr>
                <w:color w:val="auto"/>
              </w:rPr>
            </w:pPr>
            <w:r>
              <w:rPr>
                <w:color w:val="auto"/>
              </w:rPr>
              <w:t>*-1</w:t>
            </w:r>
          </w:p>
        </w:tc>
        <w:tc>
          <w:tcPr>
            <w:tcW w:w="1661" w:type="dxa"/>
          </w:tcPr>
          <w:p w14:paraId="32BE7AA4">
            <w:pPr>
              <w:pStyle w:val="14"/>
              <w:jc w:val="center"/>
              <w:rPr>
                <w:color w:val="auto"/>
              </w:rPr>
            </w:pPr>
            <w:r>
              <w:rPr>
                <w:color w:val="auto"/>
              </w:rPr>
              <w:t xml:space="preserve">  </w:t>
            </w:r>
          </w:p>
        </w:tc>
        <w:tc>
          <w:tcPr>
            <w:tcW w:w="1661" w:type="dxa"/>
          </w:tcPr>
          <w:p w14:paraId="558E3B3B">
            <w:pPr>
              <w:pStyle w:val="14"/>
              <w:jc w:val="center"/>
              <w:rPr>
                <w:color w:val="auto"/>
              </w:rPr>
            </w:pPr>
            <w:r>
              <w:rPr>
                <w:color w:val="auto"/>
              </w:rPr>
              <w:t xml:space="preserve">  </w:t>
            </w:r>
          </w:p>
        </w:tc>
        <w:tc>
          <w:tcPr>
            <w:tcW w:w="1661" w:type="dxa"/>
          </w:tcPr>
          <w:p w14:paraId="5F0DF139">
            <w:pPr>
              <w:pStyle w:val="14"/>
              <w:jc w:val="center"/>
              <w:rPr>
                <w:color w:val="auto"/>
              </w:rPr>
            </w:pPr>
            <w:r>
              <w:rPr>
                <w:color w:val="auto"/>
              </w:rPr>
              <w:t xml:space="preserve">  </w:t>
            </w:r>
          </w:p>
        </w:tc>
        <w:tc>
          <w:tcPr>
            <w:tcW w:w="831" w:type="dxa"/>
          </w:tcPr>
          <w:p w14:paraId="39DA09E8">
            <w:pPr>
              <w:pStyle w:val="14"/>
              <w:jc w:val="center"/>
              <w:rPr>
                <w:color w:val="auto"/>
              </w:rPr>
            </w:pPr>
            <w:r>
              <w:rPr>
                <w:color w:val="auto"/>
              </w:rPr>
              <w:t xml:space="preserve">  </w:t>
            </w:r>
          </w:p>
        </w:tc>
        <w:tc>
          <w:tcPr>
            <w:tcW w:w="831" w:type="dxa"/>
          </w:tcPr>
          <w:p w14:paraId="4B1FC7EF">
            <w:pPr>
              <w:pStyle w:val="14"/>
              <w:jc w:val="center"/>
              <w:rPr>
                <w:color w:val="auto"/>
              </w:rPr>
            </w:pPr>
            <w:r>
              <w:rPr>
                <w:color w:val="auto"/>
              </w:rPr>
              <w:t xml:space="preserve">  </w:t>
            </w:r>
          </w:p>
        </w:tc>
      </w:tr>
      <w:tr w14:paraId="7B039B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7E8A18E5">
            <w:pPr>
              <w:rPr>
                <w:color w:val="auto"/>
              </w:rPr>
            </w:pPr>
          </w:p>
        </w:tc>
        <w:tc>
          <w:tcPr>
            <w:tcW w:w="831" w:type="dxa"/>
          </w:tcPr>
          <w:p w14:paraId="2D9C7602">
            <w:pPr>
              <w:pStyle w:val="14"/>
              <w:jc w:val="center"/>
              <w:rPr>
                <w:color w:val="auto"/>
              </w:rPr>
            </w:pPr>
            <w:r>
              <w:rPr>
                <w:color w:val="auto"/>
              </w:rPr>
              <w:t>...</w:t>
            </w:r>
          </w:p>
        </w:tc>
        <w:tc>
          <w:tcPr>
            <w:tcW w:w="1661" w:type="dxa"/>
          </w:tcPr>
          <w:p w14:paraId="64908C03">
            <w:pPr>
              <w:pStyle w:val="14"/>
              <w:jc w:val="center"/>
              <w:rPr>
                <w:color w:val="auto"/>
              </w:rPr>
            </w:pPr>
            <w:r>
              <w:rPr>
                <w:color w:val="auto"/>
              </w:rPr>
              <w:t xml:space="preserve">  </w:t>
            </w:r>
          </w:p>
        </w:tc>
        <w:tc>
          <w:tcPr>
            <w:tcW w:w="1661" w:type="dxa"/>
          </w:tcPr>
          <w:p w14:paraId="44CE3FE0">
            <w:pPr>
              <w:pStyle w:val="14"/>
              <w:jc w:val="center"/>
              <w:rPr>
                <w:color w:val="auto"/>
              </w:rPr>
            </w:pPr>
            <w:r>
              <w:rPr>
                <w:color w:val="auto"/>
              </w:rPr>
              <w:t xml:space="preserve">  </w:t>
            </w:r>
          </w:p>
        </w:tc>
        <w:tc>
          <w:tcPr>
            <w:tcW w:w="1661" w:type="dxa"/>
          </w:tcPr>
          <w:p w14:paraId="26F724D2">
            <w:pPr>
              <w:pStyle w:val="14"/>
              <w:jc w:val="center"/>
              <w:rPr>
                <w:color w:val="auto"/>
              </w:rPr>
            </w:pPr>
            <w:r>
              <w:rPr>
                <w:color w:val="auto"/>
              </w:rPr>
              <w:t xml:space="preserve">  </w:t>
            </w:r>
          </w:p>
        </w:tc>
        <w:tc>
          <w:tcPr>
            <w:tcW w:w="831" w:type="dxa"/>
          </w:tcPr>
          <w:p w14:paraId="1A00A013">
            <w:pPr>
              <w:pStyle w:val="14"/>
              <w:jc w:val="center"/>
              <w:rPr>
                <w:color w:val="auto"/>
              </w:rPr>
            </w:pPr>
            <w:r>
              <w:rPr>
                <w:color w:val="auto"/>
              </w:rPr>
              <w:t xml:space="preserve">  </w:t>
            </w:r>
          </w:p>
        </w:tc>
        <w:tc>
          <w:tcPr>
            <w:tcW w:w="831" w:type="dxa"/>
          </w:tcPr>
          <w:p w14:paraId="60B0260F">
            <w:pPr>
              <w:pStyle w:val="14"/>
              <w:jc w:val="center"/>
              <w:rPr>
                <w:color w:val="auto"/>
              </w:rPr>
            </w:pPr>
            <w:r>
              <w:rPr>
                <w:color w:val="auto"/>
              </w:rPr>
              <w:t xml:space="preserve">  </w:t>
            </w:r>
          </w:p>
        </w:tc>
      </w:tr>
      <w:tr w14:paraId="172256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596532E">
            <w:pPr>
              <w:pStyle w:val="14"/>
              <w:jc w:val="center"/>
              <w:rPr>
                <w:color w:val="auto"/>
              </w:rPr>
            </w:pPr>
            <w:r>
              <w:rPr>
                <w:color w:val="auto"/>
              </w:rPr>
              <w:t>备注</w:t>
            </w:r>
          </w:p>
        </w:tc>
        <w:tc>
          <w:tcPr>
            <w:tcW w:w="7476" w:type="dxa"/>
            <w:gridSpan w:val="6"/>
          </w:tcPr>
          <w:p w14:paraId="2BC55302">
            <w:pPr>
              <w:pStyle w:val="14"/>
              <w:jc w:val="center"/>
              <w:rPr>
                <w:color w:val="auto"/>
              </w:rPr>
            </w:pPr>
            <w:r>
              <w:rPr>
                <w:color w:val="auto"/>
              </w:rPr>
              <w:t>a.采购包内属于节能、环境标志产品的报价总金额：</w:t>
            </w:r>
            <w:r>
              <w:rPr>
                <w:color w:val="auto"/>
                <w:u w:val="single"/>
              </w:rPr>
              <w:t xml:space="preserve">      </w:t>
            </w:r>
            <w:r>
              <w:rPr>
                <w:color w:val="auto"/>
              </w:rPr>
              <w:t>；</w:t>
            </w:r>
          </w:p>
          <w:p w14:paraId="301D303B">
            <w:pPr>
              <w:pStyle w:val="14"/>
              <w:jc w:val="center"/>
              <w:rPr>
                <w:color w:val="auto"/>
              </w:rPr>
            </w:pPr>
            <w:r>
              <w:rPr>
                <w:color w:val="auto"/>
              </w:rPr>
              <w:t>b.采购包投标总价（报价总金额）：</w:t>
            </w:r>
            <w:r>
              <w:rPr>
                <w:color w:val="auto"/>
                <w:u w:val="single"/>
              </w:rPr>
              <w:t xml:space="preserve">      </w:t>
            </w:r>
            <w:r>
              <w:rPr>
                <w:color w:val="auto"/>
              </w:rPr>
              <w:t>；</w:t>
            </w:r>
          </w:p>
          <w:p w14:paraId="06D784E7">
            <w:pPr>
              <w:pStyle w:val="14"/>
              <w:jc w:val="center"/>
              <w:rPr>
                <w:color w:val="auto"/>
              </w:rPr>
            </w:pPr>
            <w:r>
              <w:rPr>
                <w:color w:val="auto"/>
              </w:rPr>
              <w:t>c.“采购包内属于节能、环境标志产品的报价总金额”占“采购包投标总价（报价总金额）”的比例（以%列示）：</w:t>
            </w:r>
            <w:r>
              <w:rPr>
                <w:color w:val="auto"/>
                <w:u w:val="single"/>
              </w:rPr>
              <w:t xml:space="preserve">      </w:t>
            </w:r>
            <w:r>
              <w:rPr>
                <w:color w:val="auto"/>
              </w:rPr>
              <w:t>；</w:t>
            </w:r>
          </w:p>
        </w:tc>
      </w:tr>
    </w:tbl>
    <w:p w14:paraId="150517E1">
      <w:pPr>
        <w:pStyle w:val="14"/>
        <w:ind w:firstLine="480"/>
        <w:jc w:val="center"/>
        <w:rPr>
          <w:color w:val="auto"/>
        </w:rPr>
      </w:pPr>
      <w:r>
        <w:rPr>
          <w:color w:val="auto"/>
        </w:rPr>
        <w:t>※注意</w:t>
      </w:r>
    </w:p>
    <w:p w14:paraId="62F1D160">
      <w:pPr>
        <w:pStyle w:val="14"/>
        <w:ind w:firstLine="480"/>
        <w:jc w:val="center"/>
        <w:rPr>
          <w:color w:val="auto"/>
        </w:rPr>
      </w:pPr>
      <w:r>
        <w:rPr>
          <w:color w:val="auto"/>
        </w:rPr>
        <w:t>1、若供应商可享受磋商文件规定的“优先类节能产品、环境标志产品加分”的，则供应商应填写“优先类节能产品、环境标志产品统计表”并按照磋商文件要求提供相应证明材料。对“节能、环境标志产品”计算加分时，只依据响应文件提交的材料。</w:t>
      </w:r>
    </w:p>
    <w:p w14:paraId="39484A38">
      <w:pPr>
        <w:pStyle w:val="14"/>
        <w:ind w:firstLine="480"/>
        <w:jc w:val="center"/>
        <w:rPr>
          <w:color w:val="auto"/>
        </w:rPr>
      </w:pPr>
      <w:r>
        <w:rPr>
          <w:color w:val="auto"/>
        </w:rPr>
        <w:t>2、本表以采购包为单位，不同采购包请分别填写；单个采购包请按照其品目号顺序分别填写。</w:t>
      </w:r>
    </w:p>
    <w:p w14:paraId="109132A1">
      <w:pPr>
        <w:pStyle w:val="14"/>
        <w:ind w:firstLine="480"/>
        <w:jc w:val="center"/>
        <w:rPr>
          <w:color w:val="auto"/>
        </w:rPr>
      </w:pPr>
      <w:r>
        <w:rPr>
          <w:color w:val="auto"/>
        </w:rPr>
        <w:t>3、具体统计、计算：</w:t>
      </w:r>
    </w:p>
    <w:p w14:paraId="274FD611">
      <w:pPr>
        <w:pStyle w:val="14"/>
        <w:ind w:firstLine="480"/>
        <w:jc w:val="center"/>
        <w:rPr>
          <w:color w:val="auto"/>
        </w:rPr>
      </w:pPr>
      <w:r>
        <w:rPr>
          <w:color w:val="auto"/>
        </w:rPr>
        <w:t>3.1若同一采购包内的单个或多个货物取得或同时取得节能、环境标志产品等两项或多项认证的，均按照单个货物对应一项认证的原则统计、计算1次。</w:t>
      </w:r>
    </w:p>
    <w:p w14:paraId="74846667">
      <w:pPr>
        <w:pStyle w:val="14"/>
        <w:ind w:firstLine="480"/>
        <w:jc w:val="center"/>
        <w:rPr>
          <w:color w:val="auto"/>
        </w:rPr>
      </w:pPr>
      <w:r>
        <w:rPr>
          <w:color w:val="auto"/>
        </w:rPr>
        <w:t>3.2计算结果若除不尽，可四舍五入保留到小数点后两位。</w:t>
      </w:r>
    </w:p>
    <w:p w14:paraId="14431CC6">
      <w:pPr>
        <w:pStyle w:val="14"/>
        <w:ind w:firstLine="480"/>
        <w:jc w:val="center"/>
        <w:rPr>
          <w:color w:val="auto"/>
        </w:rPr>
      </w:pPr>
      <w:r>
        <w:rPr>
          <w:color w:val="auto"/>
        </w:rPr>
        <w:t>3.3供应商应按照磋商文件上表要求认真统计、计算，否则磋商小组可不予认定。</w:t>
      </w:r>
    </w:p>
    <w:p w14:paraId="7BE8FBA0">
      <w:pPr>
        <w:pStyle w:val="14"/>
        <w:ind w:firstLine="480"/>
        <w:jc w:val="center"/>
        <w:rPr>
          <w:color w:val="auto"/>
        </w:rPr>
      </w:pPr>
      <w:r>
        <w:rPr>
          <w:color w:val="auto"/>
        </w:rPr>
        <w:t>3.4若无节能、环境标志产品，不填写本表，否则，视为提供虚假材料。</w:t>
      </w:r>
    </w:p>
    <w:p w14:paraId="78B95037">
      <w:pPr>
        <w:pStyle w:val="14"/>
        <w:ind w:firstLine="480"/>
        <w:jc w:val="center"/>
        <w:rPr>
          <w:color w:val="auto"/>
        </w:rPr>
      </w:pPr>
      <w:r>
        <w:rPr>
          <w:color w:val="auto"/>
        </w:rPr>
        <w:t>3.5强制类节能产品不享受价格扣除。</w:t>
      </w:r>
    </w:p>
    <w:p w14:paraId="19091D87">
      <w:pPr>
        <w:pStyle w:val="14"/>
        <w:ind w:firstLine="480"/>
        <w:jc w:val="center"/>
        <w:rPr>
          <w:color w:val="auto"/>
        </w:rPr>
      </w:pPr>
      <w:r>
        <w:rPr>
          <w:color w:val="auto"/>
        </w:rPr>
        <w:t>4、本表以采购包为单位，不同采购包请分别填写；同一采购包请按照顺序分别填写，以方便磋商小组审阅。供应商在提交最后报价前，如果已向磋商小组提交上表内容并附相应证明资料，视同为供应商的产品属于节能、环境标志产品，享受加分的优惠政策。</w:t>
      </w:r>
    </w:p>
    <w:p w14:paraId="28B28ED4">
      <w:pPr>
        <w:pStyle w:val="14"/>
        <w:ind w:firstLine="480"/>
        <w:jc w:val="center"/>
        <w:rPr>
          <w:color w:val="auto"/>
        </w:rPr>
      </w:pPr>
      <w:r>
        <w:rPr>
          <w:color w:val="auto"/>
        </w:rPr>
        <w:t>5、纸质响应文件正本中的本表（若有）应为原件。</w:t>
      </w:r>
    </w:p>
    <w:p w14:paraId="486B8C86">
      <w:pPr>
        <w:pStyle w:val="14"/>
        <w:ind w:firstLine="480"/>
        <w:jc w:val="center"/>
        <w:rPr>
          <w:color w:val="auto"/>
        </w:rPr>
      </w:pPr>
      <w:r>
        <w:rPr>
          <w:color w:val="auto"/>
        </w:rPr>
        <w:t>供应商代表：</w:t>
      </w:r>
      <w:r>
        <w:rPr>
          <w:color w:val="auto"/>
          <w:u w:val="single"/>
        </w:rPr>
        <w:t>　　　（签字）</w:t>
      </w:r>
    </w:p>
    <w:p w14:paraId="504EDFE9">
      <w:pPr>
        <w:pStyle w:val="14"/>
        <w:ind w:firstLine="480"/>
        <w:jc w:val="center"/>
        <w:rPr>
          <w:color w:val="auto"/>
        </w:rPr>
      </w:pPr>
      <w:r>
        <w:rPr>
          <w:color w:val="auto"/>
        </w:rPr>
        <w:t>日期：</w:t>
      </w:r>
      <w:r>
        <w:rPr>
          <w:color w:val="auto"/>
          <w:u w:val="single"/>
        </w:rPr>
        <w:t>　　　</w:t>
      </w:r>
      <w:r>
        <w:rPr>
          <w:color w:val="auto"/>
        </w:rPr>
        <w:t>年</w:t>
      </w:r>
      <w:r>
        <w:rPr>
          <w:color w:val="auto"/>
          <w:u w:val="single"/>
        </w:rPr>
        <w:t>　　　</w:t>
      </w:r>
      <w:r>
        <w:rPr>
          <w:color w:val="auto"/>
        </w:rPr>
        <w:t>月</w:t>
      </w:r>
      <w:r>
        <w:rPr>
          <w:color w:val="auto"/>
          <w:u w:val="single"/>
        </w:rPr>
        <w:t>　　　</w:t>
      </w:r>
      <w:r>
        <w:rPr>
          <w:color w:val="auto"/>
        </w:rPr>
        <w:t>日</w:t>
      </w:r>
    </w:p>
    <w:p w14:paraId="0E06730F">
      <w:pPr>
        <w:pStyle w:val="14"/>
        <w:jc w:val="center"/>
        <w:rPr>
          <w:color w:val="auto"/>
        </w:rPr>
      </w:pPr>
      <w:r>
        <w:rPr>
          <w:color w:val="auto"/>
        </w:rPr>
        <w:t xml:space="preserve"> </w:t>
      </w:r>
    </w:p>
    <w:p w14:paraId="62873E81">
      <w:pPr>
        <w:pStyle w:val="14"/>
        <w:jc w:val="center"/>
        <w:outlineLvl w:val="2"/>
        <w:rPr>
          <w:color w:val="auto"/>
        </w:rPr>
      </w:pPr>
      <w:r>
        <w:rPr>
          <w:b/>
          <w:color w:val="auto"/>
          <w:sz w:val="28"/>
        </w:rPr>
        <w:t>附件8    要求作为响应文件组成部分的其他内容（若有）</w:t>
      </w:r>
    </w:p>
    <w:p w14:paraId="15992FF6">
      <w:pPr>
        <w:pStyle w:val="14"/>
        <w:ind w:firstLine="480"/>
        <w:jc w:val="center"/>
        <w:rPr>
          <w:color w:val="auto"/>
        </w:rPr>
      </w:pPr>
      <w:r>
        <w:rPr>
          <w:color w:val="auto"/>
        </w:rPr>
        <w:t>说明：</w:t>
      </w:r>
    </w:p>
    <w:p w14:paraId="3A25180D">
      <w:pPr>
        <w:pStyle w:val="14"/>
        <w:ind w:firstLine="480"/>
        <w:jc w:val="center"/>
        <w:rPr>
          <w:color w:val="auto"/>
        </w:rPr>
      </w:pPr>
      <w:r>
        <w:rPr>
          <w:color w:val="auto"/>
        </w:rP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14:paraId="2B3B5FDA">
      <w:pPr>
        <w:pStyle w:val="14"/>
        <w:ind w:firstLine="480"/>
        <w:jc w:val="center"/>
        <w:rPr>
          <w:rFonts w:hint="eastAsia" w:eastAsiaTheme="minorEastAsia"/>
          <w:color w:val="auto"/>
          <w:lang w:eastAsia="zh-CN"/>
        </w:rPr>
      </w:pPr>
      <w:r>
        <w:rPr>
          <w:color w:val="auto"/>
        </w:rPr>
        <w:t>2、供应商根据自身实际情况编写有关资料包括如供应商单位简介、竞争性磋商文件要求提供或供应商</w:t>
      </w:r>
      <w:r>
        <w:rPr>
          <w:rFonts w:hint="eastAsia"/>
          <w:color w:val="auto"/>
          <w:lang w:eastAsia="zh-CN"/>
        </w:rPr>
        <w:t>自己</w:t>
      </w:r>
      <w:r>
        <w:rPr>
          <w:color w:val="auto"/>
        </w:rPr>
        <w:t>认为体现自身优势，需要补充说明的其它资料，格式自拟。</w:t>
      </w:r>
    </w:p>
    <w:p w14:paraId="12EF9B33">
      <w:pPr>
        <w:pStyle w:val="14"/>
        <w:ind w:firstLine="480"/>
        <w:jc w:val="center"/>
        <w:rPr>
          <w:rFonts w:hint="eastAsia" w:eastAsiaTheme="minorEastAsia"/>
          <w:color w:val="auto"/>
          <w:lang w:eastAsia="zh-CN"/>
        </w:rPr>
      </w:pPr>
    </w:p>
    <w:p w14:paraId="1180358D">
      <w:pPr>
        <w:pStyle w:val="14"/>
        <w:ind w:firstLine="480"/>
        <w:jc w:val="center"/>
        <w:rPr>
          <w:rFonts w:hint="eastAsia" w:eastAsiaTheme="minorEastAsia"/>
          <w:color w:val="auto"/>
          <w:lang w:eastAsia="zh-CN"/>
        </w:rPr>
      </w:pPr>
    </w:p>
    <w:p w14:paraId="3431EC9F">
      <w:pPr>
        <w:pStyle w:val="14"/>
        <w:ind w:firstLine="480"/>
        <w:jc w:val="center"/>
        <w:rPr>
          <w:rFonts w:hint="eastAsia" w:eastAsiaTheme="minorEastAsia"/>
          <w:color w:val="auto"/>
          <w:lang w:eastAsia="zh-CN"/>
        </w:rPr>
      </w:pPr>
    </w:p>
    <w:p w14:paraId="18169032">
      <w:pPr>
        <w:pStyle w:val="14"/>
        <w:ind w:firstLine="480"/>
        <w:jc w:val="center"/>
        <w:rPr>
          <w:rFonts w:hint="eastAsia" w:eastAsiaTheme="minorEastAsia"/>
          <w:color w:val="auto"/>
          <w:lang w:eastAsia="zh-CN"/>
        </w:rPr>
      </w:pPr>
    </w:p>
    <w:p w14:paraId="003B24BC">
      <w:pPr>
        <w:pStyle w:val="14"/>
        <w:ind w:firstLine="480"/>
        <w:jc w:val="center"/>
        <w:rPr>
          <w:color w:val="auto"/>
        </w:rPr>
      </w:pPr>
      <w:r>
        <w:rPr>
          <w:color w:val="auto"/>
        </w:rPr>
        <w:t>供应商代表</w:t>
      </w:r>
      <w:r>
        <w:rPr>
          <w:color w:val="auto"/>
          <w:u w:val="single"/>
        </w:rPr>
        <w:t>　　　（签字）</w:t>
      </w:r>
    </w:p>
    <w:p w14:paraId="73A8F48B">
      <w:pPr>
        <w:pStyle w:val="14"/>
        <w:ind w:firstLine="480"/>
        <w:jc w:val="center"/>
        <w:rPr>
          <w:color w:val="auto"/>
        </w:rPr>
      </w:pPr>
      <w:r>
        <w:rPr>
          <w:color w:val="auto"/>
        </w:rPr>
        <w:t>供应商名称</w:t>
      </w:r>
      <w:r>
        <w:rPr>
          <w:color w:val="auto"/>
          <w:u w:val="single"/>
        </w:rPr>
        <w:t>　　　（全称并加盖公章）　　　</w:t>
      </w:r>
    </w:p>
    <w:p w14:paraId="175981E9">
      <w:pPr>
        <w:pStyle w:val="14"/>
        <w:ind w:firstLine="480"/>
        <w:jc w:val="center"/>
        <w:rPr>
          <w:color w:val="auto"/>
        </w:rPr>
      </w:pPr>
      <w:r>
        <w:rPr>
          <w:color w:val="auto"/>
        </w:rPr>
        <w:t>日期：</w:t>
      </w:r>
      <w:r>
        <w:rPr>
          <w:color w:val="auto"/>
          <w:u w:val="single"/>
        </w:rPr>
        <w:t>　　　</w:t>
      </w:r>
      <w:r>
        <w:rPr>
          <w:color w:val="auto"/>
        </w:rPr>
        <w:t>年</w:t>
      </w:r>
      <w:r>
        <w:rPr>
          <w:color w:val="auto"/>
          <w:u w:val="single"/>
        </w:rPr>
        <w:t>　　　</w:t>
      </w:r>
      <w:r>
        <w:rPr>
          <w:color w:val="auto"/>
        </w:rPr>
        <w:t>月</w:t>
      </w:r>
      <w:r>
        <w:rPr>
          <w:color w:val="auto"/>
          <w:u w:val="single"/>
        </w:rPr>
        <w:t>　　　</w:t>
      </w:r>
      <w:r>
        <w:rPr>
          <w:color w:val="auto"/>
        </w:rPr>
        <w:t>日</w:t>
      </w:r>
    </w:p>
    <w:p w14:paraId="117BB9C0">
      <w:pPr>
        <w:pStyle w:val="14"/>
        <w:jc w:val="center"/>
        <w:rPr>
          <w:color w:val="auto"/>
        </w:rPr>
      </w:pPr>
    </w:p>
    <w:p w14:paraId="2BD8F10C">
      <w:pPr>
        <w:pStyle w:val="14"/>
        <w:jc w:val="center"/>
        <w:rPr>
          <w:color w:val="auto"/>
        </w:rPr>
      </w:pPr>
      <w:r>
        <w:rPr>
          <w:color w:val="auto"/>
        </w:rPr>
        <w:t xml:space="preserve"> </w:t>
      </w:r>
    </w:p>
    <w:p w14:paraId="0305D263">
      <w:pPr>
        <w:pStyle w:val="14"/>
        <w:rPr>
          <w:rFonts w:hint="eastAsia"/>
          <w:color w:val="auto"/>
          <w:lang w:val="en-US" w:eastAsia="zh-Hans"/>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S Mincho">
    <w:panose1 w:val="02020609040205080304"/>
    <w:charset w:val="80"/>
    <w:family w:val="roma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15D2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A09DB">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E0A09DB">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DCAB2F"/>
    <w:multiLevelType w:val="singleLevel"/>
    <w:tmpl w:val="37DCAB2F"/>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0OWYzMzA2ZDY2NjM3NDg5MDMxOGVmYTA2ZDQwMjMifQ=="/>
  </w:docVars>
  <w:rsids>
    <w:rsidRoot w:val="53B52B8D"/>
    <w:rsid w:val="014D312C"/>
    <w:rsid w:val="0A2C5771"/>
    <w:rsid w:val="0BC639A4"/>
    <w:rsid w:val="0F28587B"/>
    <w:rsid w:val="0F2C7597"/>
    <w:rsid w:val="0F890D7F"/>
    <w:rsid w:val="14A62959"/>
    <w:rsid w:val="177F50ED"/>
    <w:rsid w:val="1B787224"/>
    <w:rsid w:val="223200DD"/>
    <w:rsid w:val="248F5146"/>
    <w:rsid w:val="25930ABD"/>
    <w:rsid w:val="27C369E7"/>
    <w:rsid w:val="27D72D69"/>
    <w:rsid w:val="32D32CF4"/>
    <w:rsid w:val="341964B7"/>
    <w:rsid w:val="40247A02"/>
    <w:rsid w:val="425857A5"/>
    <w:rsid w:val="43806C37"/>
    <w:rsid w:val="455A0CE1"/>
    <w:rsid w:val="460B12FA"/>
    <w:rsid w:val="46291BF6"/>
    <w:rsid w:val="4915561C"/>
    <w:rsid w:val="4AB57B5C"/>
    <w:rsid w:val="4AFA037D"/>
    <w:rsid w:val="4C887378"/>
    <w:rsid w:val="4D856081"/>
    <w:rsid w:val="4E026E14"/>
    <w:rsid w:val="4E6F51C7"/>
    <w:rsid w:val="4E920E8C"/>
    <w:rsid w:val="4EE76A88"/>
    <w:rsid w:val="510E65DA"/>
    <w:rsid w:val="51586419"/>
    <w:rsid w:val="51BA49DE"/>
    <w:rsid w:val="523728CB"/>
    <w:rsid w:val="53695C29"/>
    <w:rsid w:val="53B52B8D"/>
    <w:rsid w:val="55FA4A1E"/>
    <w:rsid w:val="57672F54"/>
    <w:rsid w:val="59085D97"/>
    <w:rsid w:val="5B5607DA"/>
    <w:rsid w:val="5BC925A6"/>
    <w:rsid w:val="5DCE6424"/>
    <w:rsid w:val="60A612F2"/>
    <w:rsid w:val="622D6C5D"/>
    <w:rsid w:val="634A7788"/>
    <w:rsid w:val="646F0DB8"/>
    <w:rsid w:val="66A77CA4"/>
    <w:rsid w:val="66CA0274"/>
    <w:rsid w:val="67C14A0A"/>
    <w:rsid w:val="68932395"/>
    <w:rsid w:val="69014412"/>
    <w:rsid w:val="6B14066A"/>
    <w:rsid w:val="6C74735F"/>
    <w:rsid w:val="6E8B1784"/>
    <w:rsid w:val="73C51B90"/>
    <w:rsid w:val="752E10BB"/>
    <w:rsid w:val="769E13BD"/>
    <w:rsid w:val="77F79321"/>
    <w:rsid w:val="79142376"/>
    <w:rsid w:val="7BE72690"/>
    <w:rsid w:val="7C585047"/>
    <w:rsid w:val="7CC75ED7"/>
    <w:rsid w:val="7F7D36E7"/>
    <w:rsid w:val="7FAF4BA7"/>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qFormat/>
    <w:uiPriority w:val="0"/>
    <w:pPr>
      <w:widowControl w:val="0"/>
      <w:spacing w:after="120"/>
      <w:jc w:val="both"/>
    </w:pPr>
    <w:rPr>
      <w:rFonts w:ascii="Times New Roman" w:hAnsi="Times New Roman" w:eastAsia="宋体" w:cs="Times New Roman"/>
      <w:kern w:val="2"/>
      <w:sz w:val="21"/>
      <w:szCs w:val="20"/>
      <w:lang w:val="en-US" w:eastAsia="zh-CN" w:bidi="ar-SA"/>
    </w:rPr>
  </w:style>
  <w:style w:type="paragraph" w:styleId="4">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0"/>
      <w:lang w:val="en-US" w:eastAsia="zh-CN" w:bidi="ar"/>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39"/>
    <w:pPr>
      <w:tabs>
        <w:tab w:val="right" w:leader="dot" w:pos="9231"/>
      </w:tabs>
      <w:spacing w:line="600" w:lineRule="exact"/>
      <w:jc w:val="center"/>
    </w:pPr>
    <w:rPr>
      <w:rFonts w:ascii="宋体" w:hAnsi="宋体"/>
      <w:bCs/>
      <w:caps/>
      <w:sz w:val="24"/>
    </w:rPr>
  </w:style>
  <w:style w:type="paragraph" w:styleId="8">
    <w:name w:val="Normal (Web)"/>
    <w:basedOn w:val="1"/>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BodyText1I2"/>
    <w:qFormat/>
    <w:uiPriority w:val="0"/>
    <w:pPr>
      <w:widowControl w:val="0"/>
      <w:ind w:left="420" w:firstLine="420" w:firstLineChars="200"/>
      <w:jc w:val="both"/>
      <w:textAlignment w:val="baseline"/>
    </w:pPr>
    <w:rPr>
      <w:rFonts w:ascii="Arial" w:hAnsi="Arial" w:eastAsia="仿宋_GB2312" w:cs="Times New Roman"/>
      <w:kern w:val="2"/>
      <w:sz w:val="28"/>
      <w:szCs w:val="24"/>
      <w:lang w:val="en-US" w:eastAsia="zh-CN" w:bidi="ar-SA"/>
    </w:rPr>
  </w:style>
  <w:style w:type="paragraph" w:customStyle="1" w:styleId="14">
    <w:name w:val="null3"/>
    <w:hidden/>
    <w:qFormat/>
    <w:uiPriority w:val="0"/>
    <w:rPr>
      <w:rFonts w:hint="eastAsia" w:asciiTheme="minorHAnsi" w:hAnsiTheme="minorHAnsi" w:eastAsiaTheme="minorEastAsia" w:cstheme="minorBidi"/>
      <w:lang w:val="en-US" w:eastAsia="zh-Hans"/>
    </w:r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宋体" w:hAnsi="宋体" w:eastAsia="宋体" w:cs="Times New Roman"/>
      <w:kern w:val="16"/>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5884</Words>
  <Characters>6341</Characters>
  <Lines>0</Lines>
  <Paragraphs>0</Paragraphs>
  <TotalTime>50</TotalTime>
  <ScaleCrop>false</ScaleCrop>
  <LinksUpToDate>false</LinksUpToDate>
  <CharactersWithSpaces>6364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lenovo88r</cp:lastModifiedBy>
  <dcterms:modified xsi:type="dcterms:W3CDTF">2025-02-06T03:45:20Z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3138FF285E694D28A5B492AEF9ADABA8_13</vt:lpwstr>
  </property>
  <property fmtid="{D5CDD505-2E9C-101B-9397-08002B2CF9AE}" pid="4" name="KSOTemplateDocerSaveRecord">
    <vt:lpwstr>eyJoZGlkIjoiZmYwYjkwMWU3NWI3MGQ0NmYyOTc1NmJhMzllMjA5YWYifQ==</vt:lpwstr>
  </property>
</Properties>
</file>