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A43EB">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p>
    <w:p w14:paraId="1E29EF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Style w:val="6"/>
          <w:rFonts w:hint="eastAsia" w:ascii="仿宋" w:hAnsi="仿宋" w:eastAsia="仿宋" w:cs="仿宋"/>
          <w:b/>
          <w:bCs/>
          <w:sz w:val="32"/>
          <w:szCs w:val="32"/>
        </w:rPr>
      </w:pPr>
      <w:bookmarkStart w:id="0" w:name="_GoBack"/>
      <w:r>
        <w:rPr>
          <w:rStyle w:val="6"/>
          <w:rFonts w:hint="eastAsia" w:ascii="方正小标宋简体" w:hAnsi="方正小标宋简体" w:eastAsia="方正小标宋简体" w:cs="方正小标宋简体"/>
          <w:b w:val="0"/>
          <w:bCs w:val="0"/>
          <w:sz w:val="36"/>
          <w:szCs w:val="36"/>
          <w:lang w:val="en-US" w:eastAsia="zh-CN"/>
        </w:rPr>
        <w:t>2025年大田县红火蚁防治项目技术服务（监理）项目</w:t>
      </w:r>
      <w:r>
        <w:rPr>
          <w:rStyle w:val="6"/>
          <w:rFonts w:hint="eastAsia" w:ascii="方正小标宋简体" w:hAnsi="方正小标宋简体" w:eastAsia="方正小标宋简体" w:cs="方正小标宋简体"/>
          <w:b w:val="0"/>
          <w:bCs w:val="0"/>
          <w:sz w:val="36"/>
          <w:szCs w:val="36"/>
        </w:rPr>
        <w:t>询价内容及要求</w:t>
      </w:r>
      <w:bookmarkEnd w:id="0"/>
    </w:p>
    <w:p w14:paraId="6233519F">
      <w:pPr>
        <w:pStyle w:val="2"/>
        <w:keepNext w:val="0"/>
        <w:keepLines w:val="0"/>
        <w:pageBreakBefore w:val="0"/>
        <w:widowControl/>
        <w:suppressLineNumbers w:val="0"/>
        <w:kinsoku/>
        <w:wordWrap/>
        <w:overflowPunct/>
        <w:topLinePunct w:val="0"/>
        <w:autoSpaceDE/>
        <w:autoSpaceDN/>
        <w:bidi w:val="0"/>
        <w:snapToGrid w:val="0"/>
        <w:spacing w:beforeAutospacing="0" w:afterAutospacing="0" w:line="52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 一、项目概况</w:t>
      </w:r>
    </w:p>
    <w:p w14:paraId="5D234708">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kern w:val="0"/>
          <w:sz w:val="28"/>
          <w:szCs w:val="28"/>
          <w:lang w:val="en-US" w:eastAsia="zh-CN" w:bidi="ar"/>
        </w:rPr>
        <w:t xml:space="preserve">名称：2025年大田县红火蚁防治项目技术服务（监理）项目 </w:t>
      </w:r>
    </w:p>
    <w:p w14:paraId="2A400A04">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2.最高限价：2025年大田县红火蚁防治项目服务采购中标价的5%。</w:t>
      </w:r>
    </w:p>
    <w:p w14:paraId="4D1EB0F2">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3.资金来源：《福建省财政厅 福建省农业农村厅关于下达2025年农业防灾减灾和水利救灾资金（防灾救灾第三批）的通知》（闽财农指〔2025〕38号）。</w:t>
      </w:r>
    </w:p>
    <w:p w14:paraId="3433BF16">
      <w:pPr>
        <w:pStyle w:val="2"/>
        <w:keepNext w:val="0"/>
        <w:keepLines w:val="0"/>
        <w:pageBreakBefore w:val="0"/>
        <w:widowControl/>
        <w:suppressLineNumbers w:val="0"/>
        <w:kinsoku/>
        <w:wordWrap/>
        <w:overflowPunct/>
        <w:topLinePunct w:val="0"/>
        <w:autoSpaceDE/>
        <w:autoSpaceDN/>
        <w:bidi w:val="0"/>
        <w:snapToGrid w:val="0"/>
        <w:spacing w:beforeAutospacing="0" w:afterAutospacing="0"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二、</w:t>
      </w:r>
      <w:r>
        <w:rPr>
          <w:rFonts w:hint="eastAsia" w:ascii="黑体" w:hAnsi="黑体" w:eastAsia="黑体" w:cs="黑体"/>
          <w:b w:val="0"/>
          <w:bCs w:val="0"/>
          <w:sz w:val="28"/>
          <w:szCs w:val="28"/>
          <w:lang w:eastAsia="zh-CN"/>
        </w:rPr>
        <w:t>技术要求</w:t>
      </w:r>
    </w:p>
    <w:tbl>
      <w:tblPr>
        <w:tblStyle w:val="4"/>
        <w:tblpPr w:leftFromText="180" w:rightFromText="180" w:vertAnchor="text" w:horzAnchor="page" w:tblpXSpec="center" w:tblpY="291"/>
        <w:tblOverlap w:val="never"/>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0"/>
        <w:gridCol w:w="6225"/>
        <w:gridCol w:w="1004"/>
      </w:tblGrid>
      <w:tr w14:paraId="74E6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482DE912">
            <w:pPr>
              <w:keepNext w:val="0"/>
              <w:keepLines w:val="0"/>
              <w:pageBreakBefore w:val="0"/>
              <w:kinsoku/>
              <w:wordWrap/>
              <w:overflowPunct/>
              <w:topLinePunct w:val="0"/>
              <w:bidi w:val="0"/>
              <w:spacing w:line="520" w:lineRule="exact"/>
              <w:jc w:val="center"/>
              <w:textAlignment w:val="auto"/>
              <w:rPr>
                <w:rFonts w:hint="default"/>
                <w:color w:val="auto"/>
                <w:sz w:val="24"/>
                <w:szCs w:val="24"/>
                <w:vertAlign w:val="baseline"/>
                <w:lang w:val="en-US" w:eastAsia="zh-CN"/>
              </w:rPr>
            </w:pPr>
            <w:r>
              <w:rPr>
                <w:rFonts w:hint="eastAsia" w:ascii="宋体" w:hAnsi="宋体" w:eastAsia="宋体" w:cs="宋体"/>
                <w:b/>
                <w:color w:val="000000"/>
                <w:kern w:val="0"/>
                <w:sz w:val="21"/>
                <w:szCs w:val="21"/>
              </w:rPr>
              <w:t>序号</w:t>
            </w:r>
          </w:p>
        </w:tc>
        <w:tc>
          <w:tcPr>
            <w:tcW w:w="1110" w:type="dxa"/>
            <w:noWrap w:val="0"/>
            <w:vAlign w:val="center"/>
          </w:tcPr>
          <w:p w14:paraId="6A5C7074">
            <w:pPr>
              <w:keepNext w:val="0"/>
              <w:keepLines w:val="0"/>
              <w:pageBreakBefore w:val="0"/>
              <w:kinsoku/>
              <w:wordWrap/>
              <w:overflowPunct/>
              <w:topLinePunct w:val="0"/>
              <w:bidi w:val="0"/>
              <w:snapToGrid w:val="0"/>
              <w:spacing w:line="520" w:lineRule="exact"/>
              <w:jc w:val="center"/>
              <w:textAlignment w:val="auto"/>
              <w:rPr>
                <w:rFonts w:hint="default"/>
                <w:color w:val="auto"/>
                <w:sz w:val="24"/>
                <w:szCs w:val="24"/>
                <w:vertAlign w:val="baseline"/>
                <w:lang w:val="en-US" w:eastAsia="zh-CN"/>
              </w:rPr>
            </w:pPr>
            <w:r>
              <w:rPr>
                <w:rFonts w:hint="eastAsia" w:ascii="宋体" w:hAnsi="宋体" w:eastAsia="宋体" w:cs="宋体"/>
                <w:b/>
                <w:color w:val="000000"/>
                <w:sz w:val="21"/>
                <w:szCs w:val="21"/>
              </w:rPr>
              <w:t>货物名称</w:t>
            </w:r>
          </w:p>
        </w:tc>
        <w:tc>
          <w:tcPr>
            <w:tcW w:w="6225" w:type="dxa"/>
            <w:noWrap w:val="0"/>
            <w:vAlign w:val="center"/>
          </w:tcPr>
          <w:p w14:paraId="3A6B31AF">
            <w:pPr>
              <w:keepNext w:val="0"/>
              <w:keepLines w:val="0"/>
              <w:pageBreakBefore w:val="0"/>
              <w:kinsoku/>
              <w:wordWrap/>
              <w:overflowPunct/>
              <w:topLinePunct w:val="0"/>
              <w:bidi w:val="0"/>
              <w:spacing w:line="520" w:lineRule="exact"/>
              <w:jc w:val="center"/>
              <w:textAlignment w:val="auto"/>
              <w:rPr>
                <w:rFonts w:hint="default"/>
                <w:color w:val="auto"/>
                <w:sz w:val="24"/>
                <w:szCs w:val="24"/>
                <w:vertAlign w:val="baseline"/>
                <w:lang w:val="en-US" w:eastAsia="zh-CN"/>
              </w:rPr>
            </w:pPr>
            <w:r>
              <w:rPr>
                <w:rFonts w:hint="eastAsia" w:ascii="宋体" w:hAnsi="宋体" w:eastAsia="宋体" w:cs="宋体"/>
                <w:b/>
                <w:bCs/>
                <w:color w:val="000000"/>
                <w:sz w:val="21"/>
                <w:szCs w:val="21"/>
              </w:rPr>
              <w:t>技术参数、性能（配置）及其他要求</w:t>
            </w:r>
          </w:p>
        </w:tc>
        <w:tc>
          <w:tcPr>
            <w:tcW w:w="1004" w:type="dxa"/>
            <w:noWrap w:val="0"/>
            <w:vAlign w:val="center"/>
          </w:tcPr>
          <w:p w14:paraId="2B7EA238">
            <w:pPr>
              <w:keepNext w:val="0"/>
              <w:keepLines w:val="0"/>
              <w:pageBreakBefore w:val="0"/>
              <w:kinsoku/>
              <w:wordWrap/>
              <w:overflowPunct/>
              <w:topLinePunct w:val="0"/>
              <w:bidi w:val="0"/>
              <w:spacing w:line="520" w:lineRule="exact"/>
              <w:jc w:val="center"/>
              <w:textAlignment w:val="auto"/>
              <w:rPr>
                <w:rFonts w:hint="default"/>
                <w:color w:val="auto"/>
                <w:sz w:val="24"/>
                <w:szCs w:val="24"/>
                <w:vertAlign w:val="baseline"/>
                <w:lang w:val="en-US" w:eastAsia="zh-CN"/>
              </w:rPr>
            </w:pPr>
            <w:r>
              <w:rPr>
                <w:rFonts w:hint="eastAsia" w:ascii="宋体" w:hAnsi="宋体" w:eastAsia="宋体" w:cs="宋体"/>
                <w:b/>
                <w:bCs/>
                <w:color w:val="000000"/>
                <w:sz w:val="21"/>
                <w:szCs w:val="21"/>
              </w:rPr>
              <w:t>数量</w:t>
            </w:r>
          </w:p>
        </w:tc>
      </w:tr>
      <w:tr w14:paraId="2D4C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720" w:type="dxa"/>
            <w:noWrap w:val="0"/>
            <w:vAlign w:val="center"/>
          </w:tcPr>
          <w:p w14:paraId="1155457C">
            <w:pPr>
              <w:keepNext w:val="0"/>
              <w:keepLines w:val="0"/>
              <w:pageBreakBefore w:val="0"/>
              <w:tabs>
                <w:tab w:val="center" w:pos="252"/>
                <w:tab w:val="left" w:pos="420"/>
              </w:tabs>
              <w:kinsoku/>
              <w:wordWrap/>
              <w:overflowPunct/>
              <w:topLinePunct w:val="0"/>
              <w:autoSpaceDE/>
              <w:autoSpaceDN/>
              <w:bidi w:val="0"/>
              <w:adjustRightInd w:val="0"/>
              <w:snapToGrid w:val="0"/>
              <w:spacing w:beforeAutospacing="0" w:afterAutospacing="0" w:line="520" w:lineRule="exact"/>
              <w:ind w:left="0" w:leftChars="0" w:firstLine="560" w:firstLineChars="200"/>
              <w:jc w:val="left"/>
              <w:textAlignment w:val="auto"/>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w:t>
            </w:r>
          </w:p>
        </w:tc>
        <w:tc>
          <w:tcPr>
            <w:tcW w:w="1110" w:type="dxa"/>
            <w:noWrap w:val="0"/>
            <w:vAlign w:val="center"/>
          </w:tcPr>
          <w:p w14:paraId="75A93ED8">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default"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lang w:val="en-US" w:eastAsia="zh-CN" w:bidi="ar"/>
              </w:rPr>
              <w:t>202</w:t>
            </w:r>
            <w:r>
              <w:rPr>
                <w:rFonts w:hint="eastAsia" w:ascii="仿宋_GB2312" w:hAnsi="仿宋_GB2312" w:eastAsia="仿宋_GB2312" w:cs="仿宋_GB2312"/>
                <w:kern w:val="0"/>
                <w:sz w:val="28"/>
                <w:szCs w:val="28"/>
                <w:lang w:val="en-US" w:eastAsia="zh-CN" w:bidi="ar"/>
              </w:rPr>
              <w:t>5</w:t>
            </w:r>
            <w:r>
              <w:rPr>
                <w:rFonts w:hint="default" w:ascii="仿宋_GB2312" w:hAnsi="仿宋_GB2312" w:eastAsia="仿宋_GB2312" w:cs="仿宋_GB2312"/>
                <w:kern w:val="0"/>
                <w:sz w:val="28"/>
                <w:szCs w:val="28"/>
                <w:lang w:val="en-US" w:eastAsia="zh-CN" w:bidi="ar"/>
              </w:rPr>
              <w:t>年大田县红火蚁防治项目技术服务（监理）</w:t>
            </w:r>
          </w:p>
        </w:tc>
        <w:tc>
          <w:tcPr>
            <w:tcW w:w="6225" w:type="dxa"/>
            <w:noWrap w:val="0"/>
            <w:vAlign w:val="center"/>
          </w:tcPr>
          <w:p w14:paraId="550A374B">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1.通过“云采集”手机软件准确记录每个施药点的时间、位置、蚁巢大小、扑杀场景图片等数据并及时上传。这些数据将做为药品投入、防控面积估算、防控成效评估与考核的重要依据。  </w:t>
            </w:r>
          </w:p>
          <w:p w14:paraId="0A73F23E">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2.评估检查防治服务项目实施工作的规范性、合理性，检查项目实施中制订的实施方案、防治措施的科学性、合理性、先进性，是否符合项目要求。  </w:t>
            </w:r>
          </w:p>
          <w:p w14:paraId="55C41758">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3.检查防治企业对服务项目组织管理制度落实情况、项目人员配置情况是否符合项目要求。  </w:t>
            </w:r>
          </w:p>
          <w:p w14:paraId="0CF18105">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4.检查防治服务项目各类相关文件档案、数据、资料是否完整、齐备。 </w:t>
            </w:r>
          </w:p>
          <w:p w14:paraId="0157A0EE">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5.通过数字化技术跟踪项目防控进度，监测防控覆盖面积和工作量，评估项目整体施工量是否符合项目要求。</w:t>
            </w:r>
          </w:p>
          <w:p w14:paraId="339C16A9">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6.协助制定防效监测方案，实现科学的防控监测，指导防治企业在防控期间开展防效监测，及时评估投药后的防治效果。  </w:t>
            </w:r>
          </w:p>
          <w:p w14:paraId="7E22BA9E">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7.指导防治企业在防控结束后开展防效自查，科学、量化评估防控成效。</w:t>
            </w:r>
          </w:p>
          <w:p w14:paraId="72C43879">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8.协助采购人组织的防治服务项目验收，提供科学的验收评估方法和数据分析服务。</w:t>
            </w:r>
          </w:p>
          <w:p w14:paraId="0DF6B02A">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default" w:ascii="宋体" w:hAnsi="宋体" w:eastAsia="宋体" w:cs="宋体"/>
                <w:kern w:val="0"/>
                <w:sz w:val="24"/>
                <w:szCs w:val="24"/>
                <w:lang w:val="en-US" w:eastAsia="zh-CN" w:bidi="ar"/>
              </w:rPr>
            </w:pPr>
            <w:r>
              <w:rPr>
                <w:rFonts w:hint="eastAsia" w:ascii="仿宋_GB2312" w:hAnsi="仿宋_GB2312" w:eastAsia="仿宋_GB2312" w:cs="仿宋_GB2312"/>
                <w:kern w:val="0"/>
                <w:sz w:val="28"/>
                <w:szCs w:val="28"/>
                <w:lang w:val="en-US" w:eastAsia="zh-CN" w:bidi="ar"/>
              </w:rPr>
              <w:t>9.提交《2025年大田县红火蚁防治服务项目执行情况评估报告》《2025年大田县红火蚁防治服务项目完成防控面积报告》。</w:t>
            </w:r>
          </w:p>
        </w:tc>
        <w:tc>
          <w:tcPr>
            <w:tcW w:w="1004" w:type="dxa"/>
            <w:noWrap w:val="0"/>
            <w:vAlign w:val="center"/>
          </w:tcPr>
          <w:p w14:paraId="16E7323F">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default"/>
                <w:lang w:val="en-US" w:eastAsia="zh-CN"/>
              </w:rPr>
            </w:pPr>
            <w:r>
              <w:rPr>
                <w:rFonts w:hint="eastAsia" w:ascii="仿宋_GB2312" w:hAnsi="仿宋_GB2312" w:eastAsia="仿宋_GB2312" w:cs="仿宋_GB2312"/>
                <w:kern w:val="0"/>
                <w:sz w:val="28"/>
                <w:szCs w:val="28"/>
                <w:lang w:val="en-US" w:eastAsia="zh-CN" w:bidi="ar"/>
              </w:rPr>
              <w:t>1项</w:t>
            </w:r>
          </w:p>
        </w:tc>
      </w:tr>
    </w:tbl>
    <w:p w14:paraId="45674F66">
      <w:pPr>
        <w:pStyle w:val="2"/>
        <w:keepNext w:val="0"/>
        <w:keepLines w:val="0"/>
        <w:pageBreakBefore w:val="0"/>
        <w:widowControl/>
        <w:suppressLineNumbers w:val="0"/>
        <w:kinsoku/>
        <w:wordWrap/>
        <w:overflowPunct/>
        <w:topLinePunct w:val="0"/>
        <w:autoSpaceDE/>
        <w:autoSpaceDN/>
        <w:bidi w:val="0"/>
        <w:snapToGrid w:val="0"/>
        <w:spacing w:beforeAutospacing="0" w:afterAutospacing="0"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lang w:eastAsia="zh-CN"/>
        </w:rPr>
        <w:t>商务条件</w:t>
      </w:r>
    </w:p>
    <w:p w14:paraId="5FB27386">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1.交付地点：采购人指定地点。</w:t>
      </w:r>
    </w:p>
    <w:p w14:paraId="31226ACA">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2.交付时间：与2025年红火蚁防治项目同步实施，至2025年红火蚁防治项目通过验收结束。</w:t>
      </w:r>
    </w:p>
    <w:p w14:paraId="195E7142">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交付条件：完成上述第二项技术要求内容，提交《2025年大田县红火蚁防治服务项目执行情况评估报告》《2025年大田县红火蚁防治服务项目完成防控面积报告》作为验收依据。若因中标人原因造成未能按照合同约定时间交付使用的，应按照合同有关条款支付相应违约金。</w:t>
      </w:r>
    </w:p>
    <w:p w14:paraId="48BB4F73">
      <w:pPr>
        <w:pStyle w:val="2"/>
        <w:keepNext w:val="0"/>
        <w:keepLines w:val="0"/>
        <w:pageBreakBefore w:val="0"/>
        <w:widowControl/>
        <w:suppressLineNumbers w:val="0"/>
        <w:kinsoku/>
        <w:wordWrap/>
        <w:overflowPunct/>
        <w:topLinePunct w:val="0"/>
        <w:autoSpaceDE/>
        <w:autoSpaceDN/>
        <w:bidi w:val="0"/>
        <w:snapToGrid w:val="0"/>
        <w:spacing w:beforeAutospacing="0" w:afterAutospacing="0"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四、响应文件格式</w:t>
      </w:r>
    </w:p>
    <w:p w14:paraId="5B3F1FCA">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报价企业</w:t>
      </w:r>
      <w:r>
        <w:rPr>
          <w:rFonts w:hint="default" w:ascii="仿宋_GB2312" w:hAnsi="仿宋_GB2312" w:eastAsia="仿宋_GB2312" w:cs="仿宋_GB2312"/>
          <w:kern w:val="0"/>
          <w:sz w:val="28"/>
          <w:szCs w:val="28"/>
          <w:lang w:val="en-US" w:eastAsia="zh-CN" w:bidi="ar"/>
        </w:rPr>
        <w:t>递交文件内容</w:t>
      </w:r>
      <w:r>
        <w:rPr>
          <w:rFonts w:hint="eastAsia" w:ascii="仿宋_GB2312" w:hAnsi="仿宋_GB2312" w:eastAsia="仿宋_GB2312" w:cs="仿宋_GB2312"/>
          <w:kern w:val="0"/>
          <w:sz w:val="28"/>
          <w:szCs w:val="28"/>
          <w:lang w:val="en-US" w:eastAsia="zh-CN" w:bidi="ar"/>
        </w:rPr>
        <w:t>：</w:t>
      </w:r>
    </w:p>
    <w:p w14:paraId="2A4E2434">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1.技术服务（监理）企业与福建省植保植检总站签订的保密协议。</w:t>
      </w:r>
    </w:p>
    <w:p w14:paraId="646C8513">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2.自主研发或具有“云采集”使用权的证明材料。</w:t>
      </w:r>
    </w:p>
    <w:p w14:paraId="2224798D">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w:t>
      </w:r>
      <w:r>
        <w:rPr>
          <w:rFonts w:hint="default" w:ascii="仿宋_GB2312" w:hAnsi="仿宋_GB2312" w:eastAsia="仿宋_GB2312" w:cs="仿宋_GB2312"/>
          <w:kern w:val="0"/>
          <w:sz w:val="28"/>
          <w:szCs w:val="28"/>
          <w:lang w:val="en-US" w:eastAsia="zh-CN" w:bidi="ar"/>
        </w:rPr>
        <w:t>参与单位企业法人身份证复印件、委托代理人身份证复印件、营业执照副本复印件，并加盖公章；</w:t>
      </w:r>
    </w:p>
    <w:p w14:paraId="42632BB7">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w:t>
      </w:r>
      <w:r>
        <w:rPr>
          <w:rFonts w:hint="default" w:ascii="仿宋_GB2312" w:hAnsi="仿宋_GB2312" w:eastAsia="仿宋_GB2312" w:cs="仿宋_GB2312"/>
          <w:kern w:val="0"/>
          <w:sz w:val="28"/>
          <w:szCs w:val="28"/>
          <w:lang w:val="en-US" w:eastAsia="zh-CN" w:bidi="ar"/>
        </w:rPr>
        <w:t>报价表（含税）</w:t>
      </w:r>
      <w:r>
        <w:rPr>
          <w:rFonts w:hint="eastAsia" w:ascii="仿宋_GB2312" w:hAnsi="仿宋_GB2312" w:eastAsia="仿宋_GB2312" w:cs="仿宋_GB2312"/>
          <w:kern w:val="0"/>
          <w:sz w:val="28"/>
          <w:szCs w:val="28"/>
          <w:lang w:val="en-US" w:eastAsia="zh-CN" w:bidi="ar"/>
        </w:rPr>
        <w:t>，详见报价表</w:t>
      </w:r>
      <w:r>
        <w:rPr>
          <w:rFonts w:hint="default" w:ascii="仿宋_GB2312" w:hAnsi="仿宋_GB2312" w:eastAsia="仿宋_GB2312" w:cs="仿宋_GB2312"/>
          <w:kern w:val="0"/>
          <w:sz w:val="28"/>
          <w:szCs w:val="28"/>
          <w:lang w:val="en-US" w:eastAsia="zh-CN" w:bidi="ar"/>
        </w:rPr>
        <w:t>；</w:t>
      </w:r>
    </w:p>
    <w:p w14:paraId="5CF7245D">
      <w:pPr>
        <w:keepNext w:val="0"/>
        <w:keepLines w:val="0"/>
        <w:pageBreakBefore w:val="0"/>
        <w:kinsoku/>
        <w:wordWrap/>
        <w:overflowPunct/>
        <w:topLinePunct w:val="0"/>
        <w:autoSpaceDE/>
        <w:autoSpaceDN/>
        <w:bidi w:val="0"/>
        <w:adjustRightInd w:val="0"/>
        <w:snapToGrid w:val="0"/>
        <w:spacing w:beforeAutospacing="0" w:afterAutospacing="0" w:line="520" w:lineRule="exact"/>
        <w:ind w:left="0" w:leftChars="0"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5.</w:t>
      </w:r>
      <w:r>
        <w:rPr>
          <w:rFonts w:hint="default" w:ascii="仿宋_GB2312" w:hAnsi="仿宋_GB2312" w:eastAsia="仿宋_GB2312" w:cs="仿宋_GB2312"/>
          <w:kern w:val="0"/>
          <w:sz w:val="28"/>
          <w:szCs w:val="28"/>
          <w:lang w:val="en-US" w:eastAsia="zh-CN" w:bidi="ar"/>
        </w:rPr>
        <w:t>承诺书，参加采购活动前3年内，公司及其负责人在经营活动中没有任何重大违法违规记录，也从未被追究刑事责任；参加采购活动前1年内，公司及其负责人没有因经营活动违法违规被县级以上行政主管部门行政处罚，或处于不良行为记录中。</w:t>
      </w:r>
    </w:p>
    <w:p w14:paraId="17E23298">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20" w:lineRule="exact"/>
        <w:ind w:right="0" w:rightChars="0"/>
        <w:jc w:val="both"/>
        <w:textAlignment w:val="auto"/>
        <w:rPr>
          <w:rFonts w:hint="default" w:ascii="宋体" w:hAnsi="宋体" w:eastAsia="宋体" w:cs="宋体"/>
          <w:b w:val="0"/>
          <w:bCs w:val="0"/>
          <w:kern w:val="2"/>
          <w:sz w:val="24"/>
          <w:szCs w:val="24"/>
          <w:lang w:val="en-US" w:eastAsia="zh-CN" w:bidi="ar-SA"/>
        </w:rPr>
      </w:pPr>
    </w:p>
    <w:p w14:paraId="547BD0B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0"/>
          <w:szCs w:val="30"/>
          <w:lang w:val="en-US" w:eastAsia="zh-CN"/>
        </w:rPr>
      </w:pPr>
    </w:p>
    <w:p w14:paraId="6B5A83E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0"/>
          <w:szCs w:val="30"/>
          <w:lang w:val="en-US" w:eastAsia="zh-CN"/>
        </w:rPr>
      </w:pPr>
    </w:p>
    <w:p w14:paraId="5E1CC4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Style w:val="6"/>
          <w:rFonts w:hint="default" w:ascii="方正小标宋简体" w:hAnsi="方正小标宋简体" w:eastAsia="方正小标宋简体" w:cs="方正小标宋简体"/>
          <w:b w:val="0"/>
          <w:bCs w:val="0"/>
          <w:sz w:val="36"/>
          <w:szCs w:val="36"/>
          <w:lang w:val="en-US" w:eastAsia="zh-CN"/>
        </w:rPr>
      </w:pPr>
      <w:r>
        <w:rPr>
          <w:rStyle w:val="6"/>
          <w:rFonts w:hint="default" w:ascii="方正小标宋简体" w:hAnsi="方正小标宋简体" w:eastAsia="方正小标宋简体" w:cs="方正小标宋简体"/>
          <w:b w:val="0"/>
          <w:bCs w:val="0"/>
          <w:sz w:val="36"/>
          <w:szCs w:val="36"/>
          <w:lang w:val="en-US" w:eastAsia="zh-CN"/>
        </w:rPr>
        <w:t>202</w:t>
      </w:r>
      <w:r>
        <w:rPr>
          <w:rStyle w:val="6"/>
          <w:rFonts w:hint="eastAsia" w:ascii="方正小标宋简体" w:hAnsi="方正小标宋简体" w:eastAsia="方正小标宋简体" w:cs="方正小标宋简体"/>
          <w:b w:val="0"/>
          <w:bCs w:val="0"/>
          <w:sz w:val="36"/>
          <w:szCs w:val="36"/>
          <w:lang w:val="en-US" w:eastAsia="zh-CN"/>
        </w:rPr>
        <w:t>5</w:t>
      </w:r>
      <w:r>
        <w:rPr>
          <w:rStyle w:val="6"/>
          <w:rFonts w:hint="default" w:ascii="方正小标宋简体" w:hAnsi="方正小标宋简体" w:eastAsia="方正小标宋简体" w:cs="方正小标宋简体"/>
          <w:b w:val="0"/>
          <w:bCs w:val="0"/>
          <w:sz w:val="36"/>
          <w:szCs w:val="36"/>
          <w:lang w:val="en-US" w:eastAsia="zh-CN"/>
        </w:rPr>
        <w:t>年大田县红火蚁防治项目</w:t>
      </w:r>
    </w:p>
    <w:p w14:paraId="7BCA9D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Fonts w:hint="default"/>
          <w:b/>
          <w:bCs/>
          <w:sz w:val="44"/>
          <w:szCs w:val="44"/>
          <w:lang w:val="en-US" w:eastAsia="zh-CN"/>
        </w:rPr>
      </w:pPr>
      <w:r>
        <w:rPr>
          <w:rStyle w:val="6"/>
          <w:rFonts w:hint="default" w:ascii="方正小标宋简体" w:hAnsi="方正小标宋简体" w:eastAsia="方正小标宋简体" w:cs="方正小标宋简体"/>
          <w:b w:val="0"/>
          <w:bCs w:val="0"/>
          <w:sz w:val="36"/>
          <w:szCs w:val="36"/>
          <w:lang w:val="en-US" w:eastAsia="zh-CN"/>
        </w:rPr>
        <w:t>技术服务（监理）</w:t>
      </w:r>
      <w:r>
        <w:rPr>
          <w:rStyle w:val="6"/>
          <w:rFonts w:hint="eastAsia" w:ascii="方正小标宋简体" w:hAnsi="方正小标宋简体" w:eastAsia="方正小标宋简体" w:cs="方正小标宋简体"/>
          <w:b w:val="0"/>
          <w:bCs w:val="0"/>
          <w:sz w:val="36"/>
          <w:szCs w:val="36"/>
          <w:lang w:val="en-US" w:eastAsia="zh-CN"/>
        </w:rPr>
        <w:t>报价表</w:t>
      </w:r>
    </w:p>
    <w:tbl>
      <w:tblPr>
        <w:tblStyle w:val="3"/>
        <w:tblpPr w:leftFromText="180" w:rightFromText="180" w:vertAnchor="text" w:horzAnchor="page" w:tblpXSpec="center" w:tblpY="365"/>
        <w:tblOverlap w:val="never"/>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430"/>
        <w:gridCol w:w="1843"/>
      </w:tblGrid>
      <w:tr w14:paraId="4995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85" w:type="dxa"/>
            <w:noWrap w:val="0"/>
            <w:vAlign w:val="center"/>
          </w:tcPr>
          <w:p w14:paraId="34A591FC">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430" w:type="dxa"/>
            <w:noWrap w:val="0"/>
            <w:vAlign w:val="center"/>
          </w:tcPr>
          <w:p w14:paraId="0EAA3FE1">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项目资金及招标内容</w:t>
            </w:r>
          </w:p>
        </w:tc>
        <w:tc>
          <w:tcPr>
            <w:tcW w:w="1843" w:type="dxa"/>
            <w:noWrap w:val="0"/>
            <w:vAlign w:val="center"/>
          </w:tcPr>
          <w:p w14:paraId="2D9E814E">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价格</w:t>
            </w:r>
          </w:p>
        </w:tc>
      </w:tr>
      <w:tr w14:paraId="6C20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785" w:type="dxa"/>
            <w:noWrap w:val="0"/>
            <w:vAlign w:val="center"/>
          </w:tcPr>
          <w:p w14:paraId="6CFBB230">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430" w:type="dxa"/>
            <w:noWrap w:val="0"/>
            <w:vAlign w:val="center"/>
          </w:tcPr>
          <w:p w14:paraId="4280DD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1.最高限价为</w:t>
            </w:r>
            <w:r>
              <w:rPr>
                <w:rFonts w:hint="eastAsia" w:ascii="仿宋_GB2312" w:hAnsi="仿宋_GB2312" w:eastAsia="仿宋_GB2312" w:cs="仿宋_GB2312"/>
                <w:b w:val="0"/>
                <w:bCs w:val="0"/>
                <w:sz w:val="28"/>
                <w:szCs w:val="28"/>
                <w:u w:val="single"/>
                <w:lang w:val="en-US" w:eastAsia="zh-CN"/>
              </w:rPr>
              <w:t>2025年</w:t>
            </w:r>
            <w:r>
              <w:rPr>
                <w:rFonts w:hint="eastAsia" w:ascii="仿宋_GB2312" w:hAnsi="仿宋_GB2312" w:eastAsia="仿宋_GB2312" w:cs="仿宋_GB2312"/>
                <w:sz w:val="28"/>
                <w:szCs w:val="28"/>
                <w:u w:val="single"/>
                <w:lang w:val="en-US" w:eastAsia="zh-CN"/>
              </w:rPr>
              <w:t>大田县</w:t>
            </w:r>
            <w:r>
              <w:rPr>
                <w:rFonts w:hint="eastAsia" w:ascii="仿宋_GB2312" w:hAnsi="仿宋_GB2312" w:eastAsia="仿宋_GB2312" w:cs="仿宋_GB2312"/>
                <w:b w:val="0"/>
                <w:bCs w:val="0"/>
                <w:sz w:val="28"/>
                <w:szCs w:val="28"/>
                <w:u w:val="single"/>
                <w:lang w:val="en-US" w:eastAsia="zh-CN"/>
              </w:rPr>
              <w:t>红火蚁防治项目</w:t>
            </w:r>
            <w:r>
              <w:rPr>
                <w:rFonts w:hint="eastAsia" w:ascii="仿宋_GB2312" w:hAnsi="仿宋_GB2312" w:eastAsia="仿宋_GB2312" w:cs="仿宋_GB2312"/>
                <w:sz w:val="28"/>
                <w:szCs w:val="28"/>
                <w:lang w:val="en-US" w:eastAsia="zh-CN"/>
              </w:rPr>
              <w:t>服务采购中标价的5%。</w:t>
            </w:r>
          </w:p>
          <w:p w14:paraId="044644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2.主要工作内容：</w:t>
            </w:r>
          </w:p>
          <w:p w14:paraId="0B34C6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（1）通过“云采集”手机软件准确记录每个施药点的时间、位置、蚁巢大小、扑杀场景图片等数据并及时上传。这些数据将做为药品投入、防控面积估算、防控成效评估与考核的重要依据。  </w:t>
            </w:r>
          </w:p>
          <w:p w14:paraId="724AB5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（2）评估检查防治服务项目实施工作的规范性、合理性，检查项目实施中制订的实施方案、防治措施的科学性、合理性、先进性，是否符合项目要求。  </w:t>
            </w:r>
          </w:p>
          <w:p w14:paraId="7BD329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（3）检查防治企业对服务项目组织管理制度落实情况、项目人员配置情况是否符合项目要求。  </w:t>
            </w:r>
          </w:p>
          <w:p w14:paraId="23A3CD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（4）检查防治服务项目各类相关文件档案、数据、资料是否完整、齐备。 </w:t>
            </w:r>
          </w:p>
          <w:p w14:paraId="2DA2F3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（5）通过数字化技术跟踪项目防控进度，监测防控覆盖面积和工作量，评估项目整体施工量是否符合项目要求。</w:t>
            </w:r>
          </w:p>
          <w:p w14:paraId="1BA701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（6）协助制定防效监测方案，实现科学的防控监测，指导防治企业在防控期间开展防效监测，及时评估投药后的防治效果。  </w:t>
            </w:r>
          </w:p>
          <w:p w14:paraId="56D245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（7）指导防治企业在防控结束后开展防效自查，科学、量化评估防控成效。</w:t>
            </w:r>
          </w:p>
          <w:p w14:paraId="462F23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（8）协助采购人组织的防治服务项目验收，提供科学的验收评估方法和数据分析服务。</w:t>
            </w:r>
          </w:p>
          <w:p w14:paraId="5AA1C3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（9）提交《2025年大田县红火蚁防治服务项目执行情况评估报告》《2025年大田县红火蚁防治服务项目完成防控面积报告》。</w:t>
            </w:r>
          </w:p>
        </w:tc>
        <w:tc>
          <w:tcPr>
            <w:tcW w:w="1843" w:type="dxa"/>
            <w:noWrap w:val="0"/>
            <w:vAlign w:val="center"/>
          </w:tcPr>
          <w:p w14:paraId="512FC7EA">
            <w:pPr>
              <w:keepNext w:val="0"/>
              <w:keepLines w:val="0"/>
              <w:pageBreakBefore w:val="0"/>
              <w:kinsoku/>
              <w:wordWrap/>
              <w:overflowPunct/>
              <w:topLinePunct w:val="0"/>
              <w:bidi w:val="0"/>
              <w:spacing w:line="52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2025年大田县红火蚁防治项目</w:t>
            </w:r>
            <w:r>
              <w:rPr>
                <w:rFonts w:hint="eastAsia" w:ascii="仿宋_GB2312" w:hAnsi="仿宋_GB2312" w:eastAsia="仿宋_GB2312" w:cs="仿宋_GB2312"/>
                <w:sz w:val="28"/>
                <w:szCs w:val="28"/>
                <w:lang w:val="en-US" w:eastAsia="zh-CN"/>
              </w:rPr>
              <w:t>服务采购中标价的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tc>
      </w:tr>
    </w:tbl>
    <w:p w14:paraId="611E2AD2">
      <w:pPr>
        <w:keepNext w:val="0"/>
        <w:keepLines w:val="0"/>
        <w:pageBreakBefore w:val="0"/>
        <w:kinsoku/>
        <w:wordWrap/>
        <w:overflowPunct/>
        <w:topLinePunct w:val="0"/>
        <w:bidi w:val="0"/>
        <w:spacing w:line="520" w:lineRule="exact"/>
        <w:ind w:firstLine="420" w:firstLineChars="200"/>
        <w:textAlignment w:val="auto"/>
        <w:rPr>
          <w:rFonts w:hint="default"/>
          <w:lang w:val="en-US" w:eastAsia="zh-CN"/>
        </w:rPr>
      </w:pPr>
    </w:p>
    <w:p w14:paraId="3BA798CF">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报价企业盖章：</w:t>
      </w:r>
    </w:p>
    <w:p w14:paraId="280DFCE7">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                  联系电话：</w:t>
      </w:r>
    </w:p>
    <w:p w14:paraId="7CF36964">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企业地址：</w:t>
      </w:r>
    </w:p>
    <w:p w14:paraId="78E60320">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sz w:val="30"/>
          <w:szCs w:val="30"/>
          <w:lang w:val="en-US" w:eastAsia="zh-CN"/>
        </w:rPr>
      </w:pPr>
      <w:r>
        <w:rPr>
          <w:rFonts w:hint="eastAsia" w:ascii="仿宋" w:hAnsi="仿宋" w:eastAsia="仿宋" w:cs="仿宋"/>
          <w:sz w:val="28"/>
          <w:szCs w:val="28"/>
          <w:lang w:val="en-US" w:eastAsia="zh-CN"/>
        </w:rPr>
        <w:t>日期：   年  月  日</w:t>
      </w:r>
    </w:p>
    <w:p w14:paraId="043CBE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56B54"/>
    <w:rsid w:val="7FA5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2025-08-06T09:28:00Z</dcterms:created>
  <dc:creator>lfk</dc:creator>
  <cp:lastModifiedBy>lfk</cp:lastModifiedBy>
  <dcterms:modified xsi:type="dcterms:W3CDTF">2025-08-06T09:28:50Z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E4269D2F6BA7472CB778B32B9E569446_11</vt:lpwstr>
  </property>
  <property fmtid="{D5CDD505-2E9C-101B-9397-08002B2CF9AE}" pid="4" name="KSOTemplateDocerSaveRecord">
    <vt:lpwstr>eyJoZGlkIjoiZTE5NGEyYzU5YTQyY2JhMWNiYjVlNjc5MzkyZTk0ZDUiLCJ1c2VySWQiOiIxMjgwMjg5OTkxIn0=</vt:lpwstr>
  </property>
</Properties>
</file>