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C6B43">
      <w:pPr>
        <w:pStyle w:val="2"/>
        <w:keepNext w:val="0"/>
        <w:keepLines w:val="0"/>
        <w:widowControl/>
        <w:suppressLineNumbers w:val="0"/>
        <w:spacing w:before="0" w:beforeAutospacing="0" w:after="450" w:afterAutospacing="0" w:line="750" w:lineRule="atLeast"/>
        <w:ind w:left="0" w:right="0"/>
        <w:jc w:val="center"/>
        <w:rPr>
          <w:rFonts w:ascii="方正小标宋简体" w:hAnsi="方正小标宋简体" w:eastAsia="方正小标宋简体" w:cs="方正小标宋简体"/>
          <w:b w:val="0"/>
          <w:bCs w:val="0"/>
          <w:color w:val="333333"/>
          <w:sz w:val="45"/>
          <w:szCs w:val="45"/>
        </w:rPr>
      </w:pPr>
      <w:r>
        <w:rPr>
          <w:rFonts w:hint="eastAsia" w:ascii="方正小标宋简体" w:hAnsi="方正小标宋简体" w:eastAsia="方正小标宋简体" w:cs="方正小标宋简体"/>
          <w:b w:val="0"/>
          <w:bCs w:val="0"/>
          <w:i w:val="0"/>
          <w:iCs w:val="0"/>
          <w:caps w:val="0"/>
          <w:color w:val="333333"/>
          <w:spacing w:val="0"/>
          <w:sz w:val="45"/>
          <w:szCs w:val="45"/>
          <w:bdr w:val="none" w:color="auto" w:sz="0" w:space="0"/>
        </w:rPr>
        <w:t>福建省人民政府关于印发</w:t>
      </w:r>
      <w:r>
        <w:rPr>
          <w:rFonts w:hint="eastAsia" w:ascii="方正小标宋简体" w:hAnsi="方正小标宋简体" w:eastAsia="方正小标宋简体" w:cs="方正小标宋简体"/>
          <w:b w:val="0"/>
          <w:bCs w:val="0"/>
          <w:i w:val="0"/>
          <w:iCs w:val="0"/>
          <w:caps w:val="0"/>
          <w:color w:val="333333"/>
          <w:spacing w:val="0"/>
          <w:sz w:val="45"/>
          <w:szCs w:val="45"/>
          <w:bdr w:val="none" w:color="auto" w:sz="0" w:space="0"/>
        </w:rPr>
        <w:br w:type="textWrapping"/>
      </w:r>
      <w:r>
        <w:rPr>
          <w:rFonts w:hint="eastAsia" w:ascii="方正小标宋简体" w:hAnsi="方正小标宋简体" w:eastAsia="方正小标宋简体" w:cs="方正小标宋简体"/>
          <w:b w:val="0"/>
          <w:bCs w:val="0"/>
          <w:i w:val="0"/>
          <w:iCs w:val="0"/>
          <w:caps w:val="0"/>
          <w:color w:val="333333"/>
          <w:spacing w:val="0"/>
          <w:sz w:val="45"/>
          <w:szCs w:val="45"/>
          <w:bdr w:val="none" w:color="auto" w:sz="0" w:space="0"/>
        </w:rPr>
        <w:t>福建省水资源费征收使用管理办法的通知</w:t>
      </w:r>
    </w:p>
    <w:p w14:paraId="0D3BAD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ascii="仿宋_GB2312" w:eastAsia="仿宋_GB2312" w:cs="仿宋_GB2312"/>
          <w:color w:val="333333"/>
          <w:sz w:val="30"/>
          <w:szCs w:val="30"/>
        </w:rPr>
      </w:pPr>
      <w:r>
        <w:rPr>
          <w:rFonts w:hint="eastAsia" w:ascii="仿宋_GB2312" w:hAnsi="微软雅黑" w:eastAsia="仿宋_GB2312" w:cs="仿宋_GB2312"/>
          <w:i w:val="0"/>
          <w:iCs w:val="0"/>
          <w:caps w:val="0"/>
          <w:color w:val="333333"/>
          <w:spacing w:val="0"/>
          <w:sz w:val="30"/>
          <w:szCs w:val="30"/>
          <w:bdr w:val="none" w:color="auto" w:sz="0" w:space="0"/>
        </w:rPr>
        <w:t>闽政〔2007〕27号</w:t>
      </w:r>
    </w:p>
    <w:p w14:paraId="3B8DEB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各市、县（区）人民政府，省政府各部门、各直属机构，各大企业、各高等院校：</w:t>
      </w:r>
    </w:p>
    <w:p w14:paraId="14D7E2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《福建省水资源费征收使用管理办法》已经省人民政府研究同意，现印发给你们，请认真贯彻执行。</w:t>
      </w:r>
    </w:p>
    <w:p w14:paraId="42AAE9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jc w:val="right"/>
        <w:rPr>
          <w:sz w:val="32"/>
          <w:szCs w:val="32"/>
        </w:rPr>
      </w:pPr>
      <w:r>
        <w:rPr>
          <w:rFonts w:hint="eastAsia" w:ascii="宋体" w:hAnsi="宋体" w:eastAsia="宋体" w:cs="宋体"/>
          <w:i w:val="0"/>
          <w:iCs w:val="0"/>
          <w:caps w:val="0"/>
          <w:color w:val="333333"/>
          <w:spacing w:val="0"/>
          <w:sz w:val="32"/>
          <w:szCs w:val="32"/>
          <w:bdr w:val="none" w:color="auto" w:sz="0" w:space="0"/>
        </w:rPr>
        <w:t>福建省人民政府</w:t>
      </w:r>
      <w:r>
        <w:rPr>
          <w:rFonts w:hint="eastAsia" w:ascii="宋体" w:hAnsi="宋体" w:eastAsia="宋体" w:cs="宋体"/>
          <w:i w:val="0"/>
          <w:iCs w:val="0"/>
          <w:caps w:val="0"/>
          <w:color w:val="333333"/>
          <w:spacing w:val="0"/>
          <w:sz w:val="32"/>
          <w:szCs w:val="32"/>
          <w:bdr w:val="none" w:color="auto" w:sz="0" w:space="0"/>
        </w:rPr>
        <w:br w:type="textWrapping"/>
      </w:r>
      <w:r>
        <w:rPr>
          <w:rFonts w:hint="eastAsia" w:ascii="宋体" w:hAnsi="宋体" w:eastAsia="宋体" w:cs="宋体"/>
          <w:i w:val="0"/>
          <w:iCs w:val="0"/>
          <w:caps w:val="0"/>
          <w:color w:val="333333"/>
          <w:spacing w:val="0"/>
          <w:sz w:val="32"/>
          <w:szCs w:val="32"/>
          <w:bdr w:val="none" w:color="auto" w:sz="0" w:space="0"/>
        </w:rPr>
        <w:t>二○○七年九月十九日</w:t>
      </w:r>
    </w:p>
    <w:p w14:paraId="22AD8E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jc w:val="center"/>
        <w:rPr>
          <w:sz w:val="32"/>
          <w:szCs w:val="32"/>
        </w:rPr>
      </w:pPr>
      <w:r>
        <w:rPr>
          <w:rFonts w:hint="eastAsia" w:ascii="宋体" w:hAnsi="宋体" w:eastAsia="宋体" w:cs="宋体"/>
          <w:i w:val="0"/>
          <w:iCs w:val="0"/>
          <w:caps w:val="0"/>
          <w:color w:val="333333"/>
          <w:spacing w:val="0"/>
          <w:sz w:val="32"/>
          <w:szCs w:val="32"/>
          <w:bdr w:val="none" w:color="auto" w:sz="0" w:space="0"/>
        </w:rPr>
        <w:br w:type="textWrapping"/>
      </w:r>
      <w:r>
        <w:rPr>
          <w:rStyle w:val="6"/>
          <w:rFonts w:hint="eastAsia" w:ascii="宋体" w:hAnsi="宋体" w:eastAsia="宋体" w:cs="宋体"/>
          <w:i w:val="0"/>
          <w:iCs w:val="0"/>
          <w:caps w:val="0"/>
          <w:color w:val="0000FF"/>
          <w:spacing w:val="0"/>
          <w:sz w:val="32"/>
          <w:szCs w:val="32"/>
          <w:bdr w:val="none" w:color="auto" w:sz="0" w:space="0"/>
        </w:rPr>
        <w:t>福建省水资源费征收使用管理办法</w:t>
      </w:r>
    </w:p>
    <w:p w14:paraId="4F1591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第一条</w:t>
      </w:r>
      <w:r>
        <w:rPr>
          <w:rFonts w:hint="eastAsia" w:ascii="宋体" w:hAnsi="宋体" w:eastAsia="宋体" w:cs="宋体"/>
          <w:i w:val="0"/>
          <w:iCs w:val="0"/>
          <w:caps w:val="0"/>
          <w:color w:val="333333"/>
          <w:spacing w:val="0"/>
          <w:sz w:val="32"/>
          <w:szCs w:val="32"/>
          <w:bdr w:val="none" w:color="auto" w:sz="0" w:space="0"/>
        </w:rPr>
        <w:t>　为加强水资源费征收的管理，促进水资源的优化配置、全面节约和有效保护，根据《中华人民共和国水法》、《取水许可和水资源费征收管理条例》、《福建省取水管理办法》和《福建省行政事业性收费管理条例》，结合我省实际，制定本办法。</w:t>
      </w:r>
    </w:p>
    <w:p w14:paraId="6959B5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第二条</w:t>
      </w:r>
      <w:r>
        <w:rPr>
          <w:rFonts w:hint="eastAsia" w:ascii="宋体" w:hAnsi="宋体" w:eastAsia="宋体" w:cs="宋体"/>
          <w:i w:val="0"/>
          <w:iCs w:val="0"/>
          <w:caps w:val="0"/>
          <w:color w:val="333333"/>
          <w:spacing w:val="0"/>
          <w:sz w:val="32"/>
          <w:szCs w:val="32"/>
          <w:bdr w:val="none" w:color="auto" w:sz="0" w:space="0"/>
        </w:rPr>
        <w:t>　凡在本省行政区域内，利用取水工程或者设施直接从江河、湖泊或者地下取用水资源的单位和个人，应当向县级以上水行政主管部门申领取水许可证，并按照本办法的规定缴纳水资源费。</w:t>
      </w:r>
    </w:p>
    <w:p w14:paraId="3AD46F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前款所称取水工程或者设施是指闸、坝、渠道、人工河道、虹吸管、水泵、水井、水电站等。</w:t>
      </w:r>
    </w:p>
    <w:p w14:paraId="389C53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第三条</w:t>
      </w:r>
      <w:r>
        <w:rPr>
          <w:rFonts w:hint="eastAsia" w:ascii="宋体" w:hAnsi="宋体" w:eastAsia="宋体" w:cs="宋体"/>
          <w:i w:val="0"/>
          <w:iCs w:val="0"/>
          <w:caps w:val="0"/>
          <w:color w:val="333333"/>
          <w:spacing w:val="0"/>
          <w:sz w:val="32"/>
          <w:szCs w:val="32"/>
          <w:bdr w:val="none" w:color="auto" w:sz="0" w:space="0"/>
        </w:rPr>
        <w:t>　下列情形不需要申领取水许可证和免征水资源费：</w:t>
      </w:r>
    </w:p>
    <w:p w14:paraId="11F848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（一）农业集体经济组织及其成员使用本集体组织的水塘、水库中的水的；</w:t>
      </w:r>
    </w:p>
    <w:p w14:paraId="1DC81E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（二）家庭生活和零星散养、圈养畜禽饮用等年取用地表水水量在3000m3以下、地下水水量在1000m3以下取水的；</w:t>
      </w:r>
    </w:p>
    <w:p w14:paraId="0D9DC6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（三）为保障矿井等地下工程施工安全和生产安全必须进行临时应急取（排）水的；</w:t>
      </w:r>
    </w:p>
    <w:p w14:paraId="10E533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（四）为农业抗旱、维护生态与环境、消除对公共安全或者公共利益危害临时应急取水的；</w:t>
      </w:r>
    </w:p>
    <w:p w14:paraId="2750C7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（五）法律法规另有规定的。</w:t>
      </w:r>
    </w:p>
    <w:p w14:paraId="58714F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第四条</w:t>
      </w:r>
      <w:r>
        <w:rPr>
          <w:rFonts w:hint="eastAsia" w:ascii="宋体" w:hAnsi="宋体" w:eastAsia="宋体" w:cs="宋体"/>
          <w:i w:val="0"/>
          <w:iCs w:val="0"/>
          <w:caps w:val="0"/>
          <w:color w:val="333333"/>
          <w:spacing w:val="0"/>
          <w:sz w:val="32"/>
          <w:szCs w:val="32"/>
          <w:bdr w:val="none" w:color="auto" w:sz="0" w:space="0"/>
        </w:rPr>
        <w:t>　根据取水许可管理权限的规定，按照“谁发证、谁收费”的原则，水资源费由县级以上人民政府水行政主管部门分级负责征收。水利部授权流域管理机构发放的取水许可证的取用水单位和个人的水资源费由省水行政主管部门征收。</w:t>
      </w:r>
    </w:p>
    <w:p w14:paraId="20C67E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第五条</w:t>
      </w:r>
      <w:r>
        <w:rPr>
          <w:rFonts w:hint="eastAsia" w:ascii="宋体" w:hAnsi="宋体" w:eastAsia="宋体" w:cs="宋体"/>
          <w:i w:val="0"/>
          <w:iCs w:val="0"/>
          <w:caps w:val="0"/>
          <w:color w:val="333333"/>
          <w:spacing w:val="0"/>
          <w:sz w:val="32"/>
          <w:szCs w:val="32"/>
          <w:bdr w:val="none" w:color="auto" w:sz="0" w:space="0"/>
        </w:rPr>
        <w:t>　水资源费征收标准由省价格主管部门会同省财政部门、省水行政主管部门制定，报省人民政府批准。</w:t>
      </w:r>
    </w:p>
    <w:p w14:paraId="10F4A7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第六条</w:t>
      </w:r>
      <w:r>
        <w:rPr>
          <w:rFonts w:hint="eastAsia" w:ascii="宋体" w:hAnsi="宋体" w:eastAsia="宋体" w:cs="宋体"/>
          <w:i w:val="0"/>
          <w:iCs w:val="0"/>
          <w:caps w:val="0"/>
          <w:color w:val="333333"/>
          <w:spacing w:val="0"/>
          <w:sz w:val="32"/>
          <w:szCs w:val="32"/>
          <w:bdr w:val="none" w:color="auto" w:sz="0" w:space="0"/>
        </w:rPr>
        <w:t>　制定水资源费征收标准，应当遵循下列原则：</w:t>
      </w:r>
    </w:p>
    <w:p w14:paraId="0E08CA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（一）促进水资源的合理开发、利用、节约和保护；</w:t>
      </w:r>
    </w:p>
    <w:p w14:paraId="434617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（二）与全省水资源条件和经济社会发展水平相适应；</w:t>
      </w:r>
    </w:p>
    <w:p w14:paraId="5E4F48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（三）统筹地表水和地下水的合理开发利用，防止地下水过量开采；</w:t>
      </w:r>
    </w:p>
    <w:p w14:paraId="73DA26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（四）充分考虑不同产业和行业的差别。</w:t>
      </w:r>
    </w:p>
    <w:p w14:paraId="59F8DE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第七条</w:t>
      </w:r>
      <w:r>
        <w:rPr>
          <w:rFonts w:hint="eastAsia" w:ascii="宋体" w:hAnsi="宋体" w:eastAsia="宋体" w:cs="宋体"/>
          <w:i w:val="0"/>
          <w:iCs w:val="0"/>
          <w:caps w:val="0"/>
          <w:color w:val="333333"/>
          <w:spacing w:val="0"/>
          <w:sz w:val="32"/>
          <w:szCs w:val="32"/>
          <w:bdr w:val="none" w:color="auto" w:sz="0" w:space="0"/>
        </w:rPr>
        <w:t>　根据我省水资源的分布情况和各地经济发展水平将全省划分为两个类区，并按不同行业对水资源费的不同用途制定不同的水资源征收标准（见下表）。</w:t>
      </w:r>
    </w:p>
    <w:p w14:paraId="50A4E8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农业生产取水的水资源费征收的标准另行制定。</w:t>
      </w:r>
    </w:p>
    <w:p w14:paraId="17E777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p>
    <w:p w14:paraId="72DD32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i w:val="0"/>
          <w:iCs w:val="0"/>
          <w:caps w:val="0"/>
          <w:color w:val="3366FF"/>
          <w:spacing w:val="0"/>
          <w:kern w:val="0"/>
          <w:sz w:val="32"/>
          <w:szCs w:val="32"/>
          <w:bdr w:val="none" w:color="auto" w:sz="0" w:space="0"/>
          <w:lang w:val="en-US" w:eastAsia="zh-CN" w:bidi="ar"/>
        </w:rPr>
        <w:t>福建省水资源费征收标准</w:t>
      </w:r>
    </w:p>
    <w:p w14:paraId="71456E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宋体" w:hAnsi="宋体" w:eastAsia="宋体" w:cs="宋体"/>
          <w:i w:val="0"/>
          <w:iCs w:val="0"/>
          <w:caps w:val="0"/>
          <w:color w:val="333333"/>
          <w:spacing w:val="0"/>
          <w:kern w:val="0"/>
          <w:sz w:val="32"/>
          <w:szCs w:val="32"/>
          <w:bdr w:val="none" w:color="auto" w:sz="0" w:space="0"/>
          <w:lang w:val="en-US" w:eastAsia="zh-CN" w:bidi="ar"/>
        </w:rPr>
        <w:t> </w:t>
      </w:r>
    </w:p>
    <w:tbl>
      <w:tblPr>
        <w:tblW w:w="0" w:type="auto"/>
        <w:tblInd w:w="25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942"/>
        <w:gridCol w:w="320"/>
        <w:gridCol w:w="1471"/>
        <w:gridCol w:w="1016"/>
        <w:gridCol w:w="1287"/>
        <w:gridCol w:w="871"/>
        <w:gridCol w:w="1086"/>
        <w:gridCol w:w="320"/>
        <w:gridCol w:w="959"/>
      </w:tblGrid>
      <w:tr w14:paraId="38BD33D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510" w:hRule="atLeast"/>
        </w:trPr>
        <w:tc>
          <w:tcPr>
            <w:tcW w:w="992" w:type="dxa"/>
            <w:vMerge w:val="restart"/>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14:paraId="29ECE1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ascii="楷体_GB2312" w:eastAsia="楷体_GB2312" w:cs="楷体_GB2312" w:hAnsiTheme="minorHAnsi"/>
                <w:kern w:val="0"/>
                <w:sz w:val="32"/>
                <w:szCs w:val="32"/>
                <w:bdr w:val="none" w:color="auto" w:sz="0" w:space="0"/>
                <w:lang w:val="en-US" w:eastAsia="zh-CN" w:bidi="ar"/>
              </w:rPr>
              <w:t> </w:t>
            </w:r>
          </w:p>
          <w:p w14:paraId="44F4EE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24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用</w:t>
            </w:r>
          </w:p>
          <w:p w14:paraId="4D8CC5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676611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24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途</w:t>
            </w:r>
          </w:p>
        </w:tc>
        <w:tc>
          <w:tcPr>
            <w:tcW w:w="1796" w:type="dxa"/>
            <w:gridSpan w:val="2"/>
            <w:vMerge w:val="restart"/>
            <w:tcBorders>
              <w:top w:val="single" w:color="auto" w:sz="8" w:space="0"/>
              <w:left w:val="nil"/>
              <w:bottom w:val="single" w:color="auto" w:sz="8" w:space="0"/>
              <w:right w:val="single" w:color="auto" w:sz="8" w:space="0"/>
            </w:tcBorders>
            <w:shd w:val="clear"/>
            <w:tcMar>
              <w:left w:w="108" w:type="dxa"/>
              <w:right w:w="108" w:type="dxa"/>
            </w:tcMar>
            <w:vAlign w:val="top"/>
          </w:tcPr>
          <w:p w14:paraId="68F726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296A38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96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水源</w:t>
            </w:r>
          </w:p>
          <w:p w14:paraId="68485E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7B4368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72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74C324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96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标准</w:t>
            </w:r>
          </w:p>
          <w:p w14:paraId="6B09DA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96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5E1D24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取用水类别</w:t>
            </w:r>
          </w:p>
        </w:tc>
        <w:tc>
          <w:tcPr>
            <w:tcW w:w="993" w:type="dxa"/>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14:paraId="477822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地表水</w:t>
            </w:r>
          </w:p>
        </w:tc>
        <w:tc>
          <w:tcPr>
            <w:tcW w:w="4769" w:type="dxa"/>
            <w:gridSpan w:val="5"/>
            <w:tcBorders>
              <w:top w:val="single" w:color="auto" w:sz="8" w:space="0"/>
              <w:left w:val="nil"/>
              <w:bottom w:val="single" w:color="auto" w:sz="8" w:space="0"/>
              <w:right w:val="single" w:color="auto" w:sz="8" w:space="0"/>
            </w:tcBorders>
            <w:shd w:val="clear"/>
            <w:tcMar>
              <w:left w:w="108" w:type="dxa"/>
              <w:right w:w="108" w:type="dxa"/>
            </w:tcMar>
            <w:vAlign w:val="center"/>
          </w:tcPr>
          <w:p w14:paraId="6AE269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24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地下水</w:t>
            </w:r>
          </w:p>
        </w:tc>
      </w:tr>
      <w:tr w14:paraId="0CCF342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10" w:hRule="atLeast"/>
        </w:trPr>
        <w:tc>
          <w:tcPr>
            <w:tcW w:w="992" w:type="dxa"/>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14:paraId="754EBBF1">
            <w:pPr>
              <w:rPr>
                <w:rFonts w:hint="eastAsia" w:ascii="宋体"/>
                <w:sz w:val="32"/>
                <w:szCs w:val="32"/>
              </w:rPr>
            </w:pPr>
          </w:p>
        </w:tc>
        <w:tc>
          <w:tcPr>
            <w:tcW w:w="1796" w:type="dxa"/>
            <w:gridSpan w:val="2"/>
            <w:vMerge w:val="continue"/>
            <w:tcBorders>
              <w:top w:val="single" w:color="auto" w:sz="8" w:space="0"/>
              <w:left w:val="nil"/>
              <w:bottom w:val="single" w:color="auto" w:sz="8" w:space="0"/>
              <w:right w:val="single" w:color="auto" w:sz="8" w:space="0"/>
            </w:tcBorders>
            <w:shd w:val="clear"/>
            <w:tcMar>
              <w:left w:w="108" w:type="dxa"/>
              <w:right w:w="108" w:type="dxa"/>
            </w:tcMar>
            <w:vAlign w:val="top"/>
          </w:tcPr>
          <w:p w14:paraId="1FC8E42D">
            <w:pPr>
              <w:rPr>
                <w:rFonts w:hint="eastAsia" w:ascii="宋体"/>
                <w:sz w:val="32"/>
                <w:szCs w:val="32"/>
              </w:rPr>
            </w:pPr>
          </w:p>
        </w:tc>
        <w:tc>
          <w:tcPr>
            <w:tcW w:w="993" w:type="dxa"/>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7AB7DA30">
            <w:pPr>
              <w:rPr>
                <w:rFonts w:hint="eastAsia" w:ascii="宋体"/>
                <w:sz w:val="32"/>
                <w:szCs w:val="32"/>
              </w:rPr>
            </w:pPr>
          </w:p>
        </w:tc>
        <w:tc>
          <w:tcPr>
            <w:tcW w:w="3543" w:type="dxa"/>
            <w:gridSpan w:val="3"/>
            <w:tcBorders>
              <w:top w:val="nil"/>
              <w:left w:val="nil"/>
              <w:bottom w:val="single" w:color="auto" w:sz="8" w:space="0"/>
              <w:right w:val="single" w:color="auto" w:sz="8" w:space="0"/>
            </w:tcBorders>
            <w:shd w:val="clear"/>
            <w:tcMar>
              <w:left w:w="108" w:type="dxa"/>
              <w:right w:w="108" w:type="dxa"/>
            </w:tcMar>
            <w:vAlign w:val="center"/>
          </w:tcPr>
          <w:p w14:paraId="311468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除城乡自来水企业外</w:t>
            </w:r>
          </w:p>
          <w:p w14:paraId="1256AA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取用地下水</w:t>
            </w:r>
          </w:p>
        </w:tc>
        <w:tc>
          <w:tcPr>
            <w:tcW w:w="1226" w:type="dxa"/>
            <w:gridSpan w:val="2"/>
            <w:vMerge w:val="restart"/>
            <w:tcBorders>
              <w:top w:val="nil"/>
              <w:left w:val="nil"/>
              <w:bottom w:val="single" w:color="auto" w:sz="8" w:space="0"/>
              <w:right w:val="single" w:color="auto" w:sz="8" w:space="0"/>
            </w:tcBorders>
            <w:shd w:val="clear"/>
            <w:tcMar>
              <w:left w:w="108" w:type="dxa"/>
              <w:right w:w="108" w:type="dxa"/>
            </w:tcMar>
            <w:vAlign w:val="center"/>
          </w:tcPr>
          <w:p w14:paraId="132C4C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城乡自来水企业取用地下水</w:t>
            </w:r>
          </w:p>
        </w:tc>
      </w:tr>
      <w:tr w14:paraId="3CF0403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92" w:type="dxa"/>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14:paraId="6EDD17A1">
            <w:pPr>
              <w:rPr>
                <w:rFonts w:hint="eastAsia" w:ascii="宋体"/>
                <w:sz w:val="32"/>
                <w:szCs w:val="32"/>
              </w:rPr>
            </w:pPr>
          </w:p>
        </w:tc>
        <w:tc>
          <w:tcPr>
            <w:tcW w:w="1796" w:type="dxa"/>
            <w:gridSpan w:val="2"/>
            <w:vMerge w:val="continue"/>
            <w:tcBorders>
              <w:top w:val="single" w:color="auto" w:sz="8" w:space="0"/>
              <w:left w:val="nil"/>
              <w:bottom w:val="single" w:color="auto" w:sz="8" w:space="0"/>
              <w:right w:val="single" w:color="auto" w:sz="8" w:space="0"/>
            </w:tcBorders>
            <w:shd w:val="clear"/>
            <w:tcMar>
              <w:left w:w="108" w:type="dxa"/>
              <w:right w:w="108" w:type="dxa"/>
            </w:tcMar>
            <w:vAlign w:val="top"/>
          </w:tcPr>
          <w:p w14:paraId="21725FA3">
            <w:pPr>
              <w:rPr>
                <w:rFonts w:hint="eastAsia" w:ascii="宋体"/>
                <w:sz w:val="32"/>
                <w:szCs w:val="32"/>
              </w:rPr>
            </w:pPr>
          </w:p>
        </w:tc>
        <w:tc>
          <w:tcPr>
            <w:tcW w:w="993" w:type="dxa"/>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7436E746">
            <w:pPr>
              <w:rPr>
                <w:rFonts w:hint="eastAsia" w:ascii="宋体"/>
                <w:sz w:val="32"/>
                <w:szCs w:val="32"/>
              </w:rPr>
            </w:pPr>
          </w:p>
        </w:tc>
        <w:tc>
          <w:tcPr>
            <w:tcW w:w="2292" w:type="dxa"/>
            <w:gridSpan w:val="2"/>
            <w:tcBorders>
              <w:top w:val="nil"/>
              <w:left w:val="nil"/>
              <w:bottom w:val="single" w:color="auto" w:sz="8" w:space="0"/>
              <w:right w:val="single" w:color="auto" w:sz="8" w:space="0"/>
            </w:tcBorders>
            <w:shd w:val="clear"/>
            <w:tcMar>
              <w:left w:w="108" w:type="dxa"/>
              <w:right w:w="108" w:type="dxa"/>
            </w:tcMar>
            <w:vAlign w:val="center"/>
          </w:tcPr>
          <w:p w14:paraId="214A28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自来水公共管网</w:t>
            </w:r>
          </w:p>
          <w:p w14:paraId="7047AA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覆盖区域</w:t>
            </w:r>
          </w:p>
        </w:tc>
        <w:tc>
          <w:tcPr>
            <w:tcW w:w="1251" w:type="dxa"/>
            <w:vMerge w:val="restart"/>
            <w:tcBorders>
              <w:top w:val="nil"/>
              <w:left w:val="nil"/>
              <w:bottom w:val="single" w:color="auto" w:sz="8" w:space="0"/>
              <w:right w:val="single" w:color="auto" w:sz="8" w:space="0"/>
            </w:tcBorders>
            <w:shd w:val="clear"/>
            <w:tcMar>
              <w:left w:w="108" w:type="dxa"/>
              <w:right w:w="108" w:type="dxa"/>
            </w:tcMar>
            <w:vAlign w:val="center"/>
          </w:tcPr>
          <w:p w14:paraId="5287D8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自来水公共管网没有覆盖的区域</w:t>
            </w:r>
          </w:p>
        </w:tc>
        <w:tc>
          <w:tcPr>
            <w:tcW w:w="1226" w:type="dxa"/>
            <w:gridSpan w:val="2"/>
            <w:vMerge w:val="continue"/>
            <w:tcBorders>
              <w:top w:val="nil"/>
              <w:left w:val="nil"/>
              <w:bottom w:val="single" w:color="auto" w:sz="8" w:space="0"/>
              <w:right w:val="single" w:color="auto" w:sz="8" w:space="0"/>
            </w:tcBorders>
            <w:shd w:val="clear"/>
            <w:tcMar>
              <w:left w:w="108" w:type="dxa"/>
              <w:right w:w="108" w:type="dxa"/>
            </w:tcMar>
            <w:vAlign w:val="center"/>
          </w:tcPr>
          <w:p w14:paraId="2BC5D6EF">
            <w:pPr>
              <w:rPr>
                <w:rFonts w:hint="eastAsia" w:ascii="宋体"/>
                <w:sz w:val="32"/>
                <w:szCs w:val="32"/>
              </w:rPr>
            </w:pPr>
          </w:p>
        </w:tc>
      </w:tr>
      <w:tr w14:paraId="68B9232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92" w:type="dxa"/>
            <w:vMerge w:val="continue"/>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14:paraId="176572A1">
            <w:pPr>
              <w:rPr>
                <w:rFonts w:hint="eastAsia" w:ascii="宋体"/>
                <w:sz w:val="32"/>
                <w:szCs w:val="32"/>
              </w:rPr>
            </w:pPr>
          </w:p>
        </w:tc>
        <w:tc>
          <w:tcPr>
            <w:tcW w:w="1796" w:type="dxa"/>
            <w:gridSpan w:val="2"/>
            <w:vMerge w:val="continue"/>
            <w:tcBorders>
              <w:top w:val="single" w:color="auto" w:sz="8" w:space="0"/>
              <w:left w:val="nil"/>
              <w:bottom w:val="single" w:color="auto" w:sz="8" w:space="0"/>
              <w:right w:val="single" w:color="auto" w:sz="8" w:space="0"/>
            </w:tcBorders>
            <w:shd w:val="clear"/>
            <w:tcMar>
              <w:left w:w="108" w:type="dxa"/>
              <w:right w:w="108" w:type="dxa"/>
            </w:tcMar>
            <w:vAlign w:val="top"/>
          </w:tcPr>
          <w:p w14:paraId="14C0DD64">
            <w:pPr>
              <w:rPr>
                <w:rFonts w:hint="eastAsia" w:ascii="宋体"/>
                <w:sz w:val="32"/>
                <w:szCs w:val="32"/>
              </w:rPr>
            </w:pPr>
          </w:p>
        </w:tc>
        <w:tc>
          <w:tcPr>
            <w:tcW w:w="993" w:type="dxa"/>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14:paraId="2EA9DA79">
            <w:pPr>
              <w:rPr>
                <w:rFonts w:hint="eastAsia" w:ascii="宋体"/>
                <w:sz w:val="32"/>
                <w:szCs w:val="32"/>
              </w:rPr>
            </w:pPr>
          </w:p>
        </w:tc>
        <w:tc>
          <w:tcPr>
            <w:tcW w:w="1417" w:type="dxa"/>
            <w:tcBorders>
              <w:top w:val="nil"/>
              <w:left w:val="nil"/>
              <w:bottom w:val="single" w:color="auto" w:sz="8" w:space="0"/>
              <w:right w:val="single" w:color="auto" w:sz="8" w:space="0"/>
            </w:tcBorders>
            <w:shd w:val="clear"/>
            <w:tcMar>
              <w:left w:w="108" w:type="dxa"/>
              <w:right w:w="108" w:type="dxa"/>
            </w:tcMar>
            <w:vAlign w:val="center"/>
          </w:tcPr>
          <w:p w14:paraId="3C0DF9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超采区</w:t>
            </w:r>
          </w:p>
          <w:p w14:paraId="2772CC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限采区</w:t>
            </w:r>
          </w:p>
        </w:tc>
        <w:tc>
          <w:tcPr>
            <w:tcW w:w="875" w:type="dxa"/>
            <w:tcBorders>
              <w:top w:val="nil"/>
              <w:left w:val="nil"/>
              <w:bottom w:val="single" w:color="auto" w:sz="8" w:space="0"/>
              <w:right w:val="single" w:color="auto" w:sz="8" w:space="0"/>
            </w:tcBorders>
            <w:shd w:val="clear"/>
            <w:tcMar>
              <w:left w:w="108" w:type="dxa"/>
              <w:right w:w="108" w:type="dxa"/>
            </w:tcMar>
            <w:vAlign w:val="center"/>
          </w:tcPr>
          <w:p w14:paraId="3EAC29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一般区域</w:t>
            </w:r>
          </w:p>
        </w:tc>
        <w:tc>
          <w:tcPr>
            <w:tcW w:w="1251" w:type="dxa"/>
            <w:vMerge w:val="continue"/>
            <w:tcBorders>
              <w:top w:val="nil"/>
              <w:left w:val="nil"/>
              <w:bottom w:val="single" w:color="auto" w:sz="8" w:space="0"/>
              <w:right w:val="single" w:color="auto" w:sz="8" w:space="0"/>
            </w:tcBorders>
            <w:shd w:val="clear"/>
            <w:tcMar>
              <w:left w:w="108" w:type="dxa"/>
              <w:right w:w="108" w:type="dxa"/>
            </w:tcMar>
            <w:vAlign w:val="center"/>
          </w:tcPr>
          <w:p w14:paraId="643AB913">
            <w:pPr>
              <w:rPr>
                <w:rFonts w:hint="eastAsia" w:ascii="宋体"/>
                <w:sz w:val="32"/>
                <w:szCs w:val="32"/>
              </w:rPr>
            </w:pPr>
          </w:p>
        </w:tc>
        <w:tc>
          <w:tcPr>
            <w:tcW w:w="1226" w:type="dxa"/>
            <w:gridSpan w:val="2"/>
            <w:vMerge w:val="continue"/>
            <w:tcBorders>
              <w:top w:val="nil"/>
              <w:left w:val="nil"/>
              <w:bottom w:val="single" w:color="auto" w:sz="8" w:space="0"/>
              <w:right w:val="single" w:color="auto" w:sz="8" w:space="0"/>
            </w:tcBorders>
            <w:shd w:val="clear"/>
            <w:tcMar>
              <w:left w:w="108" w:type="dxa"/>
              <w:right w:w="108" w:type="dxa"/>
            </w:tcMar>
            <w:vAlign w:val="center"/>
          </w:tcPr>
          <w:p w14:paraId="4BC8825E">
            <w:pPr>
              <w:rPr>
                <w:rFonts w:hint="eastAsia" w:ascii="宋体"/>
                <w:sz w:val="32"/>
                <w:szCs w:val="32"/>
              </w:rPr>
            </w:pPr>
          </w:p>
        </w:tc>
      </w:tr>
      <w:tr w14:paraId="28BC74B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83" w:hRule="atLeast"/>
        </w:trPr>
        <w:tc>
          <w:tcPr>
            <w:tcW w:w="2788" w:type="dxa"/>
            <w:gridSpan w:val="3"/>
            <w:tcBorders>
              <w:top w:val="nil"/>
              <w:left w:val="single" w:color="auto" w:sz="8" w:space="0"/>
              <w:bottom w:val="single" w:color="auto" w:sz="8" w:space="0"/>
              <w:right w:val="single" w:color="auto" w:sz="8" w:space="0"/>
            </w:tcBorders>
            <w:shd w:val="clear"/>
            <w:tcMar>
              <w:left w:w="108" w:type="dxa"/>
              <w:right w:w="108" w:type="dxa"/>
            </w:tcMar>
            <w:vAlign w:val="center"/>
          </w:tcPr>
          <w:p w14:paraId="3846A3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水力发电取用水</w:t>
            </w:r>
          </w:p>
        </w:tc>
        <w:tc>
          <w:tcPr>
            <w:tcW w:w="993" w:type="dxa"/>
            <w:tcBorders>
              <w:top w:val="nil"/>
              <w:left w:val="nil"/>
              <w:bottom w:val="single" w:color="auto" w:sz="8" w:space="0"/>
              <w:right w:val="single" w:color="auto" w:sz="8" w:space="0"/>
            </w:tcBorders>
            <w:shd w:val="clear"/>
            <w:tcMar>
              <w:left w:w="108" w:type="dxa"/>
              <w:right w:w="108" w:type="dxa"/>
            </w:tcMar>
            <w:vAlign w:val="center"/>
          </w:tcPr>
          <w:p w14:paraId="2CA281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0.008</w:t>
            </w:r>
          </w:p>
        </w:tc>
        <w:tc>
          <w:tcPr>
            <w:tcW w:w="1417" w:type="dxa"/>
            <w:tcBorders>
              <w:top w:val="nil"/>
              <w:left w:val="nil"/>
              <w:bottom w:val="single" w:color="auto" w:sz="8" w:space="0"/>
              <w:right w:val="single" w:color="auto" w:sz="8" w:space="0"/>
            </w:tcBorders>
            <w:shd w:val="clear"/>
            <w:tcMar>
              <w:left w:w="108" w:type="dxa"/>
              <w:right w:w="108" w:type="dxa"/>
            </w:tcMar>
            <w:vAlign w:val="center"/>
          </w:tcPr>
          <w:p w14:paraId="3A6639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875" w:type="dxa"/>
            <w:tcBorders>
              <w:top w:val="nil"/>
              <w:left w:val="nil"/>
              <w:bottom w:val="single" w:color="auto" w:sz="8" w:space="0"/>
              <w:right w:val="single" w:color="auto" w:sz="8" w:space="0"/>
            </w:tcBorders>
            <w:shd w:val="clear"/>
            <w:tcMar>
              <w:left w:w="108" w:type="dxa"/>
              <w:right w:w="108" w:type="dxa"/>
            </w:tcMar>
            <w:vAlign w:val="center"/>
          </w:tcPr>
          <w:p w14:paraId="466592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1251" w:type="dxa"/>
            <w:tcBorders>
              <w:top w:val="nil"/>
              <w:left w:val="nil"/>
              <w:bottom w:val="single" w:color="auto" w:sz="8" w:space="0"/>
              <w:right w:val="single" w:color="auto" w:sz="8" w:space="0"/>
            </w:tcBorders>
            <w:shd w:val="clear"/>
            <w:tcMar>
              <w:left w:w="108" w:type="dxa"/>
              <w:right w:w="108" w:type="dxa"/>
            </w:tcMar>
            <w:vAlign w:val="center"/>
          </w:tcPr>
          <w:p w14:paraId="6FDDF5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1226" w:type="dxa"/>
            <w:gridSpan w:val="2"/>
            <w:tcBorders>
              <w:top w:val="nil"/>
              <w:left w:val="nil"/>
              <w:bottom w:val="single" w:color="auto" w:sz="8" w:space="0"/>
              <w:right w:val="single" w:color="auto" w:sz="8" w:space="0"/>
            </w:tcBorders>
            <w:shd w:val="clear"/>
            <w:tcMar>
              <w:left w:w="108" w:type="dxa"/>
              <w:right w:w="108" w:type="dxa"/>
            </w:tcMar>
            <w:vAlign w:val="top"/>
          </w:tcPr>
          <w:p w14:paraId="49D4A6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r>
      <w:tr w14:paraId="6A3A104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83" w:hRule="atLeast"/>
        </w:trPr>
        <w:tc>
          <w:tcPr>
            <w:tcW w:w="2788" w:type="dxa"/>
            <w:gridSpan w:val="3"/>
            <w:tcBorders>
              <w:top w:val="nil"/>
              <w:left w:val="single" w:color="auto" w:sz="8" w:space="0"/>
              <w:bottom w:val="single" w:color="auto" w:sz="8" w:space="0"/>
              <w:right w:val="single" w:color="auto" w:sz="8" w:space="0"/>
            </w:tcBorders>
            <w:shd w:val="clear"/>
            <w:tcMar>
              <w:left w:w="108" w:type="dxa"/>
              <w:right w:w="108" w:type="dxa"/>
            </w:tcMar>
            <w:vAlign w:val="center"/>
          </w:tcPr>
          <w:p w14:paraId="35FEFC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火力发电贯流式</w:t>
            </w:r>
          </w:p>
          <w:p w14:paraId="771962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冷却取用水</w:t>
            </w:r>
          </w:p>
        </w:tc>
        <w:tc>
          <w:tcPr>
            <w:tcW w:w="993" w:type="dxa"/>
            <w:tcBorders>
              <w:top w:val="nil"/>
              <w:left w:val="nil"/>
              <w:bottom w:val="single" w:color="auto" w:sz="8" w:space="0"/>
              <w:right w:val="single" w:color="auto" w:sz="8" w:space="0"/>
            </w:tcBorders>
            <w:shd w:val="clear"/>
            <w:tcMar>
              <w:left w:w="108" w:type="dxa"/>
              <w:right w:w="108" w:type="dxa"/>
            </w:tcMar>
            <w:vAlign w:val="center"/>
          </w:tcPr>
          <w:p w14:paraId="32A4A7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0.006</w:t>
            </w:r>
          </w:p>
        </w:tc>
        <w:tc>
          <w:tcPr>
            <w:tcW w:w="1417" w:type="dxa"/>
            <w:tcBorders>
              <w:top w:val="nil"/>
              <w:left w:val="nil"/>
              <w:bottom w:val="single" w:color="auto" w:sz="8" w:space="0"/>
              <w:right w:val="single" w:color="auto" w:sz="8" w:space="0"/>
            </w:tcBorders>
            <w:shd w:val="clear"/>
            <w:tcMar>
              <w:left w:w="108" w:type="dxa"/>
              <w:right w:w="108" w:type="dxa"/>
            </w:tcMar>
            <w:vAlign w:val="center"/>
          </w:tcPr>
          <w:p w14:paraId="10A6C1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875" w:type="dxa"/>
            <w:tcBorders>
              <w:top w:val="nil"/>
              <w:left w:val="nil"/>
              <w:bottom w:val="single" w:color="auto" w:sz="8" w:space="0"/>
              <w:right w:val="single" w:color="auto" w:sz="8" w:space="0"/>
            </w:tcBorders>
            <w:shd w:val="clear"/>
            <w:tcMar>
              <w:left w:w="108" w:type="dxa"/>
              <w:right w:w="108" w:type="dxa"/>
            </w:tcMar>
            <w:vAlign w:val="center"/>
          </w:tcPr>
          <w:p w14:paraId="5BF384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1251" w:type="dxa"/>
            <w:tcBorders>
              <w:top w:val="nil"/>
              <w:left w:val="nil"/>
              <w:bottom w:val="single" w:color="auto" w:sz="8" w:space="0"/>
              <w:right w:val="single" w:color="auto" w:sz="8" w:space="0"/>
            </w:tcBorders>
            <w:shd w:val="clear"/>
            <w:tcMar>
              <w:left w:w="108" w:type="dxa"/>
              <w:right w:w="108" w:type="dxa"/>
            </w:tcMar>
            <w:vAlign w:val="center"/>
          </w:tcPr>
          <w:p w14:paraId="304C8A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c>
          <w:tcPr>
            <w:tcW w:w="1226" w:type="dxa"/>
            <w:gridSpan w:val="2"/>
            <w:tcBorders>
              <w:top w:val="nil"/>
              <w:left w:val="nil"/>
              <w:bottom w:val="single" w:color="auto" w:sz="8" w:space="0"/>
              <w:right w:val="single" w:color="auto" w:sz="8" w:space="0"/>
            </w:tcBorders>
            <w:shd w:val="clear"/>
            <w:tcMar>
              <w:left w:w="108" w:type="dxa"/>
              <w:right w:w="108" w:type="dxa"/>
            </w:tcMar>
            <w:vAlign w:val="top"/>
          </w:tcPr>
          <w:p w14:paraId="09758E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r>
      <w:tr w14:paraId="6781089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14:paraId="75F20C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城乡生活取用水</w:t>
            </w: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5209A8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一类区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11094E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0.06</w:t>
            </w:r>
          </w:p>
        </w:tc>
        <w:tc>
          <w:tcPr>
            <w:tcW w:w="1417" w:type="dxa"/>
            <w:vMerge w:val="restart"/>
            <w:tcBorders>
              <w:top w:val="nil"/>
              <w:left w:val="nil"/>
              <w:bottom w:val="single" w:color="auto" w:sz="8" w:space="0"/>
              <w:right w:val="single" w:color="auto" w:sz="8" w:space="0"/>
            </w:tcBorders>
            <w:shd w:val="clear"/>
            <w:tcMar>
              <w:left w:w="108" w:type="dxa"/>
              <w:right w:w="108" w:type="dxa"/>
            </w:tcMar>
            <w:vAlign w:val="top"/>
          </w:tcPr>
          <w:p w14:paraId="1452DD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按其取用水用途，比照当地自来水公司分类到户价格水平</w:t>
            </w:r>
          </w:p>
        </w:tc>
        <w:tc>
          <w:tcPr>
            <w:tcW w:w="875" w:type="dxa"/>
            <w:vMerge w:val="restart"/>
            <w:tcBorders>
              <w:top w:val="nil"/>
              <w:left w:val="nil"/>
              <w:bottom w:val="single" w:color="auto" w:sz="8" w:space="0"/>
              <w:right w:val="single" w:color="auto" w:sz="8" w:space="0"/>
            </w:tcBorders>
            <w:shd w:val="clear"/>
            <w:tcMar>
              <w:left w:w="108" w:type="dxa"/>
              <w:right w:w="108" w:type="dxa"/>
            </w:tcMar>
            <w:vAlign w:val="top"/>
          </w:tcPr>
          <w:p w14:paraId="53FFE3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657A42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0.50</w:t>
            </w:r>
          </w:p>
        </w:tc>
        <w:tc>
          <w:tcPr>
            <w:tcW w:w="1487" w:type="dxa"/>
            <w:gridSpan w:val="2"/>
            <w:vMerge w:val="restart"/>
            <w:tcBorders>
              <w:top w:val="nil"/>
              <w:left w:val="nil"/>
              <w:bottom w:val="single" w:color="auto" w:sz="8" w:space="0"/>
              <w:right w:val="single" w:color="auto" w:sz="8" w:space="0"/>
            </w:tcBorders>
            <w:shd w:val="clear"/>
            <w:tcMar>
              <w:left w:w="108" w:type="dxa"/>
              <w:right w:w="108" w:type="dxa"/>
            </w:tcMar>
            <w:vAlign w:val="top"/>
          </w:tcPr>
          <w:p w14:paraId="4AB7AD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7C14E1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0.25</w:t>
            </w:r>
          </w:p>
        </w:tc>
        <w:tc>
          <w:tcPr>
            <w:tcW w:w="990" w:type="dxa"/>
            <w:vMerge w:val="restart"/>
            <w:tcBorders>
              <w:top w:val="nil"/>
              <w:left w:val="nil"/>
              <w:bottom w:val="single" w:color="auto" w:sz="8" w:space="0"/>
              <w:right w:val="single" w:color="auto" w:sz="8" w:space="0"/>
            </w:tcBorders>
            <w:shd w:val="clear"/>
            <w:tcMar>
              <w:left w:w="108" w:type="dxa"/>
              <w:right w:w="108" w:type="dxa"/>
            </w:tcMar>
            <w:vAlign w:val="top"/>
          </w:tcPr>
          <w:p w14:paraId="24E514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41AC4B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09B2A0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33DE81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0.15</w:t>
            </w:r>
          </w:p>
          <w:p w14:paraId="3CD052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6D888D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tc>
      </w:tr>
      <w:tr w14:paraId="2064958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14:paraId="4944DA2B">
            <w:pPr>
              <w:rPr>
                <w:rFonts w:hint="eastAsia" w:ascii="宋体"/>
                <w:sz w:val="32"/>
                <w:szCs w:val="32"/>
              </w:rPr>
            </w:pP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789359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二类区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7C9B48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0.05</w:t>
            </w:r>
          </w:p>
        </w:tc>
        <w:tc>
          <w:tcPr>
            <w:tcW w:w="1417" w:type="dxa"/>
            <w:vMerge w:val="continue"/>
            <w:tcBorders>
              <w:top w:val="nil"/>
              <w:left w:val="nil"/>
              <w:bottom w:val="single" w:color="auto" w:sz="8" w:space="0"/>
              <w:right w:val="single" w:color="auto" w:sz="8" w:space="0"/>
            </w:tcBorders>
            <w:shd w:val="clear"/>
            <w:tcMar>
              <w:left w:w="108" w:type="dxa"/>
              <w:right w:w="108" w:type="dxa"/>
            </w:tcMar>
            <w:vAlign w:val="top"/>
          </w:tcPr>
          <w:p w14:paraId="3C28398D">
            <w:pPr>
              <w:rPr>
                <w:rFonts w:hint="eastAsia" w:ascii="宋体"/>
                <w:sz w:val="32"/>
                <w:szCs w:val="32"/>
              </w:rPr>
            </w:pPr>
          </w:p>
        </w:tc>
        <w:tc>
          <w:tcPr>
            <w:tcW w:w="875" w:type="dxa"/>
            <w:vMerge w:val="continue"/>
            <w:tcBorders>
              <w:top w:val="nil"/>
              <w:left w:val="nil"/>
              <w:bottom w:val="single" w:color="auto" w:sz="8" w:space="0"/>
              <w:right w:val="single" w:color="auto" w:sz="8" w:space="0"/>
            </w:tcBorders>
            <w:shd w:val="clear"/>
            <w:tcMar>
              <w:left w:w="108" w:type="dxa"/>
              <w:right w:w="108" w:type="dxa"/>
            </w:tcMar>
            <w:vAlign w:val="top"/>
          </w:tcPr>
          <w:p w14:paraId="1CA93E4C">
            <w:pPr>
              <w:rPr>
                <w:rFonts w:hint="eastAsia" w:ascii="宋体"/>
                <w:sz w:val="32"/>
                <w:szCs w:val="32"/>
              </w:rPr>
            </w:pPr>
          </w:p>
        </w:tc>
        <w:tc>
          <w:tcPr>
            <w:tcW w:w="1487" w:type="dxa"/>
            <w:gridSpan w:val="2"/>
            <w:vMerge w:val="continue"/>
            <w:tcBorders>
              <w:top w:val="nil"/>
              <w:left w:val="nil"/>
              <w:bottom w:val="single" w:color="auto" w:sz="8" w:space="0"/>
              <w:right w:val="single" w:color="auto" w:sz="8" w:space="0"/>
            </w:tcBorders>
            <w:shd w:val="clear"/>
            <w:tcMar>
              <w:left w:w="108" w:type="dxa"/>
              <w:right w:w="108" w:type="dxa"/>
            </w:tcMar>
            <w:vAlign w:val="top"/>
          </w:tcPr>
          <w:p w14:paraId="2A32313A">
            <w:pPr>
              <w:rPr>
                <w:rFonts w:hint="eastAsia" w:ascii="宋体"/>
                <w:sz w:val="32"/>
                <w:szCs w:val="32"/>
              </w:rPr>
            </w:pPr>
          </w:p>
        </w:tc>
        <w:tc>
          <w:tcPr>
            <w:tcW w:w="990" w:type="dxa"/>
            <w:vMerge w:val="continue"/>
            <w:tcBorders>
              <w:top w:val="nil"/>
              <w:left w:val="nil"/>
              <w:bottom w:val="single" w:color="auto" w:sz="8" w:space="0"/>
              <w:right w:val="single" w:color="auto" w:sz="8" w:space="0"/>
            </w:tcBorders>
            <w:shd w:val="clear"/>
            <w:tcMar>
              <w:left w:w="108" w:type="dxa"/>
              <w:right w:w="108" w:type="dxa"/>
            </w:tcMar>
            <w:vAlign w:val="top"/>
          </w:tcPr>
          <w:p w14:paraId="5CF4BE94">
            <w:pPr>
              <w:rPr>
                <w:rFonts w:hint="eastAsia" w:ascii="宋体"/>
                <w:sz w:val="32"/>
                <w:szCs w:val="32"/>
              </w:rPr>
            </w:pPr>
          </w:p>
        </w:tc>
      </w:tr>
      <w:tr w14:paraId="2DD7D32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14:paraId="616600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工业</w:t>
            </w:r>
          </w:p>
          <w:p w14:paraId="6DA966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取用水</w:t>
            </w: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792E69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一类区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3EC467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0.08</w:t>
            </w:r>
          </w:p>
        </w:tc>
        <w:tc>
          <w:tcPr>
            <w:tcW w:w="1417" w:type="dxa"/>
            <w:vMerge w:val="continue"/>
            <w:tcBorders>
              <w:top w:val="nil"/>
              <w:left w:val="nil"/>
              <w:bottom w:val="single" w:color="auto" w:sz="8" w:space="0"/>
              <w:right w:val="single" w:color="auto" w:sz="8" w:space="0"/>
            </w:tcBorders>
            <w:shd w:val="clear"/>
            <w:tcMar>
              <w:left w:w="108" w:type="dxa"/>
              <w:right w:w="108" w:type="dxa"/>
            </w:tcMar>
            <w:vAlign w:val="top"/>
          </w:tcPr>
          <w:p w14:paraId="4DE1BFF1">
            <w:pPr>
              <w:rPr>
                <w:rFonts w:hint="eastAsia" w:ascii="宋体"/>
                <w:sz w:val="32"/>
                <w:szCs w:val="32"/>
              </w:rPr>
            </w:pPr>
          </w:p>
        </w:tc>
        <w:tc>
          <w:tcPr>
            <w:tcW w:w="875" w:type="dxa"/>
            <w:vMerge w:val="continue"/>
            <w:tcBorders>
              <w:top w:val="nil"/>
              <w:left w:val="nil"/>
              <w:bottom w:val="single" w:color="auto" w:sz="8" w:space="0"/>
              <w:right w:val="single" w:color="auto" w:sz="8" w:space="0"/>
            </w:tcBorders>
            <w:shd w:val="clear"/>
            <w:tcMar>
              <w:left w:w="108" w:type="dxa"/>
              <w:right w:w="108" w:type="dxa"/>
            </w:tcMar>
            <w:vAlign w:val="top"/>
          </w:tcPr>
          <w:p w14:paraId="517689E6">
            <w:pPr>
              <w:rPr>
                <w:rFonts w:hint="eastAsia" w:ascii="宋体"/>
                <w:sz w:val="32"/>
                <w:szCs w:val="32"/>
              </w:rPr>
            </w:pPr>
          </w:p>
        </w:tc>
        <w:tc>
          <w:tcPr>
            <w:tcW w:w="1487" w:type="dxa"/>
            <w:gridSpan w:val="2"/>
            <w:vMerge w:val="continue"/>
            <w:tcBorders>
              <w:top w:val="nil"/>
              <w:left w:val="nil"/>
              <w:bottom w:val="single" w:color="auto" w:sz="8" w:space="0"/>
              <w:right w:val="single" w:color="auto" w:sz="8" w:space="0"/>
            </w:tcBorders>
            <w:shd w:val="clear"/>
            <w:tcMar>
              <w:left w:w="108" w:type="dxa"/>
              <w:right w:w="108" w:type="dxa"/>
            </w:tcMar>
            <w:vAlign w:val="top"/>
          </w:tcPr>
          <w:p w14:paraId="33D3EA12">
            <w:pPr>
              <w:rPr>
                <w:rFonts w:hint="eastAsia" w:ascii="宋体"/>
                <w:sz w:val="32"/>
                <w:szCs w:val="32"/>
              </w:rPr>
            </w:pPr>
          </w:p>
        </w:tc>
        <w:tc>
          <w:tcPr>
            <w:tcW w:w="990" w:type="dxa"/>
            <w:vMerge w:val="continue"/>
            <w:tcBorders>
              <w:top w:val="nil"/>
              <w:left w:val="nil"/>
              <w:bottom w:val="single" w:color="auto" w:sz="8" w:space="0"/>
              <w:right w:val="single" w:color="auto" w:sz="8" w:space="0"/>
            </w:tcBorders>
            <w:shd w:val="clear"/>
            <w:tcMar>
              <w:left w:w="108" w:type="dxa"/>
              <w:right w:w="108" w:type="dxa"/>
            </w:tcMar>
            <w:vAlign w:val="top"/>
          </w:tcPr>
          <w:p w14:paraId="21ECF5ED">
            <w:pPr>
              <w:rPr>
                <w:rFonts w:hint="eastAsia" w:ascii="宋体"/>
                <w:sz w:val="32"/>
                <w:szCs w:val="32"/>
              </w:rPr>
            </w:pPr>
          </w:p>
        </w:tc>
      </w:tr>
      <w:tr w14:paraId="4635AD2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14:paraId="0250872C">
            <w:pPr>
              <w:rPr>
                <w:rFonts w:hint="eastAsia" w:ascii="宋体"/>
                <w:sz w:val="32"/>
                <w:szCs w:val="32"/>
              </w:rPr>
            </w:pP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2986E8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二类区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772F25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0.07</w:t>
            </w:r>
          </w:p>
        </w:tc>
        <w:tc>
          <w:tcPr>
            <w:tcW w:w="1417" w:type="dxa"/>
            <w:vMerge w:val="continue"/>
            <w:tcBorders>
              <w:top w:val="nil"/>
              <w:left w:val="nil"/>
              <w:bottom w:val="single" w:color="auto" w:sz="8" w:space="0"/>
              <w:right w:val="single" w:color="auto" w:sz="8" w:space="0"/>
            </w:tcBorders>
            <w:shd w:val="clear"/>
            <w:tcMar>
              <w:left w:w="108" w:type="dxa"/>
              <w:right w:w="108" w:type="dxa"/>
            </w:tcMar>
            <w:vAlign w:val="top"/>
          </w:tcPr>
          <w:p w14:paraId="30B17920">
            <w:pPr>
              <w:rPr>
                <w:rFonts w:hint="eastAsia" w:ascii="宋体"/>
                <w:sz w:val="32"/>
                <w:szCs w:val="32"/>
              </w:rPr>
            </w:pPr>
          </w:p>
        </w:tc>
        <w:tc>
          <w:tcPr>
            <w:tcW w:w="875" w:type="dxa"/>
            <w:vMerge w:val="continue"/>
            <w:tcBorders>
              <w:top w:val="nil"/>
              <w:left w:val="nil"/>
              <w:bottom w:val="single" w:color="auto" w:sz="8" w:space="0"/>
              <w:right w:val="single" w:color="auto" w:sz="8" w:space="0"/>
            </w:tcBorders>
            <w:shd w:val="clear"/>
            <w:tcMar>
              <w:left w:w="108" w:type="dxa"/>
              <w:right w:w="108" w:type="dxa"/>
            </w:tcMar>
            <w:vAlign w:val="top"/>
          </w:tcPr>
          <w:p w14:paraId="3B9A23CF">
            <w:pPr>
              <w:rPr>
                <w:rFonts w:hint="eastAsia" w:ascii="宋体"/>
                <w:sz w:val="32"/>
                <w:szCs w:val="32"/>
              </w:rPr>
            </w:pPr>
          </w:p>
        </w:tc>
        <w:tc>
          <w:tcPr>
            <w:tcW w:w="1487" w:type="dxa"/>
            <w:gridSpan w:val="2"/>
            <w:vMerge w:val="continue"/>
            <w:tcBorders>
              <w:top w:val="nil"/>
              <w:left w:val="nil"/>
              <w:bottom w:val="single" w:color="auto" w:sz="8" w:space="0"/>
              <w:right w:val="single" w:color="auto" w:sz="8" w:space="0"/>
            </w:tcBorders>
            <w:shd w:val="clear"/>
            <w:tcMar>
              <w:left w:w="108" w:type="dxa"/>
              <w:right w:w="108" w:type="dxa"/>
            </w:tcMar>
            <w:vAlign w:val="top"/>
          </w:tcPr>
          <w:p w14:paraId="15B14201">
            <w:pPr>
              <w:rPr>
                <w:rFonts w:hint="eastAsia" w:ascii="宋体"/>
                <w:sz w:val="32"/>
                <w:szCs w:val="32"/>
              </w:rPr>
            </w:pPr>
          </w:p>
        </w:tc>
        <w:tc>
          <w:tcPr>
            <w:tcW w:w="990" w:type="dxa"/>
            <w:vMerge w:val="continue"/>
            <w:tcBorders>
              <w:top w:val="nil"/>
              <w:left w:val="nil"/>
              <w:bottom w:val="single" w:color="auto" w:sz="8" w:space="0"/>
              <w:right w:val="single" w:color="auto" w:sz="8" w:space="0"/>
            </w:tcBorders>
            <w:shd w:val="clear"/>
            <w:tcMar>
              <w:left w:w="108" w:type="dxa"/>
              <w:right w:w="108" w:type="dxa"/>
            </w:tcMar>
            <w:vAlign w:val="top"/>
          </w:tcPr>
          <w:p w14:paraId="2481834F">
            <w:pPr>
              <w:rPr>
                <w:rFonts w:hint="eastAsia" w:ascii="宋体"/>
                <w:sz w:val="32"/>
                <w:szCs w:val="32"/>
              </w:rPr>
            </w:pPr>
          </w:p>
        </w:tc>
      </w:tr>
      <w:tr w14:paraId="6C609ED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restart"/>
            <w:tcBorders>
              <w:top w:val="nil"/>
              <w:left w:val="single" w:color="auto" w:sz="8" w:space="0"/>
              <w:bottom w:val="single" w:color="auto" w:sz="8" w:space="0"/>
              <w:right w:val="single" w:color="auto" w:sz="8" w:space="0"/>
            </w:tcBorders>
            <w:shd w:val="clear"/>
            <w:tcMar>
              <w:left w:w="108" w:type="dxa"/>
              <w:right w:w="108" w:type="dxa"/>
            </w:tcMar>
            <w:vAlign w:val="top"/>
          </w:tcPr>
          <w:p w14:paraId="0B799B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除工业取水之外的其他生产经营取用水</w:t>
            </w: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0457A5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一类区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55B4AA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0.12</w:t>
            </w:r>
          </w:p>
        </w:tc>
        <w:tc>
          <w:tcPr>
            <w:tcW w:w="1417" w:type="dxa"/>
            <w:vMerge w:val="continue"/>
            <w:tcBorders>
              <w:top w:val="nil"/>
              <w:left w:val="nil"/>
              <w:bottom w:val="single" w:color="auto" w:sz="8" w:space="0"/>
              <w:right w:val="single" w:color="auto" w:sz="8" w:space="0"/>
            </w:tcBorders>
            <w:shd w:val="clear"/>
            <w:tcMar>
              <w:left w:w="108" w:type="dxa"/>
              <w:right w:w="108" w:type="dxa"/>
            </w:tcMar>
            <w:vAlign w:val="top"/>
          </w:tcPr>
          <w:p w14:paraId="12D925CB">
            <w:pPr>
              <w:rPr>
                <w:rFonts w:hint="eastAsia" w:ascii="宋体"/>
                <w:sz w:val="32"/>
                <w:szCs w:val="32"/>
              </w:rPr>
            </w:pPr>
          </w:p>
        </w:tc>
        <w:tc>
          <w:tcPr>
            <w:tcW w:w="875" w:type="dxa"/>
            <w:vMerge w:val="restart"/>
            <w:tcBorders>
              <w:top w:val="nil"/>
              <w:left w:val="nil"/>
              <w:bottom w:val="single" w:color="auto" w:sz="8" w:space="0"/>
              <w:right w:val="single" w:color="auto" w:sz="8" w:space="0"/>
            </w:tcBorders>
            <w:shd w:val="clear"/>
            <w:tcMar>
              <w:left w:w="108" w:type="dxa"/>
              <w:right w:w="108" w:type="dxa"/>
            </w:tcMar>
            <w:vAlign w:val="top"/>
          </w:tcPr>
          <w:p w14:paraId="04BC87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04DEC3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1.20</w:t>
            </w:r>
          </w:p>
        </w:tc>
        <w:tc>
          <w:tcPr>
            <w:tcW w:w="1487" w:type="dxa"/>
            <w:gridSpan w:val="2"/>
            <w:vMerge w:val="restart"/>
            <w:tcBorders>
              <w:top w:val="nil"/>
              <w:left w:val="nil"/>
              <w:bottom w:val="single" w:color="auto" w:sz="8" w:space="0"/>
              <w:right w:val="single" w:color="auto" w:sz="8" w:space="0"/>
            </w:tcBorders>
            <w:shd w:val="clear"/>
            <w:tcMar>
              <w:left w:w="108" w:type="dxa"/>
              <w:right w:w="108" w:type="dxa"/>
            </w:tcMar>
            <w:vAlign w:val="top"/>
          </w:tcPr>
          <w:p w14:paraId="3C8A02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 </w:t>
            </w:r>
          </w:p>
          <w:p w14:paraId="7ADF10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0.60</w:t>
            </w:r>
          </w:p>
        </w:tc>
        <w:tc>
          <w:tcPr>
            <w:tcW w:w="990" w:type="dxa"/>
            <w:vMerge w:val="continue"/>
            <w:tcBorders>
              <w:top w:val="nil"/>
              <w:left w:val="nil"/>
              <w:bottom w:val="single" w:color="auto" w:sz="8" w:space="0"/>
              <w:right w:val="single" w:color="auto" w:sz="8" w:space="0"/>
            </w:tcBorders>
            <w:shd w:val="clear"/>
            <w:tcMar>
              <w:left w:w="108" w:type="dxa"/>
              <w:right w:w="108" w:type="dxa"/>
            </w:tcMar>
            <w:vAlign w:val="top"/>
          </w:tcPr>
          <w:p w14:paraId="17034C11">
            <w:pPr>
              <w:rPr>
                <w:rFonts w:hint="eastAsia" w:ascii="宋体"/>
                <w:sz w:val="32"/>
                <w:szCs w:val="32"/>
              </w:rPr>
            </w:pPr>
          </w:p>
        </w:tc>
      </w:tr>
      <w:tr w14:paraId="75A3151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28" w:type="dxa"/>
            <w:gridSpan w:val="2"/>
            <w:vMerge w:val="continue"/>
            <w:tcBorders>
              <w:top w:val="nil"/>
              <w:left w:val="single" w:color="auto" w:sz="8" w:space="0"/>
              <w:bottom w:val="single" w:color="auto" w:sz="8" w:space="0"/>
              <w:right w:val="single" w:color="auto" w:sz="8" w:space="0"/>
            </w:tcBorders>
            <w:shd w:val="clear"/>
            <w:tcMar>
              <w:left w:w="108" w:type="dxa"/>
              <w:right w:w="108" w:type="dxa"/>
            </w:tcMar>
            <w:vAlign w:val="top"/>
          </w:tcPr>
          <w:p w14:paraId="4FED9CA6">
            <w:pPr>
              <w:rPr>
                <w:rFonts w:hint="eastAsia" w:ascii="宋体"/>
                <w:sz w:val="32"/>
                <w:szCs w:val="32"/>
              </w:rPr>
            </w:pPr>
          </w:p>
        </w:tc>
        <w:tc>
          <w:tcPr>
            <w:tcW w:w="1560" w:type="dxa"/>
            <w:tcBorders>
              <w:top w:val="nil"/>
              <w:left w:val="nil"/>
              <w:bottom w:val="single" w:color="auto" w:sz="8" w:space="0"/>
              <w:right w:val="single" w:color="auto" w:sz="8" w:space="0"/>
            </w:tcBorders>
            <w:shd w:val="clear"/>
            <w:tcMar>
              <w:left w:w="108" w:type="dxa"/>
              <w:right w:w="108" w:type="dxa"/>
            </w:tcMar>
            <w:vAlign w:val="top"/>
          </w:tcPr>
          <w:p w14:paraId="0301E5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二类区</w:t>
            </w:r>
          </w:p>
        </w:tc>
        <w:tc>
          <w:tcPr>
            <w:tcW w:w="993" w:type="dxa"/>
            <w:tcBorders>
              <w:top w:val="nil"/>
              <w:left w:val="nil"/>
              <w:bottom w:val="single" w:color="auto" w:sz="8" w:space="0"/>
              <w:right w:val="single" w:color="auto" w:sz="8" w:space="0"/>
            </w:tcBorders>
            <w:shd w:val="clear"/>
            <w:tcMar>
              <w:left w:w="108" w:type="dxa"/>
              <w:right w:w="108" w:type="dxa"/>
            </w:tcMar>
            <w:vAlign w:val="top"/>
          </w:tcPr>
          <w:p w14:paraId="247441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楷体_GB2312" w:eastAsia="楷体_GB2312" w:cs="楷体_GB2312" w:hAnsiTheme="minorHAnsi"/>
                <w:kern w:val="0"/>
                <w:sz w:val="32"/>
                <w:szCs w:val="32"/>
                <w:bdr w:val="none" w:color="auto" w:sz="0" w:space="0"/>
                <w:lang w:val="en-US" w:eastAsia="zh-CN" w:bidi="ar"/>
              </w:rPr>
              <w:t>0.10</w:t>
            </w:r>
          </w:p>
        </w:tc>
        <w:tc>
          <w:tcPr>
            <w:tcW w:w="1417" w:type="dxa"/>
            <w:vMerge w:val="continue"/>
            <w:tcBorders>
              <w:top w:val="nil"/>
              <w:left w:val="nil"/>
              <w:bottom w:val="single" w:color="auto" w:sz="8" w:space="0"/>
              <w:right w:val="single" w:color="auto" w:sz="8" w:space="0"/>
            </w:tcBorders>
            <w:shd w:val="clear"/>
            <w:tcMar>
              <w:left w:w="108" w:type="dxa"/>
              <w:right w:w="108" w:type="dxa"/>
            </w:tcMar>
            <w:vAlign w:val="top"/>
          </w:tcPr>
          <w:p w14:paraId="042211D8">
            <w:pPr>
              <w:rPr>
                <w:rFonts w:hint="eastAsia" w:ascii="宋体"/>
                <w:sz w:val="32"/>
                <w:szCs w:val="32"/>
              </w:rPr>
            </w:pPr>
          </w:p>
        </w:tc>
        <w:tc>
          <w:tcPr>
            <w:tcW w:w="875" w:type="dxa"/>
            <w:vMerge w:val="continue"/>
            <w:tcBorders>
              <w:top w:val="nil"/>
              <w:left w:val="nil"/>
              <w:bottom w:val="single" w:color="auto" w:sz="8" w:space="0"/>
              <w:right w:val="single" w:color="auto" w:sz="8" w:space="0"/>
            </w:tcBorders>
            <w:shd w:val="clear"/>
            <w:tcMar>
              <w:left w:w="108" w:type="dxa"/>
              <w:right w:w="108" w:type="dxa"/>
            </w:tcMar>
            <w:vAlign w:val="top"/>
          </w:tcPr>
          <w:p w14:paraId="2B9DE29F">
            <w:pPr>
              <w:rPr>
                <w:rFonts w:hint="eastAsia" w:ascii="宋体"/>
                <w:sz w:val="32"/>
                <w:szCs w:val="32"/>
              </w:rPr>
            </w:pPr>
          </w:p>
        </w:tc>
        <w:tc>
          <w:tcPr>
            <w:tcW w:w="1487" w:type="dxa"/>
            <w:gridSpan w:val="2"/>
            <w:vMerge w:val="continue"/>
            <w:tcBorders>
              <w:top w:val="nil"/>
              <w:left w:val="nil"/>
              <w:bottom w:val="single" w:color="auto" w:sz="8" w:space="0"/>
              <w:right w:val="single" w:color="auto" w:sz="8" w:space="0"/>
            </w:tcBorders>
            <w:shd w:val="clear"/>
            <w:tcMar>
              <w:left w:w="108" w:type="dxa"/>
              <w:right w:w="108" w:type="dxa"/>
            </w:tcMar>
            <w:vAlign w:val="top"/>
          </w:tcPr>
          <w:p w14:paraId="5E686383">
            <w:pPr>
              <w:rPr>
                <w:rFonts w:hint="eastAsia" w:ascii="宋体"/>
                <w:sz w:val="32"/>
                <w:szCs w:val="32"/>
              </w:rPr>
            </w:pPr>
          </w:p>
        </w:tc>
        <w:tc>
          <w:tcPr>
            <w:tcW w:w="990" w:type="dxa"/>
            <w:vMerge w:val="continue"/>
            <w:tcBorders>
              <w:top w:val="nil"/>
              <w:left w:val="nil"/>
              <w:bottom w:val="single" w:color="auto" w:sz="8" w:space="0"/>
              <w:right w:val="single" w:color="auto" w:sz="8" w:space="0"/>
            </w:tcBorders>
            <w:shd w:val="clear"/>
            <w:tcMar>
              <w:left w:w="108" w:type="dxa"/>
              <w:right w:w="108" w:type="dxa"/>
            </w:tcMar>
            <w:vAlign w:val="top"/>
          </w:tcPr>
          <w:p w14:paraId="754C3C68">
            <w:pPr>
              <w:rPr>
                <w:rFonts w:hint="eastAsia" w:ascii="宋体"/>
                <w:sz w:val="32"/>
                <w:szCs w:val="32"/>
              </w:rPr>
            </w:pPr>
          </w:p>
        </w:tc>
      </w:tr>
      <w:tr w14:paraId="53C65FA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8550" w:type="dxa"/>
            <w:gridSpan w:val="9"/>
            <w:tcBorders>
              <w:top w:val="nil"/>
              <w:left w:val="single" w:color="auto" w:sz="8" w:space="0"/>
              <w:bottom w:val="single" w:color="auto" w:sz="8" w:space="0"/>
              <w:right w:val="single" w:color="auto" w:sz="8" w:space="0"/>
            </w:tcBorders>
            <w:shd w:val="clear"/>
            <w:tcMar>
              <w:left w:w="108" w:type="dxa"/>
              <w:right w:w="108" w:type="dxa"/>
            </w:tcMar>
            <w:vAlign w:val="top"/>
          </w:tcPr>
          <w:p w14:paraId="504F15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备注：</w:t>
            </w:r>
          </w:p>
          <w:p w14:paraId="07C245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48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1、工业取用水包括火力发电闭式冷却等取用水；</w:t>
            </w:r>
          </w:p>
          <w:p w14:paraId="7B11ED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48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2、表中水力发电和火力发电贯流式冷却的计征单位为元/千瓦时，其它的计征单位均为元/立方米；</w:t>
            </w:r>
          </w:p>
          <w:p w14:paraId="224359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48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3、一类区为福州、莆田、泉州、厦门、漳州市；二类区为龙岩、三明、南平、宁德市；</w:t>
            </w:r>
          </w:p>
          <w:p w14:paraId="4791B9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firstLine="480"/>
              <w:jc w:val="left"/>
              <w:rPr>
                <w:sz w:val="32"/>
                <w:szCs w:val="32"/>
              </w:rPr>
            </w:pPr>
            <w:r>
              <w:rPr>
                <w:rFonts w:hint="eastAsia" w:ascii="楷体_GB2312" w:eastAsia="楷体_GB2312" w:cs="楷体_GB2312" w:hAnsiTheme="minorHAnsi"/>
                <w:kern w:val="0"/>
                <w:sz w:val="32"/>
                <w:szCs w:val="32"/>
                <w:bdr w:val="none" w:color="auto" w:sz="0" w:space="0"/>
                <w:lang w:val="en-US" w:eastAsia="zh-CN" w:bidi="ar"/>
              </w:rPr>
              <w:t>4、对处于海水与淡水交界处的火力发电企业，按用水量的实际淡水消耗量征收水资源费，其中淡水比例的界定，由省水利厅组织论证确定。</w:t>
            </w:r>
          </w:p>
        </w:tc>
      </w:tr>
      <w:tr w14:paraId="3A16C54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990" w:type="dxa"/>
            <w:tcBorders>
              <w:top w:val="nil"/>
              <w:left w:val="nil"/>
              <w:bottom w:val="nil"/>
              <w:right w:val="nil"/>
            </w:tcBorders>
            <w:shd w:val="clear"/>
            <w:vAlign w:val="center"/>
          </w:tcPr>
          <w:p w14:paraId="26D6F470">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240" w:type="dxa"/>
            <w:tcBorders>
              <w:top w:val="nil"/>
              <w:left w:val="nil"/>
              <w:bottom w:val="nil"/>
              <w:right w:val="nil"/>
            </w:tcBorders>
            <w:shd w:val="clear"/>
            <w:vAlign w:val="center"/>
          </w:tcPr>
          <w:p w14:paraId="0503542C">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1560" w:type="dxa"/>
            <w:tcBorders>
              <w:top w:val="nil"/>
              <w:left w:val="nil"/>
              <w:bottom w:val="nil"/>
              <w:right w:val="nil"/>
            </w:tcBorders>
            <w:shd w:val="clear"/>
            <w:vAlign w:val="center"/>
          </w:tcPr>
          <w:p w14:paraId="0AEE0ADC">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990" w:type="dxa"/>
            <w:tcBorders>
              <w:top w:val="nil"/>
              <w:left w:val="nil"/>
              <w:bottom w:val="nil"/>
              <w:right w:val="nil"/>
            </w:tcBorders>
            <w:shd w:val="clear"/>
            <w:vAlign w:val="center"/>
          </w:tcPr>
          <w:p w14:paraId="12C95C13">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1410" w:type="dxa"/>
            <w:tcBorders>
              <w:top w:val="nil"/>
              <w:left w:val="nil"/>
              <w:bottom w:val="nil"/>
              <w:right w:val="nil"/>
            </w:tcBorders>
            <w:shd w:val="clear"/>
            <w:vAlign w:val="center"/>
          </w:tcPr>
          <w:p w14:paraId="5C7F71C3">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870" w:type="dxa"/>
            <w:tcBorders>
              <w:top w:val="nil"/>
              <w:left w:val="nil"/>
              <w:bottom w:val="nil"/>
              <w:right w:val="nil"/>
            </w:tcBorders>
            <w:shd w:val="clear"/>
            <w:vAlign w:val="center"/>
          </w:tcPr>
          <w:p w14:paraId="46BE0CA0">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1245" w:type="dxa"/>
            <w:tcBorders>
              <w:top w:val="nil"/>
              <w:left w:val="nil"/>
              <w:bottom w:val="nil"/>
              <w:right w:val="nil"/>
            </w:tcBorders>
            <w:shd w:val="clear"/>
            <w:vAlign w:val="center"/>
          </w:tcPr>
          <w:p w14:paraId="1CE002B3">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240" w:type="dxa"/>
            <w:tcBorders>
              <w:top w:val="nil"/>
              <w:left w:val="nil"/>
              <w:bottom w:val="nil"/>
              <w:right w:val="nil"/>
            </w:tcBorders>
            <w:shd w:val="clear"/>
            <w:vAlign w:val="center"/>
          </w:tcPr>
          <w:p w14:paraId="0E137F1A">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c>
          <w:tcPr>
            <w:tcW w:w="990" w:type="dxa"/>
            <w:tcBorders>
              <w:top w:val="nil"/>
              <w:left w:val="nil"/>
              <w:bottom w:val="nil"/>
              <w:right w:val="nil"/>
            </w:tcBorders>
            <w:shd w:val="clear"/>
            <w:vAlign w:val="center"/>
          </w:tcPr>
          <w:p w14:paraId="3CAC1D17">
            <w:pPr>
              <w:keepNext w:val="0"/>
              <w:keepLines w:val="0"/>
              <w:widowControl/>
              <w:suppressLineNumbers w:val="0"/>
              <w:spacing w:line="640" w:lineRule="atLeast"/>
              <w:jc w:val="left"/>
              <w:rPr>
                <w:sz w:val="32"/>
                <w:szCs w:val="32"/>
              </w:rPr>
            </w:pPr>
            <w:r>
              <w:rPr>
                <w:rFonts w:ascii="宋体" w:hAnsi="宋体" w:eastAsia="宋体" w:cs="宋体"/>
                <w:kern w:val="0"/>
                <w:sz w:val="32"/>
                <w:szCs w:val="32"/>
                <w:lang w:val="en-US" w:eastAsia="zh-CN" w:bidi="ar"/>
              </w:rPr>
              <w:t> </w:t>
            </w:r>
          </w:p>
        </w:tc>
      </w:tr>
    </w:tbl>
    <w:p w14:paraId="3A11D8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i w:val="0"/>
          <w:iCs w:val="0"/>
          <w:caps w:val="0"/>
          <w:color w:val="333333"/>
          <w:spacing w:val="0"/>
          <w:kern w:val="0"/>
          <w:sz w:val="32"/>
          <w:szCs w:val="32"/>
          <w:bdr w:val="none" w:color="auto" w:sz="0" w:space="0"/>
          <w:lang w:val="en-US" w:eastAsia="zh-CN" w:bidi="ar"/>
        </w:rPr>
        <w:t>         </w:t>
      </w:r>
    </w:p>
    <w:p w14:paraId="38F6A5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i w:val="0"/>
          <w:iCs w:val="0"/>
          <w:caps w:val="0"/>
          <w:color w:val="333333"/>
          <w:spacing w:val="0"/>
          <w:kern w:val="0"/>
          <w:sz w:val="32"/>
          <w:szCs w:val="32"/>
          <w:bdr w:val="none" w:color="auto" w:sz="0" w:space="0"/>
          <w:lang w:val="en-US" w:eastAsia="zh-CN" w:bidi="ar"/>
        </w:rPr>
        <w:t> </w:t>
      </w:r>
    </w:p>
    <w:p w14:paraId="211D5D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i w:val="0"/>
          <w:iCs w:val="0"/>
          <w:caps w:val="0"/>
          <w:color w:val="3366FF"/>
          <w:spacing w:val="0"/>
          <w:kern w:val="0"/>
          <w:sz w:val="32"/>
          <w:szCs w:val="32"/>
          <w:bdr w:val="none" w:color="auto" w:sz="0" w:space="0"/>
          <w:lang w:val="en-US" w:eastAsia="zh-CN" w:bidi="ar"/>
        </w:rPr>
        <w:t>地热水、矿泉水水资源费征收标准</w:t>
      </w:r>
    </w:p>
    <w:p w14:paraId="0027D9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i w:val="0"/>
          <w:iCs w:val="0"/>
          <w:caps w:val="0"/>
          <w:color w:val="333333"/>
          <w:spacing w:val="0"/>
          <w:kern w:val="0"/>
          <w:sz w:val="32"/>
          <w:szCs w:val="32"/>
          <w:bdr w:val="none" w:color="auto" w:sz="0" w:space="0"/>
          <w:lang w:val="en-US" w:eastAsia="zh-CN" w:bidi="ar"/>
        </w:rPr>
        <w:t>                                                               单位：元/m3</w:t>
      </w:r>
    </w:p>
    <w:tbl>
      <w:tblPr>
        <w:tblW w:w="0" w:type="auto"/>
        <w:tblInd w:w="828"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1260"/>
        <w:gridCol w:w="4320"/>
        <w:gridCol w:w="1800"/>
      </w:tblGrid>
      <w:tr w14:paraId="285DF0B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c>
          <w:tcPr>
            <w:tcW w:w="5580" w:type="dxa"/>
            <w:gridSpan w:val="2"/>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2B5279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取用水类别</w:t>
            </w:r>
          </w:p>
        </w:tc>
        <w:tc>
          <w:tcPr>
            <w:tcW w:w="1800" w:type="dxa"/>
            <w:tcBorders>
              <w:top w:val="single" w:color="auto" w:sz="8" w:space="0"/>
              <w:left w:val="nil"/>
              <w:bottom w:val="single" w:color="auto" w:sz="8" w:space="0"/>
              <w:right w:val="single" w:color="auto" w:sz="8" w:space="0"/>
            </w:tcBorders>
            <w:shd w:val="clear"/>
            <w:tcMar>
              <w:left w:w="108" w:type="dxa"/>
              <w:right w:w="108" w:type="dxa"/>
            </w:tcMar>
            <w:vAlign w:val="center"/>
          </w:tcPr>
          <w:p w14:paraId="2F6E23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标准</w:t>
            </w:r>
          </w:p>
        </w:tc>
      </w:tr>
      <w:tr w14:paraId="47B85AB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0365F0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地</w:t>
            </w:r>
          </w:p>
          <w:p w14:paraId="40E33E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热</w:t>
            </w:r>
          </w:p>
          <w:p w14:paraId="095AF1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水</w:t>
            </w: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51F76B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公共澡堂、温泉水厂</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30AB84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0.50</w:t>
            </w:r>
          </w:p>
        </w:tc>
      </w:tr>
      <w:tr w14:paraId="495DD68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32AD709">
            <w:pPr>
              <w:rPr>
                <w:rFonts w:hint="eastAsia" w:ascii="宋体"/>
                <w:sz w:val="32"/>
                <w:szCs w:val="32"/>
              </w:rPr>
            </w:pP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0B1CD7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居民等非经营性用户</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3711FE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0.90</w:t>
            </w:r>
          </w:p>
        </w:tc>
      </w:tr>
      <w:tr w14:paraId="6767E41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116B19C2">
            <w:pPr>
              <w:rPr>
                <w:rFonts w:hint="eastAsia" w:ascii="宋体"/>
                <w:sz w:val="32"/>
                <w:szCs w:val="32"/>
              </w:rPr>
            </w:pP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5E99E7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桑拿、宾馆等经营性用户</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52D250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2.00</w:t>
            </w:r>
          </w:p>
        </w:tc>
      </w:tr>
      <w:tr w14:paraId="3B070A6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21F624D4">
            <w:pPr>
              <w:rPr>
                <w:rFonts w:hint="eastAsia" w:ascii="宋体"/>
                <w:sz w:val="32"/>
                <w:szCs w:val="32"/>
              </w:rPr>
            </w:pP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616ADD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温泉保护区内低温水（</w:t>
            </w:r>
            <w:r>
              <w:rPr>
                <w:rFonts w:hint="eastAsia" w:ascii="宋体" w:hAnsi="宋体" w:eastAsia="宋体" w:cs="宋体"/>
                <w:kern w:val="0"/>
                <w:sz w:val="32"/>
                <w:szCs w:val="32"/>
                <w:bdr w:val="none" w:color="auto" w:sz="0" w:space="0"/>
                <w:lang w:val="en-US" w:eastAsia="zh-CN" w:bidi="ar"/>
              </w:rPr>
              <w:t>&lt;40</w:t>
            </w:r>
            <w:r>
              <w:rPr>
                <w:rFonts w:hint="eastAsia" w:ascii="仿宋_GB2312" w:hAnsi="宋体" w:eastAsia="仿宋_GB2312" w:cs="仿宋_GB2312"/>
                <w:kern w:val="0"/>
                <w:sz w:val="32"/>
                <w:szCs w:val="32"/>
                <w:bdr w:val="none" w:color="auto" w:sz="0" w:space="0"/>
                <w:lang w:val="en-US" w:eastAsia="zh-CN" w:bidi="ar"/>
              </w:rPr>
              <w:t>℃）</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3B604C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0.30</w:t>
            </w:r>
          </w:p>
        </w:tc>
      </w:tr>
      <w:tr w14:paraId="47AD208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5A0C16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矿泉水</w:t>
            </w: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6DBA38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生产、经营性用户</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082453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1.50</w:t>
            </w:r>
          </w:p>
        </w:tc>
      </w:tr>
      <w:tr w14:paraId="1CCB2CB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12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7590280">
            <w:pPr>
              <w:rPr>
                <w:rFonts w:hint="eastAsia" w:ascii="宋体"/>
                <w:sz w:val="32"/>
                <w:szCs w:val="32"/>
              </w:rPr>
            </w:pPr>
          </w:p>
        </w:tc>
        <w:tc>
          <w:tcPr>
            <w:tcW w:w="4320" w:type="dxa"/>
            <w:tcBorders>
              <w:top w:val="nil"/>
              <w:left w:val="nil"/>
              <w:bottom w:val="single" w:color="auto" w:sz="8" w:space="0"/>
              <w:right w:val="single" w:color="auto" w:sz="8" w:space="0"/>
            </w:tcBorders>
            <w:shd w:val="clear"/>
            <w:tcMar>
              <w:left w:w="108" w:type="dxa"/>
              <w:right w:w="108" w:type="dxa"/>
            </w:tcMar>
            <w:vAlign w:val="center"/>
          </w:tcPr>
          <w:p w14:paraId="76AAE5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仿宋_GB2312" w:eastAsia="仿宋_GB2312" w:cs="仿宋_GB2312" w:hAnsiTheme="minorHAnsi"/>
                <w:kern w:val="0"/>
                <w:sz w:val="32"/>
                <w:szCs w:val="32"/>
                <w:bdr w:val="none" w:color="auto" w:sz="0" w:space="0"/>
                <w:lang w:val="en-US" w:eastAsia="zh-CN" w:bidi="ar"/>
              </w:rPr>
              <w:t>居民等非经营性用户</w:t>
            </w:r>
          </w:p>
        </w:tc>
        <w:tc>
          <w:tcPr>
            <w:tcW w:w="1800" w:type="dxa"/>
            <w:tcBorders>
              <w:top w:val="nil"/>
              <w:left w:val="nil"/>
              <w:bottom w:val="single" w:color="auto" w:sz="8" w:space="0"/>
              <w:right w:val="single" w:color="auto" w:sz="8" w:space="0"/>
            </w:tcBorders>
            <w:shd w:val="clear"/>
            <w:tcMar>
              <w:left w:w="108" w:type="dxa"/>
              <w:right w:w="108" w:type="dxa"/>
            </w:tcMar>
            <w:vAlign w:val="center"/>
          </w:tcPr>
          <w:p w14:paraId="6AC496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0" w:lineRule="atLeast"/>
              <w:ind w:left="0" w:right="0"/>
              <w:jc w:val="center"/>
              <w:rPr>
                <w:sz w:val="32"/>
                <w:szCs w:val="32"/>
              </w:rPr>
            </w:pPr>
            <w:r>
              <w:rPr>
                <w:rFonts w:hint="eastAsia" w:ascii="宋体" w:hAnsi="宋体" w:eastAsia="宋体" w:cs="宋体"/>
                <w:kern w:val="0"/>
                <w:sz w:val="32"/>
                <w:szCs w:val="32"/>
                <w:bdr w:val="none" w:color="auto" w:sz="0" w:space="0"/>
                <w:lang w:val="en-US" w:eastAsia="zh-CN" w:bidi="ar"/>
              </w:rPr>
              <w:t>0.60</w:t>
            </w:r>
          </w:p>
        </w:tc>
      </w:tr>
    </w:tbl>
    <w:p w14:paraId="62A652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第八条　</w:t>
      </w:r>
      <w:r>
        <w:rPr>
          <w:rFonts w:hint="eastAsia" w:ascii="宋体" w:hAnsi="宋体" w:eastAsia="宋体" w:cs="宋体"/>
          <w:i w:val="0"/>
          <w:iCs w:val="0"/>
          <w:caps w:val="0"/>
          <w:color w:val="333333"/>
          <w:spacing w:val="0"/>
          <w:sz w:val="32"/>
          <w:szCs w:val="32"/>
          <w:bdr w:val="none" w:color="auto" w:sz="0" w:space="0"/>
        </w:rPr>
        <w:t>凡是由水利工程供水的，水资源费在水利工程环节征收，由水利供水工程管理单位统一缴纳水资源费，价格主管部门在核定水利工程水利价格时应当将水资源费纳入水利工程供水价格中。</w:t>
      </w:r>
    </w:p>
    <w:p w14:paraId="5C0AA1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第九条</w:t>
      </w:r>
      <w:r>
        <w:rPr>
          <w:rFonts w:hint="eastAsia" w:ascii="宋体" w:hAnsi="宋体" w:eastAsia="宋体" w:cs="宋体"/>
          <w:i w:val="0"/>
          <w:iCs w:val="0"/>
          <w:caps w:val="0"/>
          <w:color w:val="333333"/>
          <w:spacing w:val="0"/>
          <w:sz w:val="32"/>
          <w:szCs w:val="32"/>
          <w:bdr w:val="none" w:color="auto" w:sz="0" w:space="0"/>
        </w:rPr>
        <w:t>　水资源费按省级有权机关制定的收费标准和实际取用水量计征。</w:t>
      </w:r>
    </w:p>
    <w:p w14:paraId="09FBF4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水力发电取用水和火力发电贯流式冷却取用水按实际发电量计征。</w:t>
      </w:r>
    </w:p>
    <w:p w14:paraId="7E663C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第十条</w:t>
      </w:r>
      <w:r>
        <w:rPr>
          <w:rFonts w:hint="eastAsia" w:ascii="宋体" w:hAnsi="宋体" w:eastAsia="宋体" w:cs="宋体"/>
          <w:i w:val="0"/>
          <w:iCs w:val="0"/>
          <w:caps w:val="0"/>
          <w:color w:val="333333"/>
          <w:spacing w:val="0"/>
          <w:sz w:val="32"/>
          <w:szCs w:val="32"/>
          <w:bdr w:val="none" w:color="auto" w:sz="0" w:space="0"/>
        </w:rPr>
        <w:t>　严格计划用水，厉行节约用水。取水单位和个人应当装置符合计量要求的量水计量设施，未按规定装置量水计量设施或者未及时更换已损坏量水计量设施的，按工程设计最大取水能力或者取水设备铭牌额定流量全时程运行计征缴纳水资源费。</w:t>
      </w:r>
    </w:p>
    <w:p w14:paraId="747236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第十一条</w:t>
      </w:r>
      <w:r>
        <w:rPr>
          <w:rFonts w:hint="eastAsia" w:ascii="宋体" w:hAnsi="宋体" w:eastAsia="宋体" w:cs="宋体"/>
          <w:i w:val="0"/>
          <w:iCs w:val="0"/>
          <w:caps w:val="0"/>
          <w:color w:val="333333"/>
          <w:spacing w:val="0"/>
          <w:sz w:val="32"/>
          <w:szCs w:val="32"/>
          <w:bdr w:val="none" w:color="auto" w:sz="0" w:space="0"/>
        </w:rPr>
        <w:t>　水资源费征收单位确定水资源费缴纳数额后，应当向取水单位或者个人送达水资源费缴纳通知单。应缴纳水资源费的取水单位或者个人在接到缴费通知书之日起的7日内，按照缴纳通知书要求和收入级次填写一般缴款书就地缴库。取水单位或者个人拒不缴纳、拖延缴纳或者拖欠水资源费的，依照《中华人民共和国水法》第七十条的规定处罚。</w:t>
      </w:r>
    </w:p>
    <w:p w14:paraId="3E5D69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对应当征收而不征收或者未足额征收、擅自减免水资源费等违反水资源费征收管理规定的，上级水行政主管部门可以直接征收并全额缴同级财政。</w:t>
      </w:r>
    </w:p>
    <w:p w14:paraId="76CDFD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第十二条　</w:t>
      </w:r>
      <w:r>
        <w:rPr>
          <w:rFonts w:hint="eastAsia" w:ascii="宋体" w:hAnsi="宋体" w:eastAsia="宋体" w:cs="宋体"/>
          <w:i w:val="0"/>
          <w:iCs w:val="0"/>
          <w:caps w:val="0"/>
          <w:color w:val="333333"/>
          <w:spacing w:val="0"/>
          <w:sz w:val="32"/>
          <w:szCs w:val="32"/>
          <w:bdr w:val="none" w:color="auto" w:sz="0" w:space="0"/>
        </w:rPr>
        <w:t>水资源费征收单位应向同级价格主管部门申领《收费许可证》，实行亮证收费、并向社会公示收费项目及标准；征收的水资源费实行收支两条线，使用省财政部门统一印制的财政票据；建立健全票据的领、用、存、销管理制度。</w:t>
      </w:r>
    </w:p>
    <w:p w14:paraId="0C97D1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第十三条</w:t>
      </w:r>
      <w:r>
        <w:rPr>
          <w:rFonts w:hint="eastAsia" w:ascii="宋体" w:hAnsi="宋体" w:eastAsia="宋体" w:cs="宋体"/>
          <w:i w:val="0"/>
          <w:iCs w:val="0"/>
          <w:caps w:val="0"/>
          <w:color w:val="333333"/>
          <w:spacing w:val="0"/>
          <w:sz w:val="32"/>
          <w:szCs w:val="32"/>
          <w:bdr w:val="none" w:color="auto" w:sz="0" w:space="0"/>
        </w:rPr>
        <w:t>　水资源费实行分级征收、总额分成。省水行政主管部门征收的水资源费，省级财政分成80％，征收所在地市、县级财政各分成10％；设区市水行政主管部门征收的水资源费，设区市级财政分成80％，征收所在地县级财政分成20％；县级水行政主管部门征收的水资源费全额留归同级财政。</w:t>
      </w:r>
    </w:p>
    <w:p w14:paraId="56B125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第十四条</w:t>
      </w:r>
      <w:r>
        <w:rPr>
          <w:rFonts w:hint="eastAsia" w:ascii="宋体" w:hAnsi="宋体" w:eastAsia="宋体" w:cs="宋体"/>
          <w:i w:val="0"/>
          <w:iCs w:val="0"/>
          <w:caps w:val="0"/>
          <w:color w:val="333333"/>
          <w:spacing w:val="0"/>
          <w:sz w:val="32"/>
          <w:szCs w:val="32"/>
          <w:bdr w:val="none" w:color="auto" w:sz="0" w:space="0"/>
        </w:rPr>
        <w:t>　征收的水资源费应当全额纳入财政预算，由财政部门按照批准的部门财政预算统筹安排，主要用于水资源节约、保护和管理，也可以用于水资源的合理开发，专款专用，不得挪作他用。</w:t>
      </w:r>
    </w:p>
    <w:p w14:paraId="47F9F7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第十五条　</w:t>
      </w:r>
      <w:r>
        <w:rPr>
          <w:rFonts w:hint="eastAsia" w:ascii="宋体" w:hAnsi="宋体" w:eastAsia="宋体" w:cs="宋体"/>
          <w:i w:val="0"/>
          <w:iCs w:val="0"/>
          <w:caps w:val="0"/>
          <w:color w:val="333333"/>
          <w:spacing w:val="0"/>
          <w:sz w:val="32"/>
          <w:szCs w:val="32"/>
          <w:bdr w:val="none" w:color="auto" w:sz="0" w:space="0"/>
        </w:rPr>
        <w:t>水资源费的使用范围：</w:t>
      </w:r>
    </w:p>
    <w:p w14:paraId="023D00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（一）水资源开发利用的重点建设项目前期工作，水资源信息化建设；</w:t>
      </w:r>
    </w:p>
    <w:p w14:paraId="1A7097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（二）水资源管理、保护，水功能区管理，水资源质量监测；</w:t>
      </w:r>
    </w:p>
    <w:p w14:paraId="0A2495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（三）节水型社会建设，推广节约用水新技术、新工艺；</w:t>
      </w:r>
    </w:p>
    <w:p w14:paraId="4CAAE6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（四）重点水源工程建设，农村饮水工程建设，水源涵养工程建设及生态公益林补偿。</w:t>
      </w:r>
    </w:p>
    <w:p w14:paraId="2F2F55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第十六条</w:t>
      </w:r>
      <w:r>
        <w:rPr>
          <w:rFonts w:hint="eastAsia" w:ascii="宋体" w:hAnsi="宋体" w:eastAsia="宋体" w:cs="宋体"/>
          <w:i w:val="0"/>
          <w:iCs w:val="0"/>
          <w:caps w:val="0"/>
          <w:color w:val="333333"/>
          <w:spacing w:val="0"/>
          <w:sz w:val="32"/>
          <w:szCs w:val="32"/>
          <w:bdr w:val="none" w:color="auto" w:sz="0" w:space="0"/>
        </w:rPr>
        <w:t>　各级财政部门在编制年度预算时，从征收的水资源费中，按不高于征收总额5%的幅度内，安排水行政主管部门水资源费征管业务费。</w:t>
      </w:r>
    </w:p>
    <w:p w14:paraId="1D17D0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第十七条</w:t>
      </w:r>
      <w:r>
        <w:rPr>
          <w:rFonts w:hint="eastAsia" w:ascii="宋体" w:hAnsi="宋体" w:eastAsia="宋体" w:cs="宋体"/>
          <w:i w:val="0"/>
          <w:iCs w:val="0"/>
          <w:caps w:val="0"/>
          <w:color w:val="333333"/>
          <w:spacing w:val="0"/>
          <w:sz w:val="32"/>
          <w:szCs w:val="32"/>
          <w:bdr w:val="none" w:color="auto" w:sz="0" w:space="0"/>
        </w:rPr>
        <w:t>　各级水行政主管部门应当建立健全财务管理制度，向上级水行政主管部门和同级财政、价格主管部门报送年度水资源费征用情况。各级价格、财政、审计、监察、水行政主管部门应当依法定期检查和监督水资源费征收、管理、使用等情况，发现违法和违规行为，应及时进行查处。</w:t>
      </w:r>
    </w:p>
    <w:p w14:paraId="1FFD70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第十八条</w:t>
      </w:r>
      <w:r>
        <w:rPr>
          <w:rFonts w:hint="eastAsia" w:ascii="宋体" w:hAnsi="宋体" w:eastAsia="宋体" w:cs="宋体"/>
          <w:i w:val="0"/>
          <w:iCs w:val="0"/>
          <w:caps w:val="0"/>
          <w:color w:val="333333"/>
          <w:spacing w:val="0"/>
          <w:sz w:val="32"/>
          <w:szCs w:val="32"/>
          <w:bdr w:val="none" w:color="auto" w:sz="0" w:space="0"/>
        </w:rPr>
        <w:t>　地热水、矿泉水的水资源费标准按本办法规定的征收标准执行；地热水、矿泉水水资源费的征收管理，暂时授权各设区的市人民政府按照有利于分清职责、统一管理的原则确定相关部门负责此项工作。</w:t>
      </w:r>
    </w:p>
    <w:p w14:paraId="577505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第十九条</w:t>
      </w:r>
      <w:r>
        <w:rPr>
          <w:rFonts w:hint="eastAsia" w:ascii="宋体" w:hAnsi="宋体" w:eastAsia="宋体" w:cs="宋体"/>
          <w:i w:val="0"/>
          <w:iCs w:val="0"/>
          <w:caps w:val="0"/>
          <w:color w:val="333333"/>
          <w:spacing w:val="0"/>
          <w:sz w:val="32"/>
          <w:szCs w:val="32"/>
          <w:bdr w:val="none" w:color="auto" w:sz="0" w:space="0"/>
        </w:rPr>
        <w:t>　本办法由省物价局、省财政厅和省水利厅负责解释。</w:t>
      </w:r>
    </w:p>
    <w:p w14:paraId="13B3A9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Fonts w:hint="eastAsia" w:ascii="宋体" w:hAnsi="宋体" w:eastAsia="宋体" w:cs="宋体"/>
          <w:i w:val="0"/>
          <w:iCs w:val="0"/>
          <w:caps w:val="0"/>
          <w:color w:val="333333"/>
          <w:spacing w:val="0"/>
          <w:sz w:val="32"/>
          <w:szCs w:val="32"/>
          <w:bdr w:val="none" w:color="auto" w:sz="0" w:space="0"/>
        </w:rPr>
        <w:t>　</w:t>
      </w:r>
      <w:r>
        <w:rPr>
          <w:rStyle w:val="6"/>
          <w:rFonts w:hint="eastAsia" w:ascii="宋体" w:hAnsi="宋体" w:eastAsia="宋体" w:cs="宋体"/>
          <w:i w:val="0"/>
          <w:iCs w:val="0"/>
          <w:caps w:val="0"/>
          <w:color w:val="333333"/>
          <w:spacing w:val="0"/>
          <w:sz w:val="32"/>
          <w:szCs w:val="32"/>
          <w:bdr w:val="none" w:color="auto" w:sz="0" w:space="0"/>
        </w:rPr>
        <w:t>　第二十条　</w:t>
      </w:r>
      <w:r>
        <w:rPr>
          <w:rFonts w:hint="eastAsia" w:ascii="宋体" w:hAnsi="宋体" w:eastAsia="宋体" w:cs="宋体"/>
          <w:i w:val="0"/>
          <w:iCs w:val="0"/>
          <w:caps w:val="0"/>
          <w:color w:val="333333"/>
          <w:spacing w:val="0"/>
          <w:sz w:val="32"/>
          <w:szCs w:val="32"/>
          <w:bdr w:val="none" w:color="auto" w:sz="0" w:space="0"/>
        </w:rPr>
        <w:t>在本省行政区域内与本办法规定不一致的，按本办法执行。法律法规另有规定的从其规定。</w:t>
      </w:r>
    </w:p>
    <w:p w14:paraId="09B767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640" w:lineRule="atLeast"/>
        <w:ind w:left="0" w:right="0"/>
        <w:rPr>
          <w:sz w:val="32"/>
          <w:szCs w:val="32"/>
        </w:rPr>
      </w:pPr>
      <w:r>
        <w:rPr>
          <w:rStyle w:val="6"/>
          <w:rFonts w:hint="eastAsia" w:ascii="宋体" w:hAnsi="宋体" w:eastAsia="宋体" w:cs="宋体"/>
          <w:i w:val="0"/>
          <w:iCs w:val="0"/>
          <w:caps w:val="0"/>
          <w:color w:val="333333"/>
          <w:spacing w:val="0"/>
          <w:sz w:val="32"/>
          <w:szCs w:val="32"/>
          <w:bdr w:val="none" w:color="auto" w:sz="0" w:space="0"/>
        </w:rPr>
        <w:t>　　第二十一条　</w:t>
      </w:r>
      <w:r>
        <w:rPr>
          <w:rFonts w:hint="eastAsia" w:ascii="宋体" w:hAnsi="宋体" w:eastAsia="宋体" w:cs="宋体"/>
          <w:i w:val="0"/>
          <w:iCs w:val="0"/>
          <w:caps w:val="0"/>
          <w:color w:val="333333"/>
          <w:spacing w:val="0"/>
          <w:sz w:val="32"/>
          <w:szCs w:val="32"/>
          <w:bdr w:val="none" w:color="auto" w:sz="0" w:space="0"/>
        </w:rPr>
        <w:t>本办法自下发之日起施行。</w:t>
      </w:r>
      <w:r>
        <w:rPr>
          <w:rFonts w:hint="eastAsia" w:ascii="宋体" w:hAnsi="宋体" w:eastAsia="宋体" w:cs="宋体"/>
          <w:i w:val="0"/>
          <w:iCs w:val="0"/>
          <w:caps w:val="0"/>
          <w:color w:val="333333"/>
          <w:spacing w:val="0"/>
          <w:sz w:val="32"/>
          <w:szCs w:val="32"/>
          <w:bdr w:val="none" w:color="auto" w:sz="0" w:space="0"/>
          <w:lang w:val="en-US"/>
        </w:rPr>
        <w:t> </w:t>
      </w:r>
    </w:p>
    <w:p w14:paraId="2542A76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922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2026-04-20T01:38:26Z</dcterms:created>
  <dc:creator>Administrator</dc:creator>
  <cp:lastModifiedBy>菁</cp:lastModifiedBy>
  <dcterms:modified xsi:type="dcterms:W3CDTF">2026-04-20T01:38:41Z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eyJoZGlkIjoiM2QyNzNhMjViMTMzYzAxMWZlNTNkOGZjNTlmZDJlZmYiLCJ1c2VySWQiOiIxMTY3NDY4OTI0In0=</vt:lpwstr>
  </property>
  <property fmtid="{D5CDD505-2E9C-101B-9397-08002B2CF9AE}" pid="4" name="ICV">
    <vt:lpwstr>4D2C48009BD849B9A035F8682B330011_12</vt:lpwstr>
  </property>
</Properties>
</file>