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三明市大田生态环境局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联系人及联系电话：叶晓青  0598-7229939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84"/>
        <w:gridCol w:w="2288"/>
        <w:gridCol w:w="1406"/>
        <w:gridCol w:w="1481"/>
        <w:gridCol w:w="1578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三明市大田生态环境局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本级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政府部门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三明市大田生态环境保护综合执法大队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参公单位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三明市大田环境监测站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事业单位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CESI楷体-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0AF1"/>
    <w:rsid w:val="0E893F52"/>
    <w:rsid w:val="21D95D87"/>
    <w:rsid w:val="257B7155"/>
    <w:rsid w:val="28E83F86"/>
    <w:rsid w:val="35664A29"/>
    <w:rsid w:val="3B914B85"/>
    <w:rsid w:val="3CE02F79"/>
    <w:rsid w:val="5C5477DD"/>
    <w:rsid w:val="64CC2606"/>
    <w:rsid w:val="6A25387F"/>
    <w:rsid w:val="6CAC707D"/>
    <w:rsid w:val="6E8421A4"/>
    <w:rsid w:val="7217539F"/>
    <w:rsid w:val="79827F50"/>
    <w:rsid w:val="7A6F3D08"/>
    <w:rsid w:val="7DD71D9B"/>
    <w:rsid w:val="7F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622</Characters>
  <Lines>0</Lines>
  <Paragraphs>0</Paragraphs>
  <TotalTime>24</TotalTime>
  <ScaleCrop>false</ScaleCrop>
  <LinksUpToDate>false</LinksUpToDate>
  <CharactersWithSpaces>695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2025-09-22T16:37:00Z</dcterms:created>
  <dc:creator>Administrator</dc:creator>
  <cp:lastModifiedBy>user</cp:lastModifiedBy>
  <dcterms:modified xsi:type="dcterms:W3CDTF">2025-11-04T16:15:24Z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eyJoZGlkIjoiYWJkYjc2MTBlYWRkOWY3YmMwMGY0YzE4ODg1NWQwMzEiLCJ1c2VySWQiOiI5NzEyODk3MzkifQ==</vt:lpwstr>
  </property>
  <property fmtid="{D5CDD505-2E9C-101B-9397-08002B2CF9AE}" pid="4" name="ICV">
    <vt:lpwstr>2AC36DF18BD4472ABDA470DDFC86B0B9_13</vt:lpwstr>
  </property>
</Properties>
</file>