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XX乡（镇）综合执法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“双随机抽查”工作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制度</w:t>
      </w:r>
    </w:p>
    <w:bookmarkEnd w:id="0"/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为创新管理方式，规范执法行为，进步规范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综合执法</w:t>
      </w:r>
      <w:r>
        <w:rPr>
          <w:rFonts w:hint="eastAsia" w:ascii="仿宋_GB2312" w:hAnsi="仿宋_GB2312" w:eastAsia="仿宋_GB2312" w:cs="仿宋_GB2312"/>
          <w:sz w:val="32"/>
          <w:szCs w:val="32"/>
        </w:rPr>
        <w:t>日常监管行为，提高事中事后执法监管效能，根据相关要求，结合我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乡（镇）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工作实际，制定本细则。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双随机抽查工作是我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乡（镇）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依据相关法律法规，随机选派执法监管人员，随机从列入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乡（镇）</w:t>
      </w:r>
      <w:r>
        <w:rPr>
          <w:rFonts w:hint="eastAsia" w:ascii="仿宋_GB2312" w:hAnsi="仿宋_GB2312" w:eastAsia="仿宋_GB2312" w:cs="仿宋_GB2312"/>
          <w:sz w:val="32"/>
          <w:szCs w:val="32"/>
        </w:rPr>
        <w:t>本级管辖的检查对象名录库中选取检查对象进行现场检查，并及时将随机抽查结果公开的监管方式。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随机抽查应当遵循合法、公正、随机和属地管辖等原则。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对照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赋予乡镇人民政府行政执法事项指导目录</w:t>
      </w:r>
      <w:r>
        <w:rPr>
          <w:rFonts w:hint="eastAsia" w:ascii="仿宋_GB2312" w:hAnsi="仿宋_GB2312" w:eastAsia="仿宋_GB2312" w:cs="仿宋_GB2312"/>
          <w:sz w:val="32"/>
          <w:szCs w:val="32"/>
        </w:rPr>
        <w:t>，建立随机抽查事项清单。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未赋予乡镇人民政府行政执法事项</w:t>
      </w:r>
      <w:r>
        <w:rPr>
          <w:rFonts w:hint="eastAsia" w:ascii="仿宋_GB2312" w:hAnsi="仿宋_GB2312" w:eastAsia="仿宋_GB2312" w:cs="仿宋_GB2312"/>
          <w:sz w:val="32"/>
          <w:szCs w:val="32"/>
        </w:rPr>
        <w:t>的，一律不得纳入随机抽查事项清单。随机抽查事项清单将予以公开，并根据法律法规修订和行政权力调整情况进行动态更新。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结合工作实际，建立执法检查人员名录库，并根据人员调整情况适时进行动态更新。检查人员从检查人员名录库中随机选取，与检查对象有利害关系的，应依法回避。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按照相关职责分工，开展随机抽查工作前，分别从检查对象名录库和执法检查人员名录库中，随机抽取检查对象及两名以上的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</w:t>
      </w:r>
      <w:r>
        <w:rPr>
          <w:rFonts w:hint="eastAsia" w:ascii="仿宋_GB2312" w:hAnsi="仿宋_GB2312" w:eastAsia="仿宋_GB2312" w:cs="仿宋_GB2312"/>
          <w:sz w:val="32"/>
          <w:szCs w:val="32"/>
        </w:rPr>
        <w:t>法检查人员。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根据随机抽查事项清单规定，每年开展随机检查1-2次。对被投诉举报较多、有严重违法违规记录失信等级高等特殊监管对象，要加大随机抽查力度，适时提高抽查比例和频次。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依据随机抽查事项清单载明的抽查内容及相关要求，采取现场检查、书面检查等方式进行抽查检查。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双随机抽查工作要全面公开、全程留痕，实现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责任</w:t>
      </w:r>
      <w:r>
        <w:rPr>
          <w:rFonts w:hint="eastAsia" w:ascii="仿宋_GB2312" w:hAnsi="仿宋_GB2312" w:eastAsia="仿宋_GB2312" w:cs="仿宋_GB2312"/>
          <w:sz w:val="32"/>
          <w:szCs w:val="32"/>
        </w:rPr>
        <w:t>可追溯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检查人员开展抽查工作时，现场检查笔录和现场照片、录像等证据资料须记录在案。检查结束后应及时进行总结，形成检查报告呈报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乡（镇）</w:t>
      </w:r>
      <w:r>
        <w:rPr>
          <w:rFonts w:hint="eastAsia" w:ascii="仿宋_GB2312" w:hAnsi="仿宋_GB2312" w:eastAsia="仿宋_GB2312" w:cs="仿宋_GB2312"/>
          <w:sz w:val="32"/>
          <w:szCs w:val="32"/>
        </w:rPr>
        <w:t>领导。检查报告应当包括检查时间、检查内容、现场检查笔录、对被查对象执行法律法规等情况的评价、检查情况的处理意见和建议等事项。检查档案要及时归档并妥善保管。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检查人员应当严格遵守法律法规及相关规章制度，遵守工作纪律，依法行政、廉洁执法。对检查中发现的问题要依法及时处置，其中对涉嫌犯罪的要移送公安机关，确保对发现的违法问题依法处置到位。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抽查人员应遵守保密守则，按照《保密法》规定程序依法办事。在抽查工作未进行公开之前，执法人员不得私自或在无保密保障的情况下制作、传递、复制相关资料。不准在私人交往和通讯通信中涉及抽查信息。被抽查单位名单要严格保密，坚决防止跑风漏气、失密泄密现象发生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按照信息公开要求，将随机抽查情况和查处结果及时公开，并纳入社会信用评价体系，接受社会监督，形成有效震慑，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营造良好的法治氛围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对于在抽查工作中滥用职权、玩忽职守、徇私舞弊的，依照有关法律法规和纪律处分规定处理。涉嫌犯罪的，移交司法机关处理。</w:t>
      </w:r>
    </w:p>
    <w:sectPr>
      <w:pgSz w:w="11906" w:h="16838"/>
      <w:pgMar w:top="1440" w:right="1474" w:bottom="1440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12AE5"/>
    <w:rsid w:val="12C26326"/>
    <w:rsid w:val="13412AE5"/>
    <w:rsid w:val="15DA0120"/>
    <w:rsid w:val="3A355208"/>
    <w:rsid w:val="3C0C2286"/>
    <w:rsid w:val="6BC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1091</Words>
  <Characters>1094</Characters>
  <Lines>0</Lines>
  <Paragraphs>0</Paragraphs>
  <TotalTime>7</TotalTime>
  <ScaleCrop>false</ScaleCrop>
  <LinksUpToDate>false</LinksUpToDate>
  <CharactersWithSpaces>1118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2022-04-19T02:58:00Z</dcterms:created>
  <dc:creator>Administrator</dc:creator>
  <cp:lastModifiedBy>王淮</cp:lastModifiedBy>
  <dcterms:modified xsi:type="dcterms:W3CDTF">2022-04-19T14:25:31Z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203FEF0698A74AEDBC28BEB807872026</vt:lpwstr>
  </property>
</Properties>
</file>