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月，全县经济运行总体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稳中趋好</w:t>
      </w:r>
      <w:r>
        <w:rPr>
          <w:rFonts w:hint="eastAsia" w:ascii="仿宋_GB2312" w:hAnsi="仿宋_GB2312" w:eastAsia="仿宋_GB2312" w:cs="仿宋_GB2312"/>
          <w:sz w:val="28"/>
          <w:szCs w:val="28"/>
        </w:rPr>
        <w:t>，工业下行压力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依然</w:t>
      </w:r>
      <w:r>
        <w:rPr>
          <w:rFonts w:hint="eastAsia" w:ascii="仿宋_GB2312" w:hAnsi="仿宋_GB2312" w:eastAsia="仿宋_GB2312" w:cs="仿宋_GB2312"/>
          <w:sz w:val="28"/>
          <w:szCs w:val="28"/>
        </w:rPr>
        <w:t>较大。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下降4.1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5.42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增长9.2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29.8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28.1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增长49.1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3.24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下降7.2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5.42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14.8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7.09亿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64.8%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5.31亿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82.9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9.56亿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增长1.7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163.69亿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7.4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%，其中人民币住户存款余额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129.16亿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14.9</w:t>
      </w:r>
      <w:r>
        <w:rPr>
          <w:rFonts w:hint="eastAsia" w:ascii="仿宋_GB2312" w:hAnsi="仿宋_GB2312" w:eastAsia="仿宋_GB2312" w:cs="仿宋_GB2312"/>
          <w:sz w:val="28"/>
          <w:szCs w:val="28"/>
        </w:rPr>
        <w:t>%；本外币各项贷款余额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148.94亿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10.8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不良贷款率为0.97%，较上月上升0.02个百分点。</w:t>
      </w:r>
      <w:bookmarkStart w:id="0" w:name="_GoBack"/>
      <w:bookmarkEnd w:id="0"/>
    </w:p>
    <w:p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Q2MTNlMWMyZDUxYWI5YjM2NTNhZWExY2RiZjYifQ=="/>
  </w:docVars>
  <w:rsids>
    <w:rsidRoot w:val="00000000"/>
    <w:rsid w:val="0B27568E"/>
    <w:rsid w:val="16B00877"/>
    <w:rsid w:val="20927DF5"/>
    <w:rsid w:val="41940330"/>
    <w:rsid w:val="601952C9"/>
    <w:rsid w:val="60423A6E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435</Characters>
  <Lines>0</Lines>
  <Paragraphs>0</Paragraphs>
  <TotalTime>45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軒</cp:lastModifiedBy>
  <dcterms:modified xsi:type="dcterms:W3CDTF">2023-06-01T02:19:03Z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658FD82761A04DEEBE9C7F8F12D95D82_13</vt:lpwstr>
  </property>
</Properties>
</file>