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pacing w:line="60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附件1</w:t>
      </w:r>
    </w:p>
    <w:p>
      <w:pPr>
        <w:keepNext w:val="0"/>
        <w:keepLines w:val="0"/>
        <w:pageBreakBefore w:val="0"/>
        <w:widowControl w:val="0"/>
        <w:kinsoku/>
        <w:wordWrap/>
        <w:overflowPunct/>
        <w:topLinePunct w:val="0"/>
        <w:autoSpaceDE/>
        <w:autoSpaceDN/>
        <w:bidi w:val="0"/>
        <w:snapToGrid w:val="0"/>
        <w:spacing w:line="600" w:lineRule="exact"/>
        <w:jc w:val="center"/>
        <w:textAlignment w:val="auto"/>
        <w:rPr>
          <w:rFonts w:hint="eastAsia" w:ascii="方正小标宋简体" w:hAnsi="方正小标宋简体" w:eastAsia="方正小标宋简体" w:cs="方正小标宋简体"/>
          <w:b w:val="0"/>
          <w:bCs w:val="0"/>
          <w:snapToGrid w:val="0"/>
          <w:color w:val="auto"/>
          <w:kern w:val="0"/>
          <w:sz w:val="44"/>
          <w:szCs w:val="44"/>
        </w:rPr>
      </w:pPr>
      <w:bookmarkStart w:id="0" w:name="_Hlk55808245"/>
      <w:r>
        <w:rPr>
          <w:rFonts w:hint="eastAsia" w:ascii="方正小标宋简体" w:hAnsi="方正小标宋简体" w:eastAsia="方正小标宋简体" w:cs="方正小标宋简体"/>
          <w:b w:val="0"/>
          <w:bCs w:val="0"/>
          <w:snapToGrid w:val="0"/>
          <w:color w:val="auto"/>
          <w:kern w:val="0"/>
          <w:sz w:val="44"/>
          <w:szCs w:val="44"/>
          <w:lang w:eastAsia="zh-CN"/>
        </w:rPr>
        <w:t>大田县</w:t>
      </w:r>
      <w:r>
        <w:rPr>
          <w:rFonts w:hint="eastAsia" w:ascii="方正小标宋简体" w:hAnsi="方正小标宋简体" w:eastAsia="方正小标宋简体" w:cs="方正小标宋简体"/>
          <w:b w:val="0"/>
          <w:bCs w:val="0"/>
          <w:snapToGrid w:val="0"/>
          <w:color w:val="auto"/>
          <w:kern w:val="0"/>
          <w:sz w:val="44"/>
          <w:szCs w:val="44"/>
        </w:rPr>
        <w:t>商品房预售资金监管协议</w:t>
      </w:r>
    </w:p>
    <w:bookmarkEnd w:id="0"/>
    <w:p>
      <w:pPr>
        <w:keepNext w:val="0"/>
        <w:keepLines w:val="0"/>
        <w:pageBreakBefore w:val="0"/>
        <w:widowControl w:val="0"/>
        <w:kinsoku/>
        <w:wordWrap/>
        <w:overflowPunct/>
        <w:topLinePunct w:val="0"/>
        <w:autoSpaceDE/>
        <w:autoSpaceDN/>
        <w:bidi w:val="0"/>
        <w:snapToGrid w:val="0"/>
        <w:spacing w:line="600" w:lineRule="exact"/>
        <w:textAlignment w:val="auto"/>
        <w:rPr>
          <w:rFonts w:hint="eastAsia" w:ascii="仿宋_GB2312" w:hAnsi="仿宋_GB2312" w:eastAsia="仿宋_GB2312" w:cs="仿宋_GB2312"/>
          <w:snapToGrid w:val="0"/>
          <w:color w:val="auto"/>
          <w:kern w:val="0"/>
          <w:sz w:val="32"/>
          <w:szCs w:val="32"/>
        </w:rPr>
      </w:pPr>
    </w:p>
    <w:p>
      <w:pPr>
        <w:keepNext w:val="0"/>
        <w:keepLines w:val="0"/>
        <w:pageBreakBefore w:val="0"/>
        <w:widowControl w:val="0"/>
        <w:kinsoku/>
        <w:wordWrap/>
        <w:overflowPunct/>
        <w:topLinePunct w:val="0"/>
        <w:autoSpaceDE/>
        <w:autoSpaceDN/>
        <w:bidi w:val="0"/>
        <w:snapToGrid w:val="0"/>
        <w:spacing w:line="600" w:lineRule="exact"/>
        <w:textAlignment w:val="auto"/>
        <w:rPr>
          <w:rFonts w:hint="eastAsia" w:ascii="仿宋_GB2312" w:hAnsi="仿宋_GB2312" w:eastAsia="仿宋_GB2312" w:cs="仿宋_GB2312"/>
          <w:snapToGrid w:val="0"/>
          <w:color w:val="auto"/>
          <w:kern w:val="0"/>
          <w:sz w:val="32"/>
          <w:szCs w:val="32"/>
          <w:u w:val="single"/>
        </w:rPr>
      </w:pPr>
      <w:r>
        <w:rPr>
          <w:rFonts w:hint="eastAsia" w:ascii="仿宋_GB2312" w:hAnsi="仿宋_GB2312" w:eastAsia="仿宋_GB2312" w:cs="仿宋_GB2312"/>
          <w:snapToGrid w:val="0"/>
          <w:color w:val="auto"/>
          <w:kern w:val="0"/>
          <w:sz w:val="32"/>
          <w:szCs w:val="32"/>
        </w:rPr>
        <w:t>甲方（监管单位）：</w:t>
      </w:r>
      <w:r>
        <w:rPr>
          <w:rFonts w:hint="eastAsia" w:ascii="仿宋_GB2312" w:hAnsi="仿宋_GB2312" w:eastAsia="仿宋_GB2312" w:cs="仿宋_GB2312"/>
          <w:snapToGrid w:val="0"/>
          <w:color w:val="auto"/>
          <w:kern w:val="0"/>
          <w:sz w:val="32"/>
          <w:szCs w:val="32"/>
          <w:u w:val="single"/>
        </w:rPr>
        <w:t xml:space="preserve">                                        </w:t>
      </w:r>
    </w:p>
    <w:p>
      <w:pPr>
        <w:keepNext w:val="0"/>
        <w:keepLines w:val="0"/>
        <w:pageBreakBefore w:val="0"/>
        <w:widowControl w:val="0"/>
        <w:kinsoku/>
        <w:wordWrap/>
        <w:overflowPunct/>
        <w:topLinePunct w:val="0"/>
        <w:autoSpaceDE/>
        <w:autoSpaceDN/>
        <w:bidi w:val="0"/>
        <w:snapToGrid w:val="0"/>
        <w:spacing w:line="600" w:lineRule="exact"/>
        <w:textAlignment w:val="auto"/>
        <w:rPr>
          <w:rFonts w:hint="eastAsia" w:ascii="仿宋_GB2312" w:hAnsi="仿宋_GB2312" w:eastAsia="仿宋_GB2312" w:cs="仿宋_GB2312"/>
          <w:snapToGrid w:val="0"/>
          <w:color w:val="auto"/>
          <w:kern w:val="0"/>
          <w:sz w:val="32"/>
          <w:szCs w:val="32"/>
          <w:u w:val="single"/>
        </w:rPr>
      </w:pPr>
      <w:r>
        <w:rPr>
          <w:rFonts w:hint="eastAsia" w:ascii="仿宋_GB2312" w:hAnsi="仿宋_GB2312" w:eastAsia="仿宋_GB2312" w:cs="仿宋_GB2312"/>
          <w:snapToGrid w:val="0"/>
          <w:color w:val="auto"/>
          <w:kern w:val="0"/>
          <w:sz w:val="32"/>
          <w:szCs w:val="32"/>
        </w:rPr>
        <w:t>乙方（监管银行）：</w:t>
      </w:r>
      <w:r>
        <w:rPr>
          <w:rFonts w:hint="eastAsia" w:ascii="仿宋_GB2312" w:hAnsi="仿宋_GB2312" w:eastAsia="仿宋_GB2312" w:cs="仿宋_GB2312"/>
          <w:snapToGrid w:val="0"/>
          <w:color w:val="auto"/>
          <w:kern w:val="0"/>
          <w:sz w:val="32"/>
          <w:szCs w:val="32"/>
          <w:u w:val="single"/>
        </w:rPr>
        <w:t xml:space="preserve">                                        </w:t>
      </w:r>
    </w:p>
    <w:p>
      <w:pPr>
        <w:keepNext w:val="0"/>
        <w:keepLines w:val="0"/>
        <w:pageBreakBefore w:val="0"/>
        <w:widowControl w:val="0"/>
        <w:kinsoku/>
        <w:wordWrap/>
        <w:overflowPunct/>
        <w:topLinePunct w:val="0"/>
        <w:autoSpaceDE/>
        <w:autoSpaceDN/>
        <w:bidi w:val="0"/>
        <w:snapToGrid w:val="0"/>
        <w:spacing w:line="600" w:lineRule="exact"/>
        <w:textAlignment w:val="auto"/>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snapToGrid w:val="0"/>
          <w:color w:val="auto"/>
          <w:kern w:val="0"/>
          <w:sz w:val="32"/>
          <w:szCs w:val="32"/>
        </w:rPr>
        <w:t>丙方（房地产开发企业）：</w:t>
      </w:r>
      <w:r>
        <w:rPr>
          <w:rFonts w:hint="eastAsia" w:ascii="仿宋_GB2312" w:hAnsi="仿宋_GB2312" w:eastAsia="仿宋_GB2312" w:cs="仿宋_GB2312"/>
          <w:snapToGrid w:val="0"/>
          <w:color w:val="auto"/>
          <w:kern w:val="0"/>
          <w:sz w:val="32"/>
          <w:szCs w:val="32"/>
          <w:u w:val="single"/>
        </w:rPr>
        <w:t xml:space="preserve">                                  </w:t>
      </w:r>
    </w:p>
    <w:p>
      <w:pPr>
        <w:keepNext w:val="0"/>
        <w:keepLines w:val="0"/>
        <w:pageBreakBefore w:val="0"/>
        <w:widowControl w:val="0"/>
        <w:kinsoku/>
        <w:wordWrap/>
        <w:overflowPunct/>
        <w:topLinePunct w:val="0"/>
        <w:autoSpaceDE/>
        <w:autoSpaceDN/>
        <w:bidi w:val="0"/>
        <w:snapToGrid w:val="0"/>
        <w:spacing w:line="600" w:lineRule="exact"/>
        <w:ind w:firstLine="640" w:firstLineChars="200"/>
        <w:textAlignment w:val="auto"/>
        <w:rPr>
          <w:rFonts w:hint="eastAsia" w:ascii="仿宋_GB2312" w:hAnsi="仿宋_GB2312" w:eastAsia="仿宋_GB2312" w:cs="仿宋_GB2312"/>
          <w:snapToGrid w:val="0"/>
          <w:color w:val="auto"/>
          <w:kern w:val="0"/>
          <w:sz w:val="32"/>
          <w:szCs w:val="32"/>
        </w:rPr>
      </w:pPr>
    </w:p>
    <w:p>
      <w:pPr>
        <w:keepNext w:val="0"/>
        <w:keepLines w:val="0"/>
        <w:pageBreakBefore w:val="0"/>
        <w:widowControl w:val="0"/>
        <w:kinsoku/>
        <w:wordWrap/>
        <w:overflowPunct/>
        <w:topLinePunct w:val="0"/>
        <w:autoSpaceDE/>
        <w:autoSpaceDN/>
        <w:bidi w:val="0"/>
        <w:snapToGrid w:val="0"/>
        <w:spacing w:line="600" w:lineRule="exact"/>
        <w:ind w:firstLine="640" w:firstLineChars="200"/>
        <w:textAlignment w:val="auto"/>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snapToGrid w:val="0"/>
          <w:color w:val="auto"/>
          <w:kern w:val="0"/>
          <w:sz w:val="32"/>
          <w:szCs w:val="32"/>
        </w:rPr>
        <w:t>为加强商品房预售管理，规范商品房预售资金使用行为。</w:t>
      </w:r>
      <w:r>
        <w:rPr>
          <w:rFonts w:hint="eastAsia" w:ascii="仿宋_GB2312" w:hAnsi="仿宋_GB2312" w:eastAsia="仿宋_GB2312" w:cs="仿宋_GB2312"/>
          <w:color w:val="auto"/>
          <w:sz w:val="32"/>
          <w:szCs w:val="32"/>
        </w:rPr>
        <w:t>根据《城市商品房预售管理办法》、《福建省商品房预售管理暂行办法》</w:t>
      </w:r>
      <w:r>
        <w:rPr>
          <w:rFonts w:hint="eastAsia" w:ascii="仿宋_GB2312" w:hAnsi="仿宋_GB2312" w:eastAsia="仿宋_GB2312" w:cs="仿宋_GB2312"/>
          <w:snapToGrid w:val="0"/>
          <w:color w:val="auto"/>
          <w:kern w:val="0"/>
          <w:sz w:val="32"/>
          <w:szCs w:val="32"/>
        </w:rPr>
        <w:t>的规定，经甲、乙、丙三方协商，就位于</w:t>
      </w:r>
      <w:r>
        <w:rPr>
          <w:rFonts w:hint="eastAsia" w:ascii="仿宋_GB2312" w:hAnsi="仿宋_GB2312" w:eastAsia="仿宋_GB2312" w:cs="仿宋_GB2312"/>
          <w:snapToGrid w:val="0"/>
          <w:color w:val="auto"/>
          <w:kern w:val="0"/>
          <w:sz w:val="32"/>
          <w:szCs w:val="32"/>
          <w:lang w:eastAsia="zh-CN"/>
        </w:rPr>
        <w:t>大田县</w:t>
      </w:r>
      <w:r>
        <w:rPr>
          <w:rFonts w:hint="eastAsia" w:ascii="仿宋_GB2312" w:hAnsi="仿宋_GB2312" w:eastAsia="仿宋_GB2312" w:cs="仿宋_GB2312"/>
          <w:snapToGrid w:val="0"/>
          <w:color w:val="auto"/>
          <w:kern w:val="0"/>
          <w:sz w:val="32"/>
          <w:szCs w:val="32"/>
          <w:u w:val="single"/>
        </w:rPr>
        <w:t xml:space="preserve">         </w:t>
      </w:r>
      <w:r>
        <w:rPr>
          <w:rFonts w:hint="eastAsia" w:ascii="仿宋_GB2312" w:hAnsi="仿宋_GB2312" w:eastAsia="仿宋_GB2312" w:cs="仿宋_GB2312"/>
          <w:snapToGrid w:val="0"/>
          <w:color w:val="auto"/>
          <w:kern w:val="0"/>
          <w:sz w:val="32"/>
          <w:szCs w:val="32"/>
        </w:rPr>
        <w:t>路，项目名称为</w:t>
      </w:r>
      <w:r>
        <w:rPr>
          <w:rFonts w:hint="eastAsia" w:ascii="仿宋_GB2312" w:hAnsi="仿宋_GB2312" w:eastAsia="仿宋_GB2312" w:cs="仿宋_GB2312"/>
          <w:snapToGrid w:val="0"/>
          <w:color w:val="auto"/>
          <w:kern w:val="0"/>
          <w:sz w:val="32"/>
          <w:szCs w:val="32"/>
          <w:u w:val="single"/>
        </w:rPr>
        <w:t xml:space="preserve">                         </w:t>
      </w:r>
      <w:r>
        <w:rPr>
          <w:rFonts w:hint="eastAsia" w:ascii="仿宋_GB2312" w:hAnsi="仿宋_GB2312" w:eastAsia="仿宋_GB2312" w:cs="仿宋_GB2312"/>
          <w:snapToGrid w:val="0"/>
          <w:color w:val="auto"/>
          <w:kern w:val="0"/>
          <w:sz w:val="32"/>
          <w:szCs w:val="32"/>
        </w:rPr>
        <w:t>.楼盘的预售资金收存和使用订立如下协议，共同遵守。</w:t>
      </w:r>
    </w:p>
    <w:p>
      <w:pPr>
        <w:keepNext w:val="0"/>
        <w:keepLines w:val="0"/>
        <w:pageBreakBefore w:val="0"/>
        <w:widowControl w:val="0"/>
        <w:kinsoku/>
        <w:wordWrap/>
        <w:overflowPunct/>
        <w:topLinePunct w:val="0"/>
        <w:autoSpaceDE/>
        <w:autoSpaceDN/>
        <w:bidi w:val="0"/>
        <w:snapToGrid w:val="0"/>
        <w:spacing w:line="600" w:lineRule="exact"/>
        <w:ind w:firstLine="640" w:firstLineChars="200"/>
        <w:textAlignment w:val="auto"/>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snapToGrid w:val="0"/>
          <w:color w:val="auto"/>
          <w:kern w:val="0"/>
          <w:sz w:val="32"/>
          <w:szCs w:val="32"/>
        </w:rPr>
        <w:t>一、丙方在乙方开设预售商品房售房资金专用账户，其账号为</w:t>
      </w:r>
      <w:r>
        <w:rPr>
          <w:rFonts w:hint="eastAsia" w:ascii="仿宋_GB2312" w:hAnsi="仿宋_GB2312" w:eastAsia="仿宋_GB2312" w:cs="仿宋_GB2312"/>
          <w:snapToGrid w:val="0"/>
          <w:color w:val="auto"/>
          <w:kern w:val="0"/>
          <w:sz w:val="32"/>
          <w:szCs w:val="32"/>
          <w:u w:val="single"/>
        </w:rPr>
        <w:t xml:space="preserve">                                    </w:t>
      </w:r>
      <w:r>
        <w:rPr>
          <w:rFonts w:hint="eastAsia" w:ascii="仿宋_GB2312" w:hAnsi="仿宋_GB2312" w:eastAsia="仿宋_GB2312" w:cs="仿宋_GB2312"/>
          <w:snapToGrid w:val="0"/>
          <w:color w:val="auto"/>
          <w:kern w:val="0"/>
          <w:sz w:val="32"/>
          <w:szCs w:val="32"/>
        </w:rPr>
        <w:t>。乙、丙方同意由甲方依据《</w:t>
      </w:r>
      <w:r>
        <w:rPr>
          <w:rFonts w:hint="eastAsia" w:ascii="仿宋_GB2312" w:hAnsi="仿宋_GB2312" w:eastAsia="仿宋_GB2312" w:cs="仿宋_GB2312"/>
          <w:snapToGrid w:val="0"/>
          <w:color w:val="auto"/>
          <w:kern w:val="0"/>
          <w:sz w:val="32"/>
          <w:szCs w:val="32"/>
          <w:lang w:eastAsia="zh-CN"/>
        </w:rPr>
        <w:t>大田县</w:t>
      </w:r>
      <w:r>
        <w:rPr>
          <w:rFonts w:hint="eastAsia" w:ascii="仿宋_GB2312" w:hAnsi="仿宋_GB2312" w:eastAsia="仿宋_GB2312" w:cs="仿宋_GB2312"/>
          <w:snapToGrid w:val="0"/>
          <w:color w:val="auto"/>
          <w:kern w:val="0"/>
          <w:sz w:val="32"/>
          <w:szCs w:val="32"/>
        </w:rPr>
        <w:t>商品房预售资金监管暂行办法》有关规定对该项目商品房预售资金的收存和使用进行监管。</w:t>
      </w:r>
    </w:p>
    <w:p>
      <w:pPr>
        <w:keepNext w:val="0"/>
        <w:keepLines w:val="0"/>
        <w:pageBreakBefore w:val="0"/>
        <w:widowControl w:val="0"/>
        <w:kinsoku/>
        <w:wordWrap/>
        <w:overflowPunct/>
        <w:topLinePunct w:val="0"/>
        <w:autoSpaceDE/>
        <w:autoSpaceDN/>
        <w:bidi w:val="0"/>
        <w:snapToGrid w:val="0"/>
        <w:spacing w:line="600" w:lineRule="exact"/>
        <w:ind w:firstLine="640" w:firstLineChars="200"/>
        <w:textAlignment w:val="auto"/>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snapToGrid w:val="0"/>
          <w:color w:val="auto"/>
          <w:kern w:val="0"/>
          <w:sz w:val="32"/>
          <w:szCs w:val="32"/>
        </w:rPr>
        <w:t>二、乙方应按银行业务的有关规定做好金融服务工作，方便当事人办理商品房预售资金存取业务。</w:t>
      </w:r>
    </w:p>
    <w:p>
      <w:pPr>
        <w:keepNext w:val="0"/>
        <w:keepLines w:val="0"/>
        <w:pageBreakBefore w:val="0"/>
        <w:widowControl w:val="0"/>
        <w:kinsoku/>
        <w:wordWrap/>
        <w:overflowPunct/>
        <w:topLinePunct w:val="0"/>
        <w:autoSpaceDE/>
        <w:autoSpaceDN/>
        <w:bidi w:val="0"/>
        <w:snapToGrid w:val="0"/>
        <w:spacing w:line="600" w:lineRule="exact"/>
        <w:ind w:firstLine="640" w:firstLineChars="200"/>
        <w:textAlignment w:val="auto"/>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snapToGrid w:val="0"/>
          <w:color w:val="auto"/>
          <w:kern w:val="0"/>
          <w:sz w:val="32"/>
          <w:szCs w:val="32"/>
        </w:rPr>
        <w:t>三、丙方应要求购房人按《商品房买卖合同》约定的付款时间，将预售资金直接缴入预售资金监管账户。</w:t>
      </w:r>
    </w:p>
    <w:p>
      <w:pPr>
        <w:keepNext w:val="0"/>
        <w:keepLines w:val="0"/>
        <w:pageBreakBefore w:val="0"/>
        <w:widowControl w:val="0"/>
        <w:kinsoku/>
        <w:wordWrap/>
        <w:overflowPunct/>
        <w:topLinePunct w:val="0"/>
        <w:autoSpaceDE/>
        <w:autoSpaceDN/>
        <w:bidi w:val="0"/>
        <w:snapToGrid w:val="0"/>
        <w:spacing w:line="600" w:lineRule="exact"/>
        <w:ind w:firstLine="640" w:firstLineChars="200"/>
        <w:textAlignment w:val="auto"/>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snapToGrid w:val="0"/>
          <w:color w:val="auto"/>
          <w:kern w:val="0"/>
          <w:sz w:val="32"/>
          <w:szCs w:val="32"/>
        </w:rPr>
        <w:t>四、丙方应将该项目收取的全部预售资金（含定金、预付款、首付款、分期付款、一次性付款、银行按揭贷款、住房公积金贷款等）及时存入预售资金监管账户，使用POS机收取预售资金，只能使用与监管账户绑定的POS机，不得另设非专用账户。</w:t>
      </w:r>
    </w:p>
    <w:p>
      <w:pPr>
        <w:keepNext w:val="0"/>
        <w:keepLines w:val="0"/>
        <w:pageBreakBefore w:val="0"/>
        <w:widowControl w:val="0"/>
        <w:kinsoku/>
        <w:wordWrap/>
        <w:overflowPunct/>
        <w:topLinePunct w:val="0"/>
        <w:autoSpaceDE/>
        <w:autoSpaceDN/>
        <w:bidi w:val="0"/>
        <w:snapToGrid w:val="0"/>
        <w:spacing w:line="600" w:lineRule="exact"/>
        <w:ind w:firstLine="640" w:firstLineChars="200"/>
        <w:textAlignment w:val="auto"/>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snapToGrid w:val="0"/>
          <w:color w:val="auto"/>
          <w:kern w:val="0"/>
          <w:sz w:val="32"/>
          <w:szCs w:val="32"/>
        </w:rPr>
        <w:t>五、乙方收到预售资金时，应向购房人出具缴款凭证，丙方凭乙方出具的缴款凭证，换发不动产售房发票。</w:t>
      </w:r>
    </w:p>
    <w:p>
      <w:pPr>
        <w:keepNext w:val="0"/>
        <w:keepLines w:val="0"/>
        <w:pageBreakBefore w:val="0"/>
        <w:widowControl w:val="0"/>
        <w:kinsoku/>
        <w:wordWrap/>
        <w:overflowPunct/>
        <w:topLinePunct w:val="0"/>
        <w:autoSpaceDE/>
        <w:autoSpaceDN/>
        <w:bidi w:val="0"/>
        <w:snapToGrid w:val="0"/>
        <w:spacing w:line="600" w:lineRule="exact"/>
        <w:ind w:firstLine="640" w:firstLineChars="200"/>
        <w:textAlignment w:val="auto"/>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snapToGrid w:val="0"/>
          <w:color w:val="auto"/>
          <w:kern w:val="0"/>
          <w:sz w:val="32"/>
          <w:szCs w:val="32"/>
        </w:rPr>
        <w:t>六、丙方在办理网签《商品房买卖合同》备案时，应同时附乙方出具的给购房人首期付款或一次性付款凭证。</w:t>
      </w:r>
    </w:p>
    <w:p>
      <w:pPr>
        <w:keepNext w:val="0"/>
        <w:keepLines w:val="0"/>
        <w:pageBreakBefore w:val="0"/>
        <w:widowControl w:val="0"/>
        <w:kinsoku/>
        <w:wordWrap/>
        <w:overflowPunct/>
        <w:topLinePunct w:val="0"/>
        <w:autoSpaceDE/>
        <w:autoSpaceDN/>
        <w:bidi w:val="0"/>
        <w:snapToGrid w:val="0"/>
        <w:spacing w:line="600" w:lineRule="exact"/>
        <w:ind w:firstLine="640" w:firstLineChars="200"/>
        <w:textAlignment w:val="auto"/>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snapToGrid w:val="0"/>
          <w:color w:val="auto"/>
          <w:kern w:val="0"/>
          <w:sz w:val="32"/>
          <w:szCs w:val="32"/>
        </w:rPr>
        <w:t>七、预售资金进入监管账户后，</w:t>
      </w:r>
      <w:r>
        <w:rPr>
          <w:rFonts w:hint="eastAsia" w:ascii="仿宋_GB2312" w:hAnsi="仿宋_GB2312" w:eastAsia="仿宋_GB2312" w:cs="仿宋_GB2312"/>
          <w:color w:val="auto"/>
          <w:sz w:val="32"/>
          <w:szCs w:val="32"/>
        </w:rPr>
        <w:t>重点监管资金只能用于项目工程建设（含支付工程建设的施工进度款，购买本工程开发建设必需的建筑材料、设备，支付该项目的设计、勘察、监理、检测、配套设施等与项目施工相关的费用等），</w:t>
      </w:r>
      <w:r>
        <w:rPr>
          <w:rFonts w:hint="eastAsia" w:ascii="仿宋_GB2312" w:hAnsi="仿宋_GB2312" w:eastAsia="仿宋_GB2312" w:cs="仿宋_GB2312"/>
          <w:snapToGrid w:val="0"/>
          <w:color w:val="auto"/>
          <w:kern w:val="0"/>
          <w:sz w:val="32"/>
          <w:szCs w:val="32"/>
        </w:rPr>
        <w:t>不得挪作他用。</w:t>
      </w:r>
    </w:p>
    <w:p>
      <w:pPr>
        <w:keepNext w:val="0"/>
        <w:keepLines w:val="0"/>
        <w:pageBreakBefore w:val="0"/>
        <w:widowControl w:val="0"/>
        <w:kinsoku/>
        <w:wordWrap/>
        <w:overflowPunct/>
        <w:topLinePunct w:val="0"/>
        <w:autoSpaceDE/>
        <w:autoSpaceDN/>
        <w:bidi w:val="0"/>
        <w:snapToGrid w:val="0"/>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超出重点监管额度后丙方可申请提取非重点监管资金，但应优先用于预售项目工程建设（含公共配套设施建筑）。</w:t>
      </w:r>
    </w:p>
    <w:p>
      <w:pPr>
        <w:keepNext w:val="0"/>
        <w:keepLines w:val="0"/>
        <w:pageBreakBefore w:val="0"/>
        <w:widowControl w:val="0"/>
        <w:kinsoku/>
        <w:wordWrap/>
        <w:overflowPunct/>
        <w:topLinePunct w:val="0"/>
        <w:autoSpaceDE/>
        <w:autoSpaceDN/>
        <w:bidi w:val="0"/>
        <w:snapToGrid w:val="0"/>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进入监管账户的资金达到重点监管资金总额前，丙方与购房人解除购房合同（认购书）的，丙方可向监管单位申请退回相应购房款；入账资金超出重点监管资金总额后，丙方与购房人解除购房合同（认购书）的，由丙方自行结算退款。</w:t>
      </w:r>
    </w:p>
    <w:p>
      <w:pPr>
        <w:keepNext w:val="0"/>
        <w:keepLines w:val="0"/>
        <w:pageBreakBefore w:val="0"/>
        <w:widowControl w:val="0"/>
        <w:kinsoku/>
        <w:wordWrap/>
        <w:overflowPunct/>
        <w:topLinePunct w:val="0"/>
        <w:autoSpaceDE/>
        <w:autoSpaceDN/>
        <w:bidi w:val="0"/>
        <w:snapToGrid w:val="0"/>
        <w:spacing w:line="600" w:lineRule="exact"/>
        <w:ind w:firstLine="640" w:firstLineChars="200"/>
        <w:textAlignment w:val="auto"/>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snapToGrid w:val="0"/>
          <w:color w:val="auto"/>
          <w:kern w:val="0"/>
          <w:sz w:val="32"/>
          <w:szCs w:val="32"/>
        </w:rPr>
        <w:t>八、若工程总造价变更，丙方须及时将变更情况报甲方，并提供有效的证明材料。</w:t>
      </w:r>
    </w:p>
    <w:p>
      <w:pPr>
        <w:keepNext w:val="0"/>
        <w:keepLines w:val="0"/>
        <w:pageBreakBefore w:val="0"/>
        <w:widowControl w:val="0"/>
        <w:kinsoku/>
        <w:wordWrap/>
        <w:overflowPunct/>
        <w:topLinePunct w:val="0"/>
        <w:autoSpaceDE/>
        <w:autoSpaceDN/>
        <w:bidi w:val="0"/>
        <w:snapToGrid w:val="0"/>
        <w:spacing w:line="600" w:lineRule="exact"/>
        <w:ind w:firstLine="672" w:firstLineChars="210"/>
        <w:textAlignment w:val="auto"/>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snapToGrid w:val="0"/>
          <w:color w:val="auto"/>
          <w:kern w:val="0"/>
          <w:sz w:val="32"/>
          <w:szCs w:val="32"/>
        </w:rPr>
        <w:t>九、乙方为丙方办理预售资金拨付时，应凭甲方出具的书面核准意见在</w:t>
      </w:r>
      <w:r>
        <w:rPr>
          <w:rFonts w:hint="eastAsia" w:ascii="仿宋_GB2312" w:hAnsi="仿宋_GB2312" w:eastAsia="仿宋_GB2312" w:cs="仿宋_GB2312"/>
          <w:color w:val="auto"/>
          <w:sz w:val="32"/>
          <w:szCs w:val="32"/>
        </w:rPr>
        <w:t>2个工作日内将拨付手续办理完毕。</w:t>
      </w:r>
      <w:r>
        <w:rPr>
          <w:rFonts w:hint="eastAsia" w:ascii="仿宋_GB2312" w:hAnsi="仿宋_GB2312" w:eastAsia="仿宋_GB2312" w:cs="仿宋_GB2312"/>
          <w:snapToGrid w:val="0"/>
          <w:color w:val="auto"/>
          <w:kern w:val="0"/>
          <w:sz w:val="32"/>
          <w:szCs w:val="32"/>
        </w:rPr>
        <w:t>拨付金额以甲方核准支付数额为准，未经甲方同意，乙方不得拨付。</w:t>
      </w:r>
    </w:p>
    <w:p>
      <w:pPr>
        <w:keepNext w:val="0"/>
        <w:keepLines w:val="0"/>
        <w:pageBreakBefore w:val="0"/>
        <w:widowControl w:val="0"/>
        <w:kinsoku/>
        <w:wordWrap/>
        <w:overflowPunct/>
        <w:topLinePunct w:val="0"/>
        <w:autoSpaceDE/>
        <w:autoSpaceDN/>
        <w:bidi w:val="0"/>
        <w:snapToGrid w:val="0"/>
        <w:spacing w:line="600" w:lineRule="exact"/>
        <w:ind w:firstLine="672" w:firstLineChars="210"/>
        <w:textAlignment w:val="auto"/>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snapToGrid w:val="0"/>
          <w:color w:val="auto"/>
          <w:kern w:val="0"/>
          <w:sz w:val="32"/>
          <w:szCs w:val="32"/>
        </w:rPr>
        <w:t>十、甲方应在收到丙方使用预售资金申请之日起5个工作日内作出答复。对不同意使用的，应书面说明理由。</w:t>
      </w:r>
    </w:p>
    <w:p>
      <w:pPr>
        <w:keepNext w:val="0"/>
        <w:keepLines w:val="0"/>
        <w:pageBreakBefore w:val="0"/>
        <w:widowControl w:val="0"/>
        <w:kinsoku/>
        <w:wordWrap/>
        <w:overflowPunct/>
        <w:topLinePunct w:val="0"/>
        <w:autoSpaceDE/>
        <w:autoSpaceDN/>
        <w:bidi w:val="0"/>
        <w:snapToGrid w:val="0"/>
        <w:spacing w:line="600" w:lineRule="exact"/>
        <w:ind w:firstLine="672" w:firstLineChars="210"/>
        <w:textAlignment w:val="auto"/>
        <w:rPr>
          <w:rFonts w:hint="eastAsia" w:ascii="仿宋_GB2312" w:hAnsi="仿宋_GB2312" w:eastAsia="仿宋_GB2312" w:cs="仿宋_GB2312"/>
          <w:bCs/>
          <w:snapToGrid w:val="0"/>
          <w:color w:val="auto"/>
          <w:sz w:val="32"/>
          <w:szCs w:val="32"/>
        </w:rPr>
      </w:pPr>
      <w:r>
        <w:rPr>
          <w:rFonts w:hint="eastAsia" w:ascii="仿宋_GB2312" w:hAnsi="仿宋_GB2312" w:eastAsia="仿宋_GB2312" w:cs="仿宋_GB2312"/>
          <w:snapToGrid w:val="0"/>
          <w:color w:val="auto"/>
          <w:sz w:val="32"/>
          <w:szCs w:val="32"/>
        </w:rPr>
        <w:t>十一、</w:t>
      </w:r>
      <w:r>
        <w:rPr>
          <w:rFonts w:hint="eastAsia" w:ascii="仿宋_GB2312" w:hAnsi="仿宋_GB2312" w:eastAsia="仿宋_GB2312" w:cs="仿宋_GB2312"/>
          <w:bCs/>
          <w:snapToGrid w:val="0"/>
          <w:color w:val="auto"/>
          <w:sz w:val="32"/>
          <w:szCs w:val="32"/>
        </w:rPr>
        <w:t>商品房预售资金监管系统开设银行端给乙方使用。乙方需实现与商品房预售资金监管系统对接，实时共享。在未实现对接之前，乙方必须安排工作人员在每天下午17时前将监管账户数据导入资金监管系统。乙方不得开通网银等非柜台渠道业务。同时乙方每月应将银行盖章的商品房预售资金监管账户对账单给丙方，丙方须于下月10日之前提供给甲方。</w:t>
      </w:r>
    </w:p>
    <w:p>
      <w:pPr>
        <w:keepNext w:val="0"/>
        <w:keepLines w:val="0"/>
        <w:pageBreakBefore w:val="0"/>
        <w:widowControl w:val="0"/>
        <w:kinsoku/>
        <w:wordWrap/>
        <w:overflowPunct/>
        <w:topLinePunct w:val="0"/>
        <w:autoSpaceDE/>
        <w:autoSpaceDN/>
        <w:bidi w:val="0"/>
        <w:snapToGrid w:val="0"/>
        <w:spacing w:line="600" w:lineRule="exact"/>
        <w:ind w:firstLine="672" w:firstLineChars="21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二、预售项目在完成首次登记后，丙方持监管项目（含对应的公共配套设施）的首次登记材料及《撤销预售资金监管申请表》）（附件3），向甲方提出撤销监管账户申请。经甲方审核同意后，向乙方办理结算手续，解除该项目的预售资金监管。</w:t>
      </w:r>
    </w:p>
    <w:p>
      <w:pPr>
        <w:keepNext w:val="0"/>
        <w:keepLines w:val="0"/>
        <w:pageBreakBefore w:val="0"/>
        <w:widowControl w:val="0"/>
        <w:kinsoku/>
        <w:wordWrap/>
        <w:overflowPunct/>
        <w:topLinePunct w:val="0"/>
        <w:autoSpaceDE/>
        <w:autoSpaceDN/>
        <w:bidi w:val="0"/>
        <w:snapToGrid w:val="0"/>
        <w:spacing w:line="600" w:lineRule="exact"/>
        <w:ind w:firstLine="672" w:firstLineChars="210"/>
        <w:textAlignment w:val="auto"/>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snapToGrid w:val="0"/>
          <w:color w:val="auto"/>
          <w:kern w:val="0"/>
          <w:sz w:val="32"/>
          <w:szCs w:val="32"/>
        </w:rPr>
        <w:t>十三、</w:t>
      </w:r>
      <w:r>
        <w:rPr>
          <w:rFonts w:hint="eastAsia" w:ascii="仿宋_GB2312" w:hAnsi="仿宋_GB2312" w:eastAsia="仿宋_GB2312" w:cs="仿宋_GB2312"/>
          <w:color w:val="auto"/>
          <w:sz w:val="32"/>
          <w:szCs w:val="32"/>
        </w:rPr>
        <w:t>商品房预售资金监管协议</w:t>
      </w:r>
      <w:r>
        <w:rPr>
          <w:rFonts w:hint="eastAsia" w:ascii="仿宋_GB2312" w:hAnsi="仿宋_GB2312" w:eastAsia="仿宋_GB2312" w:cs="仿宋_GB2312"/>
          <w:snapToGrid w:val="0"/>
          <w:color w:val="auto"/>
          <w:kern w:val="0"/>
          <w:sz w:val="32"/>
          <w:szCs w:val="32"/>
        </w:rPr>
        <w:t>书签订后，由于乙方的原因不能及时为丙方提供服务，丙方可以向甲方申请变更开户银行，重新签订《</w:t>
      </w:r>
      <w:r>
        <w:rPr>
          <w:rFonts w:hint="eastAsia" w:ascii="仿宋_GB2312" w:hAnsi="仿宋_GB2312" w:eastAsia="仿宋_GB2312" w:cs="仿宋_GB2312"/>
          <w:color w:val="auto"/>
          <w:sz w:val="32"/>
          <w:szCs w:val="32"/>
        </w:rPr>
        <w:t>商品房预售资金监管协议</w:t>
      </w:r>
      <w:r>
        <w:rPr>
          <w:rFonts w:hint="eastAsia" w:ascii="仿宋_GB2312" w:hAnsi="仿宋_GB2312" w:eastAsia="仿宋_GB2312" w:cs="仿宋_GB2312"/>
          <w:snapToGrid w:val="0"/>
          <w:color w:val="auto"/>
          <w:kern w:val="0"/>
          <w:sz w:val="32"/>
          <w:szCs w:val="32"/>
        </w:rPr>
        <w:t>书》。</w:t>
      </w:r>
    </w:p>
    <w:p>
      <w:pPr>
        <w:keepNext w:val="0"/>
        <w:keepLines w:val="0"/>
        <w:pageBreakBefore w:val="0"/>
        <w:widowControl w:val="0"/>
        <w:kinsoku/>
        <w:wordWrap/>
        <w:overflowPunct/>
        <w:topLinePunct w:val="0"/>
        <w:autoSpaceDE/>
        <w:autoSpaceDN/>
        <w:bidi w:val="0"/>
        <w:snapToGrid w:val="0"/>
        <w:spacing w:line="600" w:lineRule="exact"/>
        <w:ind w:firstLine="672" w:firstLineChars="210"/>
        <w:textAlignment w:val="auto"/>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snapToGrid w:val="0"/>
          <w:color w:val="auto"/>
          <w:kern w:val="0"/>
          <w:sz w:val="32"/>
          <w:szCs w:val="32"/>
        </w:rPr>
        <w:t>十四、其他约定：</w:t>
      </w:r>
    </w:p>
    <w:p>
      <w:pPr>
        <w:keepNext w:val="0"/>
        <w:keepLines w:val="0"/>
        <w:pageBreakBefore w:val="0"/>
        <w:widowControl w:val="0"/>
        <w:kinsoku/>
        <w:wordWrap/>
        <w:overflowPunct/>
        <w:topLinePunct w:val="0"/>
        <w:autoSpaceDE/>
        <w:autoSpaceDN/>
        <w:bidi w:val="0"/>
        <w:snapToGrid w:val="0"/>
        <w:spacing w:line="600" w:lineRule="exact"/>
        <w:ind w:firstLine="672" w:firstLineChars="210"/>
        <w:textAlignment w:val="auto"/>
        <w:rPr>
          <w:rFonts w:hint="eastAsia" w:ascii="仿宋_GB2312" w:hAnsi="仿宋_GB2312" w:eastAsia="仿宋_GB2312" w:cs="仿宋_GB2312"/>
          <w:snapToGrid w:val="0"/>
          <w:color w:val="auto"/>
          <w:kern w:val="0"/>
          <w:sz w:val="32"/>
          <w:szCs w:val="32"/>
          <w:u w:val="single"/>
        </w:rPr>
      </w:pPr>
      <w:r>
        <w:rPr>
          <w:rFonts w:hint="eastAsia" w:ascii="仿宋_GB2312" w:hAnsi="仿宋_GB2312" w:eastAsia="仿宋_GB2312" w:cs="仿宋_GB2312"/>
          <w:snapToGrid w:val="0"/>
          <w:color w:val="auto"/>
          <w:kern w:val="0"/>
          <w:sz w:val="32"/>
          <w:szCs w:val="32"/>
          <w:u w:val="single"/>
        </w:rPr>
        <w:t xml:space="preserve">                                                                                     </w:t>
      </w:r>
    </w:p>
    <w:p>
      <w:pPr>
        <w:keepNext w:val="0"/>
        <w:keepLines w:val="0"/>
        <w:pageBreakBefore w:val="0"/>
        <w:widowControl w:val="0"/>
        <w:kinsoku/>
        <w:wordWrap/>
        <w:overflowPunct/>
        <w:topLinePunct w:val="0"/>
        <w:autoSpaceDE/>
        <w:autoSpaceDN/>
        <w:bidi w:val="0"/>
        <w:snapToGrid w:val="0"/>
        <w:spacing w:line="600" w:lineRule="exact"/>
        <w:ind w:firstLine="200"/>
        <w:textAlignment w:val="auto"/>
        <w:rPr>
          <w:rFonts w:hint="eastAsia" w:ascii="仿宋_GB2312" w:hAnsi="仿宋_GB2312" w:eastAsia="仿宋_GB2312" w:cs="仿宋_GB2312"/>
          <w:snapToGrid w:val="0"/>
          <w:color w:val="auto"/>
          <w:kern w:val="0"/>
          <w:sz w:val="32"/>
          <w:szCs w:val="32"/>
          <w:u w:val="single"/>
        </w:rPr>
      </w:pPr>
      <w:r>
        <w:rPr>
          <w:rFonts w:hint="eastAsia" w:ascii="仿宋_GB2312" w:hAnsi="仿宋_GB2312" w:eastAsia="仿宋_GB2312" w:cs="仿宋_GB2312"/>
          <w:snapToGrid w:val="0"/>
          <w:color w:val="auto"/>
          <w:kern w:val="0"/>
          <w:sz w:val="32"/>
          <w:szCs w:val="32"/>
          <w:u w:val="single"/>
        </w:rPr>
        <w:t xml:space="preserve">      </w:t>
      </w:r>
      <w:bookmarkStart w:id="1" w:name="_GoBack"/>
      <w:bookmarkEnd w:id="1"/>
      <w:r>
        <w:rPr>
          <w:rFonts w:hint="eastAsia" w:ascii="仿宋_GB2312" w:hAnsi="仿宋_GB2312" w:eastAsia="仿宋_GB2312" w:cs="仿宋_GB2312"/>
          <w:snapToGrid w:val="0"/>
          <w:color w:val="auto"/>
          <w:kern w:val="0"/>
          <w:sz w:val="32"/>
          <w:szCs w:val="32"/>
          <w:u w:val="single"/>
        </w:rPr>
        <w:t xml:space="preserve">                                                    </w:t>
      </w:r>
    </w:p>
    <w:p>
      <w:pPr>
        <w:keepNext w:val="0"/>
        <w:keepLines w:val="0"/>
        <w:pageBreakBefore w:val="0"/>
        <w:widowControl w:val="0"/>
        <w:kinsoku/>
        <w:wordWrap/>
        <w:overflowPunct/>
        <w:topLinePunct w:val="0"/>
        <w:autoSpaceDE/>
        <w:autoSpaceDN/>
        <w:bidi w:val="0"/>
        <w:snapToGrid w:val="0"/>
        <w:spacing w:line="600" w:lineRule="exact"/>
        <w:ind w:firstLine="200"/>
        <w:textAlignment w:val="auto"/>
        <w:rPr>
          <w:rFonts w:hint="eastAsia" w:ascii="仿宋_GB2312" w:hAnsi="仿宋_GB2312" w:eastAsia="仿宋_GB2312" w:cs="仿宋_GB2312"/>
          <w:snapToGrid w:val="0"/>
          <w:color w:val="auto"/>
          <w:kern w:val="0"/>
          <w:sz w:val="32"/>
          <w:szCs w:val="32"/>
          <w:u w:val="single"/>
        </w:rPr>
      </w:pPr>
      <w:r>
        <w:rPr>
          <w:rFonts w:hint="eastAsia" w:ascii="仿宋_GB2312" w:hAnsi="仿宋_GB2312" w:eastAsia="仿宋_GB2312" w:cs="仿宋_GB2312"/>
          <w:snapToGrid w:val="0"/>
          <w:color w:val="auto"/>
          <w:kern w:val="0"/>
          <w:sz w:val="32"/>
          <w:szCs w:val="32"/>
          <w:u w:val="single"/>
        </w:rPr>
        <w:t xml:space="preserve">                                                          </w:t>
      </w:r>
    </w:p>
    <w:p>
      <w:pPr>
        <w:keepNext w:val="0"/>
        <w:keepLines w:val="0"/>
        <w:pageBreakBefore w:val="0"/>
        <w:widowControl w:val="0"/>
        <w:kinsoku/>
        <w:wordWrap/>
        <w:overflowPunct/>
        <w:topLinePunct w:val="0"/>
        <w:autoSpaceDE/>
        <w:autoSpaceDN/>
        <w:bidi w:val="0"/>
        <w:snapToGrid w:val="0"/>
        <w:spacing w:line="600" w:lineRule="exact"/>
        <w:ind w:firstLine="640" w:firstLineChars="200"/>
        <w:textAlignment w:val="auto"/>
        <w:rPr>
          <w:rFonts w:hint="eastAsia" w:ascii="仿宋_GB2312" w:hAnsi="仿宋_GB2312" w:eastAsia="仿宋_GB2312" w:cs="仿宋_GB2312"/>
          <w:snapToGrid w:val="0"/>
          <w:color w:val="auto"/>
          <w:sz w:val="32"/>
          <w:szCs w:val="32"/>
        </w:rPr>
      </w:pPr>
      <w:r>
        <w:rPr>
          <w:rFonts w:hint="eastAsia" w:ascii="仿宋_GB2312" w:hAnsi="仿宋_GB2312" w:eastAsia="仿宋_GB2312" w:cs="仿宋_GB2312"/>
          <w:snapToGrid w:val="0"/>
          <w:color w:val="auto"/>
          <w:sz w:val="32"/>
          <w:szCs w:val="32"/>
        </w:rPr>
        <w:t>十五、乙方违反本协议未履行监管义务，</w:t>
      </w:r>
      <w:r>
        <w:rPr>
          <w:rFonts w:hint="eastAsia" w:ascii="仿宋_GB2312" w:hAnsi="仿宋_GB2312" w:eastAsia="仿宋_GB2312" w:cs="仿宋_GB2312"/>
          <w:color w:val="auto"/>
          <w:sz w:val="32"/>
          <w:szCs w:val="32"/>
          <w:shd w:val="clear" w:color="auto" w:fill="FFFFFF"/>
        </w:rPr>
        <w:t>未按预售资金监管系统数据接口标准传输或导入数据的，</w:t>
      </w:r>
      <w:r>
        <w:rPr>
          <w:rFonts w:hint="eastAsia" w:ascii="仿宋_GB2312" w:hAnsi="仿宋_GB2312" w:eastAsia="仿宋_GB2312" w:cs="仿宋_GB2312"/>
          <w:snapToGrid w:val="0"/>
          <w:color w:val="auto"/>
          <w:sz w:val="32"/>
          <w:szCs w:val="32"/>
        </w:rPr>
        <w:t>擅自为丙方办理预售资金拨付，擅自划拨归还贷款或者不按要求拨付，造成预售资金被挪用，导致工程无法按期竣工的，应承担由此造成的后果及责任。甲方有权单方解除本协议，终止乙方承担预售资金监管资格。</w:t>
      </w:r>
    </w:p>
    <w:p>
      <w:pPr>
        <w:keepNext w:val="0"/>
        <w:keepLines w:val="0"/>
        <w:pageBreakBefore w:val="0"/>
        <w:widowControl w:val="0"/>
        <w:kinsoku/>
        <w:wordWrap/>
        <w:overflowPunct/>
        <w:topLinePunct w:val="0"/>
        <w:autoSpaceDE/>
        <w:autoSpaceDN/>
        <w:bidi w:val="0"/>
        <w:snapToGrid w:val="0"/>
        <w:spacing w:line="600" w:lineRule="exact"/>
        <w:ind w:firstLine="672" w:firstLineChars="210"/>
        <w:textAlignment w:val="auto"/>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snapToGrid w:val="0"/>
          <w:color w:val="auto"/>
          <w:kern w:val="0"/>
          <w:sz w:val="32"/>
          <w:szCs w:val="32"/>
        </w:rPr>
        <w:t>丙方违反本协议规定的，由房地产行政主管部门依照有关规定予以处罚。</w:t>
      </w:r>
    </w:p>
    <w:p>
      <w:pPr>
        <w:keepNext w:val="0"/>
        <w:keepLines w:val="0"/>
        <w:pageBreakBefore w:val="0"/>
        <w:widowControl w:val="0"/>
        <w:kinsoku/>
        <w:wordWrap/>
        <w:overflowPunct/>
        <w:topLinePunct w:val="0"/>
        <w:autoSpaceDE/>
        <w:autoSpaceDN/>
        <w:bidi w:val="0"/>
        <w:snapToGrid w:val="0"/>
        <w:spacing w:line="600" w:lineRule="exact"/>
        <w:ind w:firstLine="672" w:firstLineChars="210"/>
        <w:textAlignment w:val="auto"/>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snapToGrid w:val="0"/>
          <w:color w:val="auto"/>
          <w:kern w:val="0"/>
          <w:sz w:val="32"/>
          <w:szCs w:val="32"/>
        </w:rPr>
        <w:t>十六、本协议一式四份，甲、乙方各执一份，丙方两份。</w:t>
      </w:r>
    </w:p>
    <w:p>
      <w:pPr>
        <w:keepNext w:val="0"/>
        <w:keepLines w:val="0"/>
        <w:pageBreakBefore w:val="0"/>
        <w:widowControl w:val="0"/>
        <w:kinsoku/>
        <w:wordWrap/>
        <w:overflowPunct/>
        <w:topLinePunct w:val="0"/>
        <w:autoSpaceDE/>
        <w:autoSpaceDN/>
        <w:bidi w:val="0"/>
        <w:snapToGrid w:val="0"/>
        <w:spacing w:line="600" w:lineRule="exact"/>
        <w:ind w:firstLine="672" w:firstLineChars="210"/>
        <w:textAlignment w:val="auto"/>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snapToGrid w:val="0"/>
          <w:color w:val="auto"/>
          <w:kern w:val="0"/>
          <w:sz w:val="32"/>
          <w:szCs w:val="32"/>
        </w:rPr>
        <w:t>十七、本协议自签订之日起生效。</w:t>
      </w:r>
    </w:p>
    <w:p>
      <w:pPr>
        <w:keepNext w:val="0"/>
        <w:keepLines w:val="0"/>
        <w:pageBreakBefore w:val="0"/>
        <w:widowControl w:val="0"/>
        <w:kinsoku/>
        <w:wordWrap/>
        <w:overflowPunct/>
        <w:topLinePunct w:val="0"/>
        <w:autoSpaceDE/>
        <w:autoSpaceDN/>
        <w:bidi w:val="0"/>
        <w:snapToGrid w:val="0"/>
        <w:spacing w:line="600" w:lineRule="exact"/>
        <w:textAlignment w:val="auto"/>
        <w:rPr>
          <w:rFonts w:hint="eastAsia" w:ascii="仿宋_GB2312" w:hAnsi="仿宋_GB2312" w:eastAsia="仿宋_GB2312" w:cs="仿宋_GB2312"/>
          <w:snapToGrid w:val="0"/>
          <w:color w:val="auto"/>
          <w:kern w:val="0"/>
          <w:sz w:val="32"/>
          <w:szCs w:val="32"/>
        </w:rPr>
      </w:pPr>
    </w:p>
    <w:p>
      <w:pPr>
        <w:keepNext w:val="0"/>
        <w:keepLines w:val="0"/>
        <w:pageBreakBefore w:val="0"/>
        <w:widowControl w:val="0"/>
        <w:kinsoku/>
        <w:wordWrap/>
        <w:overflowPunct/>
        <w:topLinePunct w:val="0"/>
        <w:autoSpaceDE/>
        <w:autoSpaceDN/>
        <w:bidi w:val="0"/>
        <w:snapToGrid w:val="0"/>
        <w:spacing w:line="600" w:lineRule="exact"/>
        <w:textAlignment w:val="auto"/>
        <w:rPr>
          <w:rFonts w:hint="eastAsia" w:ascii="仿宋_GB2312" w:hAnsi="仿宋_GB2312" w:eastAsia="仿宋_GB2312" w:cs="仿宋_GB2312"/>
          <w:snapToGrid w:val="0"/>
          <w:color w:val="auto"/>
          <w:kern w:val="0"/>
          <w:sz w:val="32"/>
          <w:szCs w:val="32"/>
        </w:rPr>
      </w:pPr>
    </w:p>
    <w:p>
      <w:pPr>
        <w:keepNext w:val="0"/>
        <w:keepLines w:val="0"/>
        <w:pageBreakBefore w:val="0"/>
        <w:widowControl w:val="0"/>
        <w:kinsoku/>
        <w:wordWrap/>
        <w:overflowPunct/>
        <w:topLinePunct w:val="0"/>
        <w:autoSpaceDE/>
        <w:autoSpaceDN/>
        <w:bidi w:val="0"/>
        <w:snapToGrid w:val="0"/>
        <w:spacing w:line="600" w:lineRule="exact"/>
        <w:ind w:firstLine="640" w:firstLineChars="200"/>
        <w:textAlignment w:val="auto"/>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snapToGrid w:val="0"/>
          <w:color w:val="auto"/>
          <w:kern w:val="0"/>
          <w:sz w:val="32"/>
          <w:szCs w:val="32"/>
        </w:rPr>
        <w:t>甲方：（公章）                乙方：（公章）</w:t>
      </w:r>
    </w:p>
    <w:p>
      <w:pPr>
        <w:keepNext w:val="0"/>
        <w:keepLines w:val="0"/>
        <w:pageBreakBefore w:val="0"/>
        <w:widowControl w:val="0"/>
        <w:kinsoku/>
        <w:wordWrap/>
        <w:overflowPunct/>
        <w:topLinePunct w:val="0"/>
        <w:autoSpaceDE/>
        <w:autoSpaceDN/>
        <w:bidi w:val="0"/>
        <w:snapToGrid w:val="0"/>
        <w:spacing w:line="600" w:lineRule="exact"/>
        <w:ind w:firstLine="640" w:firstLineChars="200"/>
        <w:textAlignment w:val="auto"/>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snapToGrid w:val="0"/>
          <w:color w:val="auto"/>
          <w:kern w:val="0"/>
          <w:sz w:val="32"/>
          <w:szCs w:val="32"/>
        </w:rPr>
        <w:t>代表：                        代表：</w:t>
      </w:r>
    </w:p>
    <w:p>
      <w:pPr>
        <w:keepNext w:val="0"/>
        <w:keepLines w:val="0"/>
        <w:pageBreakBefore w:val="0"/>
        <w:widowControl w:val="0"/>
        <w:kinsoku/>
        <w:wordWrap/>
        <w:overflowPunct/>
        <w:topLinePunct w:val="0"/>
        <w:autoSpaceDE/>
        <w:autoSpaceDN/>
        <w:bidi w:val="0"/>
        <w:snapToGrid w:val="0"/>
        <w:spacing w:line="600" w:lineRule="exact"/>
        <w:ind w:firstLine="640" w:firstLineChars="200"/>
        <w:textAlignment w:val="auto"/>
        <w:rPr>
          <w:rFonts w:hint="eastAsia" w:ascii="仿宋_GB2312" w:hAnsi="仿宋_GB2312" w:eastAsia="仿宋_GB2312" w:cs="仿宋_GB2312"/>
          <w:snapToGrid w:val="0"/>
          <w:color w:val="auto"/>
          <w:kern w:val="0"/>
          <w:sz w:val="32"/>
          <w:szCs w:val="32"/>
        </w:rPr>
      </w:pPr>
    </w:p>
    <w:p>
      <w:pPr>
        <w:keepNext w:val="0"/>
        <w:keepLines w:val="0"/>
        <w:pageBreakBefore w:val="0"/>
        <w:widowControl w:val="0"/>
        <w:kinsoku/>
        <w:wordWrap/>
        <w:overflowPunct/>
        <w:topLinePunct w:val="0"/>
        <w:autoSpaceDE/>
        <w:autoSpaceDN/>
        <w:bidi w:val="0"/>
        <w:snapToGrid w:val="0"/>
        <w:spacing w:line="600" w:lineRule="exact"/>
        <w:ind w:firstLine="640" w:firstLineChars="200"/>
        <w:textAlignment w:val="auto"/>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snapToGrid w:val="0"/>
          <w:color w:val="auto"/>
          <w:kern w:val="0"/>
          <w:sz w:val="32"/>
          <w:szCs w:val="32"/>
        </w:rPr>
        <w:t xml:space="preserve">丙方：（公章） </w:t>
      </w:r>
    </w:p>
    <w:p>
      <w:pPr>
        <w:keepNext w:val="0"/>
        <w:keepLines w:val="0"/>
        <w:pageBreakBefore w:val="0"/>
        <w:widowControl w:val="0"/>
        <w:kinsoku/>
        <w:wordWrap/>
        <w:overflowPunct/>
        <w:topLinePunct w:val="0"/>
        <w:autoSpaceDE/>
        <w:autoSpaceDN/>
        <w:bidi w:val="0"/>
        <w:snapToGrid w:val="0"/>
        <w:spacing w:line="600" w:lineRule="exact"/>
        <w:ind w:firstLine="640" w:firstLineChars="200"/>
        <w:textAlignment w:val="auto"/>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snapToGrid w:val="0"/>
          <w:color w:val="auto"/>
          <w:kern w:val="0"/>
          <w:sz w:val="32"/>
          <w:szCs w:val="32"/>
        </w:rPr>
        <w:t>代表：</w:t>
      </w:r>
    </w:p>
    <w:p>
      <w:pPr>
        <w:keepNext w:val="0"/>
        <w:keepLines w:val="0"/>
        <w:pageBreakBefore w:val="0"/>
        <w:widowControl w:val="0"/>
        <w:kinsoku/>
        <w:wordWrap/>
        <w:overflowPunct/>
        <w:topLinePunct w:val="0"/>
        <w:autoSpaceDE/>
        <w:autoSpaceDN/>
        <w:bidi w:val="0"/>
        <w:spacing w:line="60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p>
    <w:p>
      <w:pPr>
        <w:keepNext w:val="0"/>
        <w:keepLines w:val="0"/>
        <w:pageBreakBefore w:val="0"/>
        <w:widowControl w:val="0"/>
        <w:kinsoku/>
        <w:wordWrap/>
        <w:overflowPunct/>
        <w:topLinePunct w:val="0"/>
        <w:autoSpaceDE/>
        <w:autoSpaceDN/>
        <w:bidi w:val="0"/>
        <w:spacing w:line="60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spacing w:line="600" w:lineRule="exact"/>
        <w:ind w:firstLine="5440" w:firstLineChars="17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年    月    日</w:t>
      </w:r>
    </w:p>
    <w:p>
      <w:pPr>
        <w:keepNext w:val="0"/>
        <w:keepLines w:val="0"/>
        <w:pageBreakBefore w:val="0"/>
        <w:kinsoku/>
        <w:overflowPunct/>
        <w:topLinePunct w:val="0"/>
        <w:autoSpaceDE/>
        <w:autoSpaceDN/>
        <w:bidi w:val="0"/>
        <w:adjustRightInd w:val="0"/>
        <w:spacing w:line="560" w:lineRule="exact"/>
        <w:ind w:firstLine="640" w:firstLineChars="200"/>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pacing w:line="440" w:lineRule="exact"/>
        <w:jc w:val="both"/>
        <w:textAlignment w:val="auto"/>
      </w:pPr>
    </w:p>
    <w:sectPr>
      <w:footerReference r:id="rId3" w:type="default"/>
      <w:pgSz w:w="11906" w:h="16838" w:orient="landscape"/>
      <w:pgMar w:top="2098" w:right="1474" w:bottom="1984" w:left="1531"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_GB2312">
    <w:altName w:val="Times New Roman"/>
    <w:panose1 w:val="00000000000000000000"/>
    <w:charset w:val="00"/>
    <w:family w:val="auto"/>
    <w:pitch w:val="default"/>
    <w:sig w:usb0="00000000" w:usb1="00000000" w:usb2="00000000" w:usb3="00000000" w:csb0="0000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rFonts w:cs="Times New Roman"/>
        <w:sz w:val="24"/>
        <w:szCs w:val="24"/>
      </w:rPr>
    </w:pPr>
    <w:r>
      <w:rPr>
        <w:rFonts w:ascii="宋体" w:hAnsi="宋体" w:cs="宋体"/>
        <w:sz w:val="24"/>
        <w:szCs w:val="24"/>
      </w:rPr>
      <w:fldChar w:fldCharType="begin"/>
    </w:r>
    <w:r>
      <w:rPr>
        <w:rFonts w:ascii="宋体" w:hAnsi="宋体" w:cs="宋体"/>
        <w:sz w:val="24"/>
        <w:szCs w:val="24"/>
      </w:rPr>
      <w:instrText xml:space="preserve"> PAGE   \* MERGEFORMAT </w:instrText>
    </w:r>
    <w:r>
      <w:rPr>
        <w:rFonts w:ascii="宋体" w:hAnsi="宋体" w:cs="宋体"/>
        <w:sz w:val="24"/>
        <w:szCs w:val="24"/>
      </w:rPr>
      <w:fldChar w:fldCharType="separate"/>
    </w:r>
    <w:r>
      <w:rPr>
        <w:rFonts w:ascii="宋体" w:hAnsi="宋体" w:cs="宋体"/>
        <w:sz w:val="24"/>
        <w:szCs w:val="24"/>
        <w:lang w:val="zh-CN"/>
      </w:rPr>
      <w:t>1</w:t>
    </w:r>
    <w:r>
      <w:rPr>
        <w:rFonts w:ascii="宋体" w:hAnsi="宋体" w:cs="宋体"/>
        <w:sz w:val="24"/>
        <w:szCs w:val="24"/>
      </w:rPr>
      <w:fldChar w:fldCharType="end"/>
    </w:r>
  </w:p>
  <w:p>
    <w:pPr>
      <w:pStyle w:val="5"/>
      <w:rPr>
        <w:rFonts w:cs="Times New Roman"/>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RhZWM4Y2UxOTQ2MDQ5OGMwYjI1ZWY4MTBiYTlkMWQifQ=="/>
  </w:docVars>
  <w:rsids>
    <w:rsidRoot w:val="253F2623"/>
    <w:rsid w:val="00745A8E"/>
    <w:rsid w:val="098E7C6C"/>
    <w:rsid w:val="09A118B2"/>
    <w:rsid w:val="1A1632C9"/>
    <w:rsid w:val="253F2623"/>
    <w:rsid w:val="29953C1E"/>
    <w:rsid w:val="2D040697"/>
    <w:rsid w:val="33A427AE"/>
    <w:rsid w:val="348411AF"/>
    <w:rsid w:val="41FF0911"/>
    <w:rsid w:val="4D0E2DEA"/>
    <w:rsid w:val="4FAF5B93"/>
    <w:rsid w:val="56CD5607"/>
    <w:rsid w:val="59942709"/>
    <w:rsid w:val="61C97771"/>
    <w:rsid w:val="650B426A"/>
    <w:rsid w:val="67F87BB6"/>
    <w:rsid w:val="777C39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paragraph" w:styleId="6">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9">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2">
    <w:name w:val="Body Text First Indent 2"/>
    <w:basedOn w:val="3"/>
    <w:qFormat/>
    <w:uiPriority w:val="99"/>
    <w:pPr>
      <w:ind w:firstLine="40"/>
    </w:pPr>
    <w:rPr>
      <w:rFonts w:eastAsia="Times New Roman"/>
      <w:sz w:val="32"/>
      <w:szCs w:val="32"/>
    </w:rPr>
  </w:style>
  <w:style w:type="paragraph" w:styleId="3">
    <w:name w:val="Body Text Indent"/>
    <w:basedOn w:val="1"/>
    <w:next w:val="4"/>
    <w:qFormat/>
    <w:uiPriority w:val="99"/>
    <w:pPr>
      <w:ind w:firstLine="585"/>
    </w:pPr>
    <w:rPr>
      <w:rFonts w:ascii="??_GB2312" w:cs="??_GB2312"/>
    </w:rPr>
  </w:style>
  <w:style w:type="paragraph" w:styleId="4">
    <w:name w:val="header"/>
    <w:basedOn w:val="1"/>
    <w:next w:val="5"/>
    <w:qFormat/>
    <w:uiPriority w:val="99"/>
    <w:pPr>
      <w:pBdr>
        <w:bottom w:val="single" w:color="auto" w:sz="6" w:space="1"/>
      </w:pBdr>
      <w:tabs>
        <w:tab w:val="center" w:pos="4153"/>
        <w:tab w:val="right" w:pos="8306"/>
      </w:tabs>
      <w:snapToGrid w:val="0"/>
      <w:jc w:val="center"/>
    </w:pPr>
    <w:rPr>
      <w:sz w:val="18"/>
      <w:szCs w:val="18"/>
    </w:rPr>
  </w:style>
  <w:style w:type="paragraph" w:styleId="5">
    <w:name w:val="footer"/>
    <w:basedOn w:val="1"/>
    <w:next w:val="1"/>
    <w:qFormat/>
    <w:uiPriority w:val="99"/>
    <w:pPr>
      <w:tabs>
        <w:tab w:val="center" w:pos="4153"/>
        <w:tab w:val="right" w:pos="8306"/>
      </w:tabs>
      <w:snapToGrid w:val="0"/>
      <w:jc w:val="left"/>
    </w:pPr>
    <w:rPr>
      <w:sz w:val="18"/>
      <w:szCs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Emphasis"/>
    <w:basedOn w:val="9"/>
    <w:qFormat/>
    <w:uiPriority w:val="0"/>
    <w:rPr>
      <w:i/>
    </w:rPr>
  </w:style>
  <w:style w:type="character" w:styleId="11">
    <w:name w:val="Hyperlink"/>
    <w:basedOn w:val="9"/>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6468</Words>
  <Characters>6522</Characters>
  <Lines>0</Lines>
  <Paragraphs>0</Paragraphs>
  <TotalTime>17</TotalTime>
  <ScaleCrop>false</ScaleCrop>
  <LinksUpToDate>false</LinksUpToDate>
  <CharactersWithSpaces>7501</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2022-09-06T03:27:00Z</dcterms:created>
  <dc:creator>Administrator</dc:creator>
  <cp:lastModifiedBy>false</cp:lastModifiedBy>
  <cp:lastPrinted>2022-09-14T02:53:00Z</cp:lastPrinted>
  <dcterms:modified xsi:type="dcterms:W3CDTF">2023-08-21T09:38:06Z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3D064A199DAB406298F12189330D6BA3</vt:lpwstr>
  </property>
</Properties>
</file>